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A0E3" w14:textId="694562B7" w:rsidR="0066434B" w:rsidRPr="00214458" w:rsidRDefault="0066434B" w:rsidP="00907B3F">
      <w:pPr>
        <w:tabs>
          <w:tab w:val="center" w:pos="4536"/>
          <w:tab w:val="right" w:pos="9420"/>
        </w:tabs>
        <w:spacing w:after="0"/>
        <w:ind w:right="2"/>
        <w:rPr>
          <w:rFonts w:ascii="Arial" w:hAnsi="Arial" w:cs="Arial"/>
          <w:b/>
          <w:bCs/>
          <w:sz w:val="22"/>
        </w:rPr>
      </w:pPr>
      <w:r w:rsidRPr="00214458">
        <w:rPr>
          <w:rFonts w:ascii="Arial" w:hAnsi="Arial" w:cs="Arial"/>
          <w:b/>
          <w:bCs/>
          <w:sz w:val="22"/>
        </w:rPr>
        <w:t xml:space="preserve">3GPP TSG RAN Meeting </w:t>
      </w:r>
      <w:r w:rsidR="00325ACB">
        <w:rPr>
          <w:rFonts w:ascii="Arial" w:hAnsi="Arial" w:cs="Arial"/>
          <w:b/>
          <w:bCs/>
          <w:sz w:val="22"/>
        </w:rPr>
        <w:t>#</w:t>
      </w:r>
      <w:r w:rsidR="00462EE1">
        <w:rPr>
          <w:rFonts w:ascii="Arial" w:hAnsi="Arial" w:cs="Arial"/>
          <w:b/>
          <w:bCs/>
          <w:sz w:val="22"/>
        </w:rPr>
        <w:t>8</w:t>
      </w:r>
      <w:r w:rsidR="004005D3">
        <w:rPr>
          <w:rFonts w:ascii="Arial" w:hAnsi="Arial" w:cs="Arial"/>
          <w:b/>
          <w:bCs/>
          <w:sz w:val="22"/>
        </w:rPr>
        <w:t>8e</w:t>
      </w:r>
      <w:r w:rsidR="00122FA5">
        <w:rPr>
          <w:rFonts w:ascii="Arial" w:hAnsi="Arial" w:cs="Arial"/>
          <w:b/>
          <w:bCs/>
          <w:sz w:val="22"/>
        </w:rPr>
        <w:tab/>
      </w:r>
      <w:r w:rsidR="00D80470">
        <w:rPr>
          <w:rFonts w:ascii="Arial" w:hAnsi="Arial" w:cs="Arial"/>
          <w:b/>
          <w:bCs/>
          <w:sz w:val="22"/>
        </w:rPr>
        <w:tab/>
      </w:r>
      <w:r w:rsidR="004005D3" w:rsidRPr="004005D3">
        <w:rPr>
          <w:rFonts w:ascii="Arial" w:hAnsi="Arial" w:cs="Arial"/>
          <w:b/>
          <w:bCs/>
          <w:i/>
          <w:iCs/>
          <w:sz w:val="22"/>
        </w:rPr>
        <w:t>DRAFT</w:t>
      </w:r>
      <w:r w:rsidR="004005D3">
        <w:rPr>
          <w:rFonts w:ascii="Arial" w:hAnsi="Arial" w:cs="Arial"/>
          <w:b/>
          <w:bCs/>
          <w:sz w:val="22"/>
        </w:rPr>
        <w:t xml:space="preserve"> </w:t>
      </w:r>
      <w:r w:rsidR="00E56774">
        <w:rPr>
          <w:rFonts w:ascii="Arial" w:hAnsi="Arial" w:cs="Arial"/>
          <w:b/>
          <w:bCs/>
          <w:sz w:val="22"/>
        </w:rPr>
        <w:t>R</w:t>
      </w:r>
      <w:r w:rsidR="00462EE1">
        <w:rPr>
          <w:rFonts w:ascii="Arial" w:hAnsi="Arial" w:cs="Arial"/>
          <w:b/>
          <w:bCs/>
          <w:sz w:val="22"/>
        </w:rPr>
        <w:t>P</w:t>
      </w:r>
      <w:r w:rsidR="00E56774">
        <w:rPr>
          <w:rFonts w:ascii="Arial" w:hAnsi="Arial" w:cs="Arial"/>
          <w:b/>
          <w:bCs/>
          <w:sz w:val="22"/>
        </w:rPr>
        <w:t>-</w:t>
      </w:r>
      <w:r w:rsidR="004005D3">
        <w:rPr>
          <w:rFonts w:ascii="Arial" w:hAnsi="Arial" w:cs="Arial"/>
          <w:b/>
          <w:bCs/>
          <w:sz w:val="22"/>
        </w:rPr>
        <w:t>20</w:t>
      </w:r>
      <w:r w:rsidR="00D50A9F">
        <w:rPr>
          <w:rFonts w:ascii="Arial" w:hAnsi="Arial" w:cs="Arial"/>
          <w:b/>
          <w:bCs/>
          <w:sz w:val="22"/>
        </w:rPr>
        <w:t>xxxx</w:t>
      </w:r>
    </w:p>
    <w:p w14:paraId="551169FD" w14:textId="1FC67B0A" w:rsidR="004005D3" w:rsidRDefault="004005D3" w:rsidP="000B733F">
      <w:pPr>
        <w:tabs>
          <w:tab w:val="left" w:pos="1985"/>
          <w:tab w:val="right" w:pos="9422"/>
        </w:tabs>
        <w:spacing w:after="0"/>
        <w:rPr>
          <w:rFonts w:ascii="Arial" w:hAnsi="Arial" w:cs="Arial"/>
          <w:b/>
          <w:bCs/>
          <w:sz w:val="22"/>
        </w:rPr>
      </w:pPr>
      <w:r>
        <w:rPr>
          <w:rFonts w:ascii="Arial" w:hAnsi="Arial" w:cs="Arial"/>
          <w:b/>
          <w:bCs/>
          <w:sz w:val="22"/>
        </w:rPr>
        <w:t>June</w:t>
      </w:r>
      <w:r w:rsidR="00341F45" w:rsidRPr="00A27B82">
        <w:rPr>
          <w:rFonts w:ascii="Arial" w:hAnsi="Arial" w:cs="Arial"/>
          <w:b/>
          <w:bCs/>
          <w:sz w:val="22"/>
        </w:rPr>
        <w:t xml:space="preserve"> </w:t>
      </w:r>
      <w:r>
        <w:rPr>
          <w:rFonts w:ascii="Arial" w:hAnsi="Arial" w:cs="Arial"/>
          <w:b/>
          <w:bCs/>
          <w:sz w:val="22"/>
        </w:rPr>
        <w:t>29</w:t>
      </w:r>
      <w:r w:rsidR="00A93DEB" w:rsidRPr="00A93DEB">
        <w:rPr>
          <w:rFonts w:ascii="Arial" w:hAnsi="Arial" w:cs="Arial"/>
          <w:b/>
          <w:bCs/>
          <w:sz w:val="22"/>
          <w:vertAlign w:val="superscript"/>
        </w:rPr>
        <w:t>th</w:t>
      </w:r>
      <w:r w:rsidR="00341F45" w:rsidRPr="00A27B82">
        <w:rPr>
          <w:rFonts w:ascii="Arial" w:hAnsi="Arial" w:cs="Arial"/>
          <w:b/>
          <w:bCs/>
          <w:sz w:val="22"/>
        </w:rPr>
        <w:t xml:space="preserve"> – </w:t>
      </w:r>
      <w:r>
        <w:rPr>
          <w:rFonts w:ascii="Arial" w:hAnsi="Arial" w:cs="Arial"/>
          <w:b/>
          <w:bCs/>
          <w:sz w:val="22"/>
        </w:rPr>
        <w:t>July 3</w:t>
      </w:r>
      <w:r w:rsidRPr="004005D3">
        <w:rPr>
          <w:rFonts w:ascii="Arial" w:hAnsi="Arial" w:cs="Arial"/>
          <w:b/>
          <w:bCs/>
          <w:sz w:val="22"/>
          <w:vertAlign w:val="superscript"/>
        </w:rPr>
        <w:t>rd</w:t>
      </w:r>
      <w:r w:rsidR="00341F45" w:rsidRPr="00A27B82">
        <w:rPr>
          <w:rFonts w:ascii="Arial" w:hAnsi="Arial" w:cs="Arial"/>
          <w:b/>
          <w:bCs/>
          <w:sz w:val="22"/>
        </w:rPr>
        <w:t xml:space="preserve">, </w:t>
      </w:r>
      <w:r w:rsidR="00325ACB" w:rsidRPr="00325ACB">
        <w:rPr>
          <w:rFonts w:ascii="Arial" w:hAnsi="Arial" w:cs="Arial"/>
          <w:b/>
          <w:bCs/>
          <w:sz w:val="22"/>
        </w:rPr>
        <w:t>20</w:t>
      </w:r>
      <w:r>
        <w:rPr>
          <w:rFonts w:ascii="Arial" w:hAnsi="Arial" w:cs="Arial"/>
          <w:b/>
          <w:bCs/>
          <w:sz w:val="22"/>
        </w:rPr>
        <w:t>20</w:t>
      </w:r>
    </w:p>
    <w:p w14:paraId="0351D878" w14:textId="055A5931" w:rsidR="0066434B" w:rsidRPr="00341F45" w:rsidRDefault="004005D3" w:rsidP="000B733F">
      <w:pPr>
        <w:tabs>
          <w:tab w:val="left" w:pos="1985"/>
          <w:tab w:val="right" w:pos="9422"/>
        </w:tabs>
        <w:spacing w:after="0"/>
        <w:rPr>
          <w:rFonts w:ascii="Arial" w:hAnsi="Arial" w:cs="Arial"/>
          <w:b/>
          <w:bCs/>
          <w:sz w:val="22"/>
        </w:rPr>
      </w:pPr>
      <w:r>
        <w:rPr>
          <w:rFonts w:ascii="Arial" w:hAnsi="Arial" w:cs="Arial"/>
          <w:b/>
          <w:bCs/>
          <w:sz w:val="22"/>
        </w:rPr>
        <w:t xml:space="preserve">Electronic </w:t>
      </w:r>
      <w:r w:rsidR="00D43D5A">
        <w:rPr>
          <w:rFonts w:ascii="Arial" w:hAnsi="Arial" w:cs="Arial"/>
          <w:b/>
          <w:bCs/>
          <w:sz w:val="22"/>
        </w:rPr>
        <w:t>M</w:t>
      </w:r>
      <w:r>
        <w:rPr>
          <w:rFonts w:ascii="Arial" w:hAnsi="Arial" w:cs="Arial"/>
          <w:b/>
          <w:bCs/>
          <w:sz w:val="22"/>
        </w:rPr>
        <w:t>eeting</w:t>
      </w:r>
      <w:r w:rsidR="000B733F">
        <w:rPr>
          <w:rFonts w:ascii="Arial" w:hAnsi="Arial" w:cs="Arial"/>
          <w:b/>
          <w:bCs/>
          <w:sz w:val="22"/>
        </w:rPr>
        <w:tab/>
      </w:r>
      <w:r w:rsidR="00341F45">
        <w:rPr>
          <w:rFonts w:ascii="Arial" w:hAnsi="Arial" w:cs="Arial"/>
          <w:b/>
          <w:bCs/>
          <w:sz w:val="22"/>
        </w:rPr>
        <w:tab/>
      </w:r>
    </w:p>
    <w:p w14:paraId="333FEB56" w14:textId="77777777" w:rsidR="006C2AC8" w:rsidRDefault="006C2AC8" w:rsidP="00A77FDE">
      <w:pPr>
        <w:tabs>
          <w:tab w:val="left" w:pos="1985"/>
        </w:tabs>
        <w:jc w:val="both"/>
        <w:rPr>
          <w:rFonts w:ascii="Arial" w:hAnsi="Arial"/>
          <w:b/>
          <w:sz w:val="24"/>
        </w:rPr>
      </w:pPr>
    </w:p>
    <w:p w14:paraId="363403CE" w14:textId="61143B67" w:rsidR="00A77FDE" w:rsidRPr="00214458" w:rsidRDefault="00A77FDE" w:rsidP="00214458">
      <w:pPr>
        <w:tabs>
          <w:tab w:val="left" w:pos="1985"/>
        </w:tabs>
        <w:spacing w:after="120"/>
        <w:jc w:val="both"/>
        <w:rPr>
          <w:rFonts w:ascii="Arial" w:hAnsi="Arial"/>
          <w:sz w:val="22"/>
        </w:rPr>
      </w:pPr>
      <w:r w:rsidRPr="00214458">
        <w:rPr>
          <w:rFonts w:ascii="Arial" w:hAnsi="Arial"/>
          <w:b/>
          <w:sz w:val="22"/>
        </w:rPr>
        <w:t>Agenda item:</w:t>
      </w:r>
      <w:r w:rsidRPr="00214458">
        <w:rPr>
          <w:rFonts w:ascii="Arial" w:hAnsi="Arial"/>
          <w:sz w:val="22"/>
        </w:rPr>
        <w:tab/>
      </w:r>
      <w:bookmarkStart w:id="0" w:name="Source"/>
      <w:bookmarkStart w:id="1" w:name="_GoBack"/>
      <w:bookmarkEnd w:id="0"/>
      <w:bookmarkEnd w:id="1"/>
    </w:p>
    <w:p w14:paraId="0482CD35" w14:textId="79DB7865" w:rsidR="00A77FDE" w:rsidRPr="00214458" w:rsidRDefault="00A77FDE" w:rsidP="00214458">
      <w:pPr>
        <w:tabs>
          <w:tab w:val="left" w:pos="1985"/>
        </w:tabs>
        <w:spacing w:after="120"/>
        <w:jc w:val="both"/>
        <w:rPr>
          <w:rFonts w:ascii="Arial" w:hAnsi="Arial"/>
          <w:sz w:val="22"/>
        </w:rPr>
      </w:pPr>
      <w:r w:rsidRPr="00214458">
        <w:rPr>
          <w:rFonts w:ascii="Arial" w:hAnsi="Arial"/>
          <w:b/>
          <w:sz w:val="22"/>
        </w:rPr>
        <w:t xml:space="preserve">Source: </w:t>
      </w:r>
      <w:r w:rsidRPr="00214458">
        <w:rPr>
          <w:rFonts w:ascii="Arial" w:hAnsi="Arial"/>
          <w:b/>
          <w:sz w:val="22"/>
        </w:rPr>
        <w:tab/>
      </w:r>
      <w:r w:rsidR="00D50A9F">
        <w:rPr>
          <w:rFonts w:ascii="Arial" w:hAnsi="Arial"/>
          <w:sz w:val="22"/>
        </w:rPr>
        <w:t>AT&amp;T</w:t>
      </w:r>
    </w:p>
    <w:p w14:paraId="201DD985" w14:textId="77777777" w:rsidR="00D50A9F" w:rsidRDefault="00A77FDE" w:rsidP="00D50A9F">
      <w:pPr>
        <w:spacing w:after="120"/>
        <w:ind w:left="1988" w:hanging="1988"/>
        <w:rPr>
          <w:rFonts w:ascii="Arial" w:hAnsi="Arial"/>
          <w:sz w:val="22"/>
        </w:rPr>
      </w:pPr>
      <w:r w:rsidRPr="00214458">
        <w:rPr>
          <w:rFonts w:ascii="Arial" w:hAnsi="Arial"/>
          <w:b/>
          <w:sz w:val="22"/>
        </w:rPr>
        <w:t>Title:</w:t>
      </w:r>
      <w:r w:rsidRPr="00214458">
        <w:rPr>
          <w:rFonts w:ascii="Arial" w:hAnsi="Arial"/>
          <w:sz w:val="22"/>
        </w:rPr>
        <w:t xml:space="preserve"> </w:t>
      </w:r>
      <w:r w:rsidRPr="00214458">
        <w:rPr>
          <w:rFonts w:ascii="Arial" w:hAnsi="Arial"/>
        </w:rPr>
        <w:tab/>
      </w:r>
      <w:r w:rsidR="00EA639F" w:rsidRPr="00EA639F">
        <w:rPr>
          <w:rFonts w:ascii="Arial" w:hAnsi="Arial"/>
          <w:b/>
          <w:bCs/>
          <w:i/>
          <w:iCs/>
          <w:sz w:val="22"/>
        </w:rPr>
        <w:t>DRAFT</w:t>
      </w:r>
      <w:r w:rsidR="00EA639F" w:rsidRPr="00EA639F">
        <w:rPr>
          <w:rFonts w:ascii="Arial" w:hAnsi="Arial"/>
          <w:sz w:val="22"/>
        </w:rPr>
        <w:t xml:space="preserve"> </w:t>
      </w:r>
      <w:r w:rsidR="00D50A9F" w:rsidRPr="00D50A9F">
        <w:rPr>
          <w:rFonts w:ascii="Arial" w:hAnsi="Arial"/>
          <w:sz w:val="22"/>
        </w:rPr>
        <w:t>RP-20xxxx Summary of email discussion on IAB_UE_features</w:t>
      </w:r>
    </w:p>
    <w:p w14:paraId="0FDBAE51" w14:textId="6761704B" w:rsidR="00A77FDE" w:rsidRPr="00214458" w:rsidRDefault="00A77FDE" w:rsidP="00D50A9F">
      <w:pPr>
        <w:spacing w:after="120"/>
        <w:ind w:left="1988" w:hanging="1988"/>
        <w:rPr>
          <w:rFonts w:ascii="Arial" w:hAnsi="Arial"/>
          <w:sz w:val="22"/>
        </w:rPr>
      </w:pPr>
      <w:r w:rsidRPr="00214458">
        <w:rPr>
          <w:rFonts w:ascii="Arial" w:hAnsi="Arial"/>
          <w:b/>
          <w:sz w:val="22"/>
        </w:rPr>
        <w:t>Document for:</w:t>
      </w:r>
      <w:r w:rsidRPr="00214458">
        <w:rPr>
          <w:rFonts w:ascii="Arial" w:hAnsi="Arial"/>
          <w:sz w:val="22"/>
        </w:rPr>
        <w:tab/>
      </w:r>
      <w:bookmarkStart w:id="2" w:name="DocumentFor"/>
      <w:bookmarkEnd w:id="2"/>
      <w:r w:rsidRPr="00214458">
        <w:rPr>
          <w:rFonts w:ascii="Arial" w:hAnsi="Arial"/>
          <w:sz w:val="22"/>
        </w:rPr>
        <w:t>Discussion/Decision</w:t>
      </w:r>
    </w:p>
    <w:p w14:paraId="19FCB675" w14:textId="1EC1BF57" w:rsidR="00902FEA" w:rsidRPr="00FC2A81" w:rsidRDefault="00E23895" w:rsidP="00FC2A81">
      <w:pPr>
        <w:pStyle w:val="Heading1"/>
        <w:rPr>
          <w:lang w:eastAsia="zh-CN"/>
        </w:rPr>
      </w:pPr>
      <w:r>
        <w:t>Introduction</w:t>
      </w:r>
      <w:r w:rsidR="00D35A73" w:rsidRPr="00FC2A81">
        <w:rPr>
          <w:rFonts w:eastAsia="MS Mincho"/>
          <w:lang w:val="en-US"/>
        </w:rPr>
        <w:t xml:space="preserve"> </w:t>
      </w:r>
      <w:r w:rsidR="00902FEA" w:rsidRPr="00FC2A81">
        <w:rPr>
          <w:rFonts w:eastAsia="MS Mincho"/>
          <w:lang w:val="en-US"/>
        </w:rPr>
        <w:t xml:space="preserve"> </w:t>
      </w:r>
    </w:p>
    <w:p w14:paraId="2ED5CCA8" w14:textId="52898017" w:rsidR="00804633" w:rsidRPr="00804633" w:rsidRDefault="00804633" w:rsidP="00804633">
      <w:pPr>
        <w:rPr>
          <w:color w:val="auto"/>
          <w:lang w:val="en-US" w:eastAsia="ko-KR"/>
        </w:rPr>
      </w:pPr>
      <w:r>
        <w:rPr>
          <w:rFonts w:ascii="Trebuchet MS" w:hAnsi="Trebuchet MS"/>
          <w:sz w:val="24"/>
          <w:szCs w:val="24"/>
          <w:lang w:eastAsia="ko-KR"/>
        </w:rPr>
        <w:t>During RAN#87e the following agreements were reached:</w:t>
      </w:r>
    </w:p>
    <w:p w14:paraId="5B191BE7" w14:textId="77777777" w:rsidR="00804633" w:rsidRDefault="00804633" w:rsidP="00804633">
      <w:pPr>
        <w:pStyle w:val="ListParagraph"/>
        <w:numPr>
          <w:ilvl w:val="0"/>
          <w:numId w:val="26"/>
        </w:numPr>
        <w:wordWrap w:val="0"/>
        <w:overflowPunct/>
        <w:autoSpaceDE/>
        <w:autoSpaceDN/>
        <w:adjustRightInd/>
        <w:spacing w:after="0"/>
        <w:textAlignment w:val="auto"/>
        <w:rPr>
          <w:color w:val="17375E"/>
          <w:lang w:eastAsia="ko-KR"/>
        </w:rPr>
      </w:pPr>
      <w:r>
        <w:rPr>
          <w:rFonts w:ascii="Trebuchet MS" w:hAnsi="Trebuchet MS"/>
          <w:color w:val="17375E"/>
          <w:sz w:val="24"/>
          <w:szCs w:val="24"/>
          <w:lang w:eastAsia="ko-KR"/>
        </w:rPr>
        <w:t>RAN WGs to investigate which of the mandatory Rel-15 UE features (as defined in TR 38.822) can be</w:t>
      </w:r>
    </w:p>
    <w:p w14:paraId="6D5042B5" w14:textId="77777777" w:rsidR="00804633" w:rsidRDefault="00804633" w:rsidP="00804633">
      <w:pPr>
        <w:pStyle w:val="ListParagraph"/>
        <w:wordWrap w:val="0"/>
        <w:spacing w:after="0"/>
        <w:rPr>
          <w:rFonts w:eastAsiaTheme="minorHAnsi"/>
          <w:lang w:eastAsia="ko-KR"/>
        </w:rPr>
      </w:pPr>
      <w:r>
        <w:rPr>
          <w:rFonts w:ascii="Trebuchet MS" w:hAnsi="Trebuchet MS"/>
          <w:color w:val="17375E"/>
          <w:sz w:val="24"/>
          <w:szCs w:val="24"/>
          <w:lang w:eastAsia="ko-KR"/>
        </w:rPr>
        <w:t>optional for basic operation (and if found useful, for different classes of IAB-MTs as defined by RAN4).</w:t>
      </w:r>
    </w:p>
    <w:p w14:paraId="3B1C1922" w14:textId="77777777" w:rsidR="00804633" w:rsidRDefault="00804633" w:rsidP="00804633">
      <w:pPr>
        <w:pStyle w:val="ListParagraph"/>
        <w:numPr>
          <w:ilvl w:val="0"/>
          <w:numId w:val="26"/>
        </w:numPr>
        <w:wordWrap w:val="0"/>
        <w:overflowPunct/>
        <w:autoSpaceDE/>
        <w:autoSpaceDN/>
        <w:adjustRightInd/>
        <w:spacing w:after="0"/>
        <w:textAlignment w:val="auto"/>
        <w:rPr>
          <w:rFonts w:eastAsia="Times New Roman"/>
          <w:color w:val="17375E"/>
          <w:lang w:eastAsia="ko-KR"/>
        </w:rPr>
      </w:pPr>
      <w:r>
        <w:rPr>
          <w:rFonts w:ascii="Trebuchet MS" w:hAnsi="Trebuchet MS"/>
          <w:color w:val="17375E"/>
          <w:sz w:val="24"/>
          <w:szCs w:val="24"/>
          <w:lang w:eastAsia="ko-KR"/>
        </w:rPr>
        <w:t>RAN WGs should strive to minimize specification impact.</w:t>
      </w:r>
    </w:p>
    <w:p w14:paraId="3FFCFF19" w14:textId="77777777" w:rsidR="00804633" w:rsidRDefault="00804633" w:rsidP="00804633">
      <w:pPr>
        <w:pStyle w:val="ListParagraph"/>
        <w:wordWrap w:val="0"/>
        <w:spacing w:after="0"/>
        <w:rPr>
          <w:rFonts w:eastAsiaTheme="minorHAnsi"/>
          <w:lang w:eastAsia="ko-KR"/>
        </w:rPr>
      </w:pPr>
      <w:r>
        <w:rPr>
          <w:rFonts w:ascii="Trebuchet MS" w:hAnsi="Trebuchet MS"/>
          <w:color w:val="17375E"/>
          <w:sz w:val="24"/>
          <w:szCs w:val="24"/>
          <w:lang w:eastAsia="ko-KR"/>
        </w:rPr>
        <w:t> </w:t>
      </w:r>
    </w:p>
    <w:p w14:paraId="67D34270" w14:textId="77777777" w:rsidR="00804633" w:rsidRDefault="00804633" w:rsidP="00804633">
      <w:pPr>
        <w:rPr>
          <w:rFonts w:eastAsiaTheme="minorHAnsi"/>
          <w:lang w:eastAsia="ko-KR"/>
        </w:rPr>
      </w:pPr>
      <w:r>
        <w:rPr>
          <w:rFonts w:ascii="Trebuchet MS" w:hAnsi="Trebuchet MS"/>
          <w:sz w:val="24"/>
          <w:szCs w:val="24"/>
          <w:lang w:eastAsia="ko-KR"/>
        </w:rPr>
        <w:t xml:space="preserve">As a result, during the May/June WG e-meetings, RAN1/RAN2/RAN3/RAN4 all discussed and reached various agreements on the mandatory/optional support of features for IAB-MTs and IAB-DUs of an IAB-node as well as the applicability of capability signaling for IAB nodes. </w:t>
      </w:r>
      <w:proofErr w:type="gramStart"/>
      <w:r>
        <w:rPr>
          <w:rFonts w:ascii="Trebuchet MS" w:hAnsi="Trebuchet MS"/>
          <w:sz w:val="24"/>
          <w:szCs w:val="24"/>
          <w:lang w:eastAsia="ko-KR"/>
        </w:rPr>
        <w:t>However</w:t>
      </w:r>
      <w:proofErr w:type="gramEnd"/>
      <w:r>
        <w:rPr>
          <w:rFonts w:ascii="Trebuchet MS" w:hAnsi="Trebuchet MS"/>
          <w:sz w:val="24"/>
          <w:szCs w:val="24"/>
          <w:lang w:eastAsia="ko-KR"/>
        </w:rPr>
        <w:t xml:space="preserve"> there were several remaining issues that could not be resolved and the goal of this email discussion is to address them in a unified approach to ensure consistency of the handling of IAB features across WGs. </w:t>
      </w:r>
    </w:p>
    <w:p w14:paraId="2EA8B328" w14:textId="77777777" w:rsidR="00804633" w:rsidRDefault="00804633" w:rsidP="00804633">
      <w:pPr>
        <w:rPr>
          <w:lang w:eastAsia="ko-KR"/>
        </w:rPr>
      </w:pPr>
      <w:r>
        <w:rPr>
          <w:rFonts w:ascii="Trebuchet MS" w:hAnsi="Trebuchet MS"/>
          <w:sz w:val="24"/>
          <w:szCs w:val="24"/>
          <w:lang w:eastAsia="ko-KR"/>
        </w:rPr>
        <w:t> </w:t>
      </w:r>
    </w:p>
    <w:p w14:paraId="18EDD1A9" w14:textId="77777777" w:rsidR="00804633" w:rsidRDefault="00804633" w:rsidP="00804633">
      <w:pPr>
        <w:rPr>
          <w:lang w:eastAsia="ko-KR"/>
        </w:rPr>
      </w:pPr>
      <w:r>
        <w:rPr>
          <w:rFonts w:ascii="Trebuchet MS" w:hAnsi="Trebuchet MS"/>
          <w:b/>
          <w:bCs/>
          <w:sz w:val="24"/>
          <w:szCs w:val="24"/>
          <w:lang w:eastAsia="ko-KR"/>
        </w:rPr>
        <w:t xml:space="preserve">Discussion: </w:t>
      </w:r>
      <w:r>
        <w:rPr>
          <w:rFonts w:ascii="Trebuchet MS" w:hAnsi="Trebuchet MS"/>
          <w:sz w:val="24"/>
          <w:szCs w:val="24"/>
          <w:lang w:eastAsia="ko-KR"/>
        </w:rPr>
        <w:t xml:space="preserve">Based on the input contributions 725/916 there are two categories of proposals – </w:t>
      </w:r>
      <w:r>
        <w:rPr>
          <w:rFonts w:ascii="Trebuchet MS" w:hAnsi="Trebuchet MS"/>
          <w:b/>
          <w:bCs/>
          <w:sz w:val="24"/>
          <w:szCs w:val="24"/>
          <w:lang w:eastAsia="ko-KR"/>
        </w:rPr>
        <w:t>1) Capability signaling and feature lists for IAB nodes</w:t>
      </w:r>
      <w:r>
        <w:rPr>
          <w:rFonts w:ascii="Trebuchet MS" w:hAnsi="Trebuchet MS"/>
          <w:sz w:val="24"/>
          <w:szCs w:val="24"/>
          <w:lang w:eastAsia="ko-KR"/>
        </w:rPr>
        <w:t xml:space="preserve"> and </w:t>
      </w:r>
      <w:r>
        <w:rPr>
          <w:rFonts w:ascii="Trebuchet MS" w:hAnsi="Trebuchet MS"/>
          <w:b/>
          <w:bCs/>
          <w:sz w:val="24"/>
          <w:szCs w:val="24"/>
          <w:lang w:eastAsia="ko-KR"/>
        </w:rPr>
        <w:t>2) Mandatory support for topology adaptation.</w:t>
      </w:r>
    </w:p>
    <w:p w14:paraId="769108D9" w14:textId="77777777" w:rsidR="00804633" w:rsidRDefault="00804633" w:rsidP="00804633">
      <w:pPr>
        <w:rPr>
          <w:lang w:eastAsia="ko-KR"/>
        </w:rPr>
      </w:pPr>
      <w:r>
        <w:rPr>
          <w:rFonts w:ascii="Trebuchet MS" w:hAnsi="Trebuchet MS"/>
          <w:sz w:val="24"/>
          <w:szCs w:val="24"/>
          <w:lang w:eastAsia="ko-KR"/>
        </w:rPr>
        <w:t> </w:t>
      </w:r>
    </w:p>
    <w:p w14:paraId="350D5F79" w14:textId="77777777" w:rsidR="00804633" w:rsidRDefault="00804633" w:rsidP="00804633">
      <w:pPr>
        <w:rPr>
          <w:lang w:eastAsia="ko-KR"/>
        </w:rPr>
      </w:pPr>
      <w:r>
        <w:rPr>
          <w:rFonts w:ascii="Trebuchet MS" w:hAnsi="Trebuchet MS"/>
          <w:b/>
          <w:bCs/>
          <w:sz w:val="24"/>
          <w:szCs w:val="24"/>
          <w:u w:val="single"/>
          <w:lang w:eastAsia="ko-KR"/>
        </w:rPr>
        <w:t>Topic 1:</w:t>
      </w:r>
      <w:r>
        <w:rPr>
          <w:rFonts w:ascii="Trebuchet MS" w:hAnsi="Trebuchet MS"/>
          <w:sz w:val="24"/>
          <w:szCs w:val="24"/>
          <w:u w:val="single"/>
          <w:lang w:eastAsia="ko-KR"/>
        </w:rPr>
        <w:t xml:space="preserve"> </w:t>
      </w:r>
      <w:r>
        <w:rPr>
          <w:rFonts w:ascii="Trebuchet MS" w:hAnsi="Trebuchet MS"/>
          <w:b/>
          <w:bCs/>
          <w:sz w:val="24"/>
          <w:szCs w:val="24"/>
          <w:u w:val="single"/>
          <w:lang w:eastAsia="ko-KR"/>
        </w:rPr>
        <w:t>Capability signaling and feature lists for IAB nodes</w:t>
      </w:r>
    </w:p>
    <w:p w14:paraId="5D147B7F" w14:textId="77777777" w:rsidR="00804633" w:rsidRDefault="00804633" w:rsidP="00804633">
      <w:pPr>
        <w:rPr>
          <w:lang w:eastAsia="ko-KR"/>
        </w:rPr>
      </w:pPr>
      <w:r>
        <w:rPr>
          <w:rFonts w:ascii="Trebuchet MS" w:hAnsi="Trebuchet MS"/>
          <w:sz w:val="24"/>
          <w:szCs w:val="24"/>
          <w:lang w:eastAsia="ko-KR"/>
        </w:rPr>
        <w:t>Key agreements from RAN2</w:t>
      </w:r>
      <w:r>
        <w:rPr>
          <w:rFonts w:ascii="Trebuchet MS" w:hAnsi="Trebuchet MS"/>
          <w:b/>
          <w:bCs/>
          <w:sz w:val="24"/>
          <w:szCs w:val="24"/>
          <w:lang w:eastAsia="ko-KR"/>
        </w:rPr>
        <w:t>:</w:t>
      </w:r>
    </w:p>
    <w:p w14:paraId="75D2AF78" w14:textId="77777777" w:rsidR="00804633" w:rsidRDefault="00804633" w:rsidP="00804633">
      <w:pPr>
        <w:pStyle w:val="Agreement"/>
        <w:numPr>
          <w:ilvl w:val="0"/>
          <w:numId w:val="27"/>
        </w:numPr>
        <w:tabs>
          <w:tab w:val="left" w:pos="720"/>
        </w:tabs>
      </w:pPr>
      <w:r>
        <w:rPr>
          <w:rFonts w:ascii="Trebuchet MS" w:hAnsi="Trebuchet MS"/>
          <w:sz w:val="24"/>
          <w:szCs w:val="24"/>
        </w:rPr>
        <w:t>R2 to specify that IAB-MTs can make use of the UE capability signaling framework (including specification of minimum set). Whether it is actually used for e.g. Wide Area IAB-MTs may be up to implementation.</w:t>
      </w:r>
    </w:p>
    <w:p w14:paraId="2EA283DC" w14:textId="77777777" w:rsidR="00804633" w:rsidRDefault="00804633" w:rsidP="00804633">
      <w:pPr>
        <w:pStyle w:val="Agreement"/>
        <w:numPr>
          <w:ilvl w:val="0"/>
          <w:numId w:val="27"/>
        </w:numPr>
        <w:tabs>
          <w:tab w:val="left" w:pos="720"/>
        </w:tabs>
      </w:pPr>
      <w:r>
        <w:rPr>
          <w:rFonts w:ascii="Trebuchet MS" w:hAnsi="Trebuchet MS"/>
          <w:sz w:val="24"/>
          <w:szCs w:val="24"/>
          <w:lang w:val="en-GB" w:eastAsia="zh-CN"/>
        </w:rPr>
        <w:t xml:space="preserve">Local-Area IAB-MTs </w:t>
      </w:r>
      <w:proofErr w:type="gramStart"/>
      <w:r>
        <w:rPr>
          <w:rFonts w:ascii="Trebuchet MS" w:hAnsi="Trebuchet MS"/>
          <w:sz w:val="24"/>
          <w:szCs w:val="24"/>
          <w:lang w:val="en-GB" w:eastAsia="zh-CN"/>
        </w:rPr>
        <w:t>have to</w:t>
      </w:r>
      <w:proofErr w:type="gramEnd"/>
      <w:r>
        <w:rPr>
          <w:rFonts w:ascii="Trebuchet MS" w:hAnsi="Trebuchet MS"/>
          <w:sz w:val="24"/>
          <w:szCs w:val="24"/>
          <w:lang w:val="en-GB" w:eastAsia="zh-CN"/>
        </w:rPr>
        <w:t xml:space="preserve"> support the UE capability signaling framework.</w:t>
      </w:r>
    </w:p>
    <w:p w14:paraId="2BA94CBD" w14:textId="77777777" w:rsidR="00804633" w:rsidRDefault="00804633" w:rsidP="00804633">
      <w:pPr>
        <w:pStyle w:val="Agreement"/>
        <w:numPr>
          <w:ilvl w:val="0"/>
          <w:numId w:val="27"/>
        </w:numPr>
        <w:tabs>
          <w:tab w:val="left" w:pos="720"/>
        </w:tabs>
      </w:pPr>
      <w:r>
        <w:rPr>
          <w:rFonts w:ascii="Trebuchet MS" w:hAnsi="Trebuchet MS"/>
          <w:sz w:val="24"/>
          <w:szCs w:val="24"/>
        </w:rPr>
        <w:t xml:space="preserve">Mandatory IAB-MT features (minimum set of capabilities) are defined (indicated) in a dedicated sub-section in TS 38.306. </w:t>
      </w:r>
    </w:p>
    <w:p w14:paraId="18F1C2E2" w14:textId="77777777" w:rsidR="00804633" w:rsidRDefault="00804633" w:rsidP="00804633">
      <w:pPr>
        <w:pStyle w:val="Agreement"/>
        <w:numPr>
          <w:ilvl w:val="0"/>
          <w:numId w:val="27"/>
        </w:numPr>
        <w:tabs>
          <w:tab w:val="left" w:pos="720"/>
        </w:tabs>
      </w:pPr>
      <w:r>
        <w:rPr>
          <w:rFonts w:ascii="Trebuchet MS" w:hAnsi="Trebuchet MS"/>
          <w:sz w:val="24"/>
          <w:szCs w:val="24"/>
          <w:lang w:val="en-GB"/>
        </w:rPr>
        <w:t>Introduce capability bits for IAB-MT to allow support indication for the features which are mandatory without capability signaling for Rel-15 UEs, but are optional for IAB-MT.</w:t>
      </w:r>
    </w:p>
    <w:p w14:paraId="0DCE11E0" w14:textId="77777777" w:rsidR="00804633" w:rsidRDefault="00804633" w:rsidP="00804633">
      <w:pPr>
        <w:rPr>
          <w:lang w:eastAsia="ko-KR"/>
        </w:rPr>
      </w:pPr>
      <w:r>
        <w:rPr>
          <w:rFonts w:ascii="Trebuchet MS" w:hAnsi="Trebuchet MS"/>
          <w:sz w:val="24"/>
          <w:szCs w:val="24"/>
          <w:lang w:eastAsia="ko-KR"/>
        </w:rPr>
        <w:t> </w:t>
      </w:r>
    </w:p>
    <w:p w14:paraId="35907393" w14:textId="77777777" w:rsidR="00804633" w:rsidRDefault="00804633" w:rsidP="00804633">
      <w:pPr>
        <w:rPr>
          <w:lang w:eastAsia="ko-KR"/>
        </w:rPr>
      </w:pPr>
      <w:r>
        <w:rPr>
          <w:rFonts w:ascii="Trebuchet MS" w:hAnsi="Trebuchet MS"/>
          <w:sz w:val="24"/>
          <w:szCs w:val="24"/>
          <w:lang w:eastAsia="ko-KR"/>
        </w:rPr>
        <w:t>Key agreements from RAN3</w:t>
      </w:r>
      <w:r>
        <w:rPr>
          <w:rFonts w:ascii="Trebuchet MS" w:hAnsi="Trebuchet MS"/>
          <w:b/>
          <w:bCs/>
          <w:sz w:val="24"/>
          <w:szCs w:val="24"/>
          <w:lang w:eastAsia="ko-KR"/>
        </w:rPr>
        <w:t>:</w:t>
      </w:r>
    </w:p>
    <w:p w14:paraId="01AEA6E6" w14:textId="77777777" w:rsidR="00804633" w:rsidRDefault="00804633" w:rsidP="00804633">
      <w:pPr>
        <w:ind w:left="144" w:hanging="144"/>
        <w:rPr>
          <w:lang w:eastAsia="ko-KR"/>
        </w:rPr>
      </w:pPr>
      <w:r>
        <w:rPr>
          <w:rFonts w:ascii="Trebuchet MS" w:hAnsi="Trebuchet MS"/>
          <w:b/>
          <w:bCs/>
          <w:color w:val="00B050"/>
          <w:sz w:val="24"/>
          <w:szCs w:val="24"/>
          <w:lang w:eastAsia="ko-KR"/>
        </w:rPr>
        <w:lastRenderedPageBreak/>
        <w:t xml:space="preserve">IAB-DU capabilities are not exchanged between IAB-DU/IAB-donor-DU and IAB-donor-CU via F1 interface. </w:t>
      </w:r>
    </w:p>
    <w:p w14:paraId="24456686" w14:textId="77777777" w:rsidR="00804633" w:rsidRDefault="00804633" w:rsidP="00804633">
      <w:pPr>
        <w:ind w:left="144" w:hanging="144"/>
        <w:rPr>
          <w:lang w:eastAsia="ko-KR"/>
        </w:rPr>
      </w:pPr>
      <w:r>
        <w:rPr>
          <w:rFonts w:ascii="Trebuchet MS" w:hAnsi="Trebuchet MS"/>
          <w:b/>
          <w:bCs/>
          <w:color w:val="00B050"/>
          <w:sz w:val="24"/>
          <w:szCs w:val="24"/>
          <w:lang w:eastAsia="ko-KR"/>
        </w:rPr>
        <w:t>In Rel-16, how the donor-CU and/or parent node are aware of the appropriate capabilities of a given child IAB-DU is left up to network implementation (e.g. via OAM)</w:t>
      </w:r>
    </w:p>
    <w:p w14:paraId="157AF987" w14:textId="77777777" w:rsidR="00804633" w:rsidRDefault="00804633" w:rsidP="00804633">
      <w:pPr>
        <w:rPr>
          <w:lang w:eastAsia="ko-KR"/>
        </w:rPr>
      </w:pPr>
      <w:r>
        <w:rPr>
          <w:rFonts w:ascii="Trebuchet MS" w:hAnsi="Trebuchet MS"/>
          <w:sz w:val="24"/>
          <w:szCs w:val="24"/>
          <w:lang w:eastAsia="ko-KR"/>
        </w:rPr>
        <w:t> </w:t>
      </w:r>
    </w:p>
    <w:p w14:paraId="29C3682A" w14:textId="77777777" w:rsidR="00804633" w:rsidRDefault="00804633" w:rsidP="00804633">
      <w:pPr>
        <w:rPr>
          <w:lang w:eastAsia="ko-KR"/>
        </w:rPr>
      </w:pPr>
      <w:r>
        <w:rPr>
          <w:rFonts w:ascii="Trebuchet MS" w:hAnsi="Trebuchet MS"/>
          <w:sz w:val="24"/>
          <w:szCs w:val="24"/>
          <w:lang w:eastAsia="ko-KR"/>
        </w:rPr>
        <w:t xml:space="preserve">Summary: Given the agreements, it should be clarified that the same signaling framework and specification of the mandatory features for Wide-area and Local Area IAB-MTs is applied across WGs. In addition, how IAB-DU capabilities are handled in Rel-17 should be formally captured to avoid a similar situation as at the end of Rel-16. </w:t>
      </w:r>
    </w:p>
    <w:p w14:paraId="487FEEF8" w14:textId="77777777" w:rsidR="00804633" w:rsidRDefault="00804633" w:rsidP="00804633">
      <w:pPr>
        <w:rPr>
          <w:lang w:eastAsia="ko-KR"/>
        </w:rPr>
      </w:pPr>
      <w:r>
        <w:rPr>
          <w:rFonts w:ascii="Trebuchet MS" w:hAnsi="Trebuchet MS"/>
          <w:sz w:val="24"/>
          <w:szCs w:val="24"/>
          <w:lang w:eastAsia="ko-KR"/>
        </w:rPr>
        <w:t> </w:t>
      </w:r>
    </w:p>
    <w:p w14:paraId="6EFF8685" w14:textId="77777777" w:rsidR="00804633" w:rsidRDefault="00804633" w:rsidP="00804633">
      <w:pPr>
        <w:rPr>
          <w:lang w:eastAsia="ko-KR"/>
        </w:rPr>
      </w:pPr>
      <w:r>
        <w:rPr>
          <w:rFonts w:ascii="Trebuchet MS" w:hAnsi="Trebuchet MS"/>
          <w:sz w:val="24"/>
          <w:szCs w:val="24"/>
          <w:lang w:eastAsia="ko-KR"/>
        </w:rPr>
        <w:t>Proposals from input contributions</w:t>
      </w:r>
      <w:r>
        <w:rPr>
          <w:rFonts w:ascii="Trebuchet MS" w:hAnsi="Trebuchet MS"/>
          <w:b/>
          <w:bCs/>
          <w:sz w:val="24"/>
          <w:szCs w:val="24"/>
          <w:lang w:eastAsia="ko-KR"/>
        </w:rPr>
        <w:t>:</w:t>
      </w:r>
    </w:p>
    <w:p w14:paraId="5BD881C5" w14:textId="77777777" w:rsidR="00804633" w:rsidRDefault="00804633" w:rsidP="00804633">
      <w:pPr>
        <w:rPr>
          <w:lang w:eastAsia="ko-KR"/>
        </w:rPr>
      </w:pPr>
      <w:r>
        <w:rPr>
          <w:rFonts w:ascii="Trebuchet MS" w:hAnsi="Trebuchet MS"/>
          <w:b/>
          <w:bCs/>
          <w:sz w:val="24"/>
          <w:szCs w:val="24"/>
          <w:lang w:eastAsia="ko-KR"/>
        </w:rPr>
        <w:t xml:space="preserve">916-Proposal 1: RAN1&amp;4 </w:t>
      </w:r>
      <w:proofErr w:type="gramStart"/>
      <w:r>
        <w:rPr>
          <w:rFonts w:ascii="Trebuchet MS" w:hAnsi="Trebuchet MS"/>
          <w:b/>
          <w:bCs/>
          <w:sz w:val="24"/>
          <w:szCs w:val="24"/>
          <w:lang w:eastAsia="ko-KR"/>
        </w:rPr>
        <w:t>take into account</w:t>
      </w:r>
      <w:proofErr w:type="gramEnd"/>
      <w:r>
        <w:rPr>
          <w:rFonts w:ascii="Trebuchet MS" w:hAnsi="Trebuchet MS"/>
          <w:b/>
          <w:bCs/>
          <w:sz w:val="24"/>
          <w:szCs w:val="24"/>
          <w:lang w:eastAsia="ko-KR"/>
        </w:rPr>
        <w:t xml:space="preserve"> the signaling framework used by RAN2 and finalize the IAB-MT feature list.</w:t>
      </w:r>
    </w:p>
    <w:p w14:paraId="1BF73A4F" w14:textId="77777777" w:rsidR="00804633" w:rsidRDefault="00804633" w:rsidP="00804633">
      <w:pPr>
        <w:rPr>
          <w:lang w:eastAsia="ko-KR"/>
        </w:rPr>
      </w:pPr>
      <w:r>
        <w:rPr>
          <w:rFonts w:ascii="Trebuchet MS" w:hAnsi="Trebuchet MS"/>
          <w:b/>
          <w:bCs/>
          <w:sz w:val="24"/>
          <w:szCs w:val="24"/>
          <w:lang w:eastAsia="ko-KR"/>
        </w:rPr>
        <w:t>916-Proposal 2: A set of mandatory features are defined which are common for both IAB-MT classes.</w:t>
      </w:r>
    </w:p>
    <w:p w14:paraId="7684B712" w14:textId="77777777" w:rsidR="00804633" w:rsidRDefault="00804633" w:rsidP="00804633">
      <w:pPr>
        <w:rPr>
          <w:lang w:eastAsia="ko-KR"/>
        </w:rPr>
      </w:pPr>
      <w:r>
        <w:rPr>
          <w:rFonts w:ascii="Trebuchet MS" w:hAnsi="Trebuchet MS"/>
          <w:b/>
          <w:bCs/>
          <w:sz w:val="24"/>
          <w:szCs w:val="24"/>
          <w:lang w:eastAsia="ko-KR"/>
        </w:rPr>
        <w:t xml:space="preserve">725-Proposal 2: Local-area IAB-MTs support the same Rel-15 layer-1 mandatory UE </w:t>
      </w:r>
      <w:proofErr w:type="gramStart"/>
      <w:r>
        <w:rPr>
          <w:rFonts w:ascii="Trebuchet MS" w:hAnsi="Trebuchet MS"/>
          <w:b/>
          <w:bCs/>
          <w:sz w:val="24"/>
          <w:szCs w:val="24"/>
          <w:lang w:eastAsia="ko-KR"/>
        </w:rPr>
        <w:t>features</w:t>
      </w:r>
      <w:proofErr w:type="gramEnd"/>
      <w:r>
        <w:rPr>
          <w:rFonts w:ascii="Trebuchet MS" w:hAnsi="Trebuchet MS"/>
          <w:b/>
          <w:bCs/>
          <w:sz w:val="24"/>
          <w:szCs w:val="24"/>
          <w:lang w:eastAsia="ko-KR"/>
        </w:rPr>
        <w:t xml:space="preserve"> (as defined in TR 38.822) as wide-area IAB-MTs.</w:t>
      </w:r>
    </w:p>
    <w:p w14:paraId="5C702D97" w14:textId="77777777" w:rsidR="00804633" w:rsidRDefault="00804633" w:rsidP="00804633">
      <w:pPr>
        <w:rPr>
          <w:lang w:eastAsia="ko-KR"/>
        </w:rPr>
      </w:pPr>
      <w:r>
        <w:rPr>
          <w:rFonts w:ascii="Trebuchet MS" w:hAnsi="Trebuchet MS"/>
          <w:b/>
          <w:bCs/>
          <w:sz w:val="24"/>
          <w:szCs w:val="24"/>
          <w:lang w:eastAsia="ko-KR"/>
        </w:rPr>
        <w:t>725-Proposal 5: Support for exchange of IAB-DU capabilities between IAB-DU/IAB-donor-DU and IAB-donor CU via F1 interface should be included in the Rel-17 IAB WID objectives.</w:t>
      </w:r>
    </w:p>
    <w:p w14:paraId="5691E407" w14:textId="2A95DB6F" w:rsidR="00804633" w:rsidRDefault="00804633" w:rsidP="00804633">
      <w:pPr>
        <w:rPr>
          <w:rFonts w:ascii="Trebuchet MS" w:hAnsi="Trebuchet MS"/>
          <w:b/>
          <w:bCs/>
          <w:sz w:val="24"/>
          <w:szCs w:val="24"/>
          <w:lang w:eastAsia="ko-KR"/>
        </w:rPr>
      </w:pPr>
      <w:r>
        <w:rPr>
          <w:rFonts w:ascii="Trebuchet MS" w:hAnsi="Trebuchet MS"/>
          <w:b/>
          <w:bCs/>
          <w:sz w:val="24"/>
          <w:szCs w:val="24"/>
          <w:lang w:eastAsia="ko-KR"/>
        </w:rPr>
        <w:t> </w:t>
      </w:r>
    </w:p>
    <w:p w14:paraId="496FBFA0" w14:textId="77777777" w:rsidR="00804633" w:rsidRDefault="00804633" w:rsidP="00804633">
      <w:pPr>
        <w:spacing w:after="0"/>
        <w:rPr>
          <w:rFonts w:eastAsia="MS Mincho"/>
          <w:lang w:val="en-US"/>
        </w:rPr>
      </w:pPr>
    </w:p>
    <w:p w14:paraId="520FF67B" w14:textId="46FF79A3" w:rsidR="00804633" w:rsidRPr="00804633" w:rsidRDefault="00804633" w:rsidP="00804633">
      <w:pPr>
        <w:pStyle w:val="Heading1"/>
        <w:rPr>
          <w:rFonts w:eastAsia="MS Mincho"/>
          <w:lang w:val="en-US"/>
        </w:rPr>
      </w:pPr>
      <w:r>
        <w:rPr>
          <w:rFonts w:eastAsia="MS Mincho"/>
          <w:lang w:val="en-US"/>
        </w:rPr>
        <w:t>Discussion</w:t>
      </w:r>
    </w:p>
    <w:p w14:paraId="35E5C925" w14:textId="32DDEC68" w:rsidR="00804633" w:rsidRDefault="00804633" w:rsidP="00804633">
      <w:pPr>
        <w:rPr>
          <w:lang w:eastAsia="ko-KR"/>
        </w:rPr>
      </w:pPr>
      <w:r>
        <w:rPr>
          <w:rFonts w:ascii="Trebuchet MS" w:hAnsi="Trebuchet MS"/>
          <w:sz w:val="24"/>
          <w:szCs w:val="24"/>
          <w:lang w:eastAsia="ko-KR"/>
        </w:rPr>
        <w:t xml:space="preserve">Companies </w:t>
      </w:r>
      <w:r>
        <w:rPr>
          <w:rFonts w:ascii="Trebuchet MS" w:hAnsi="Trebuchet MS"/>
          <w:sz w:val="24"/>
          <w:szCs w:val="24"/>
          <w:lang w:eastAsia="ko-KR"/>
        </w:rPr>
        <w:t>were</w:t>
      </w:r>
      <w:r>
        <w:rPr>
          <w:rFonts w:ascii="Trebuchet MS" w:hAnsi="Trebuchet MS"/>
          <w:sz w:val="24"/>
          <w:szCs w:val="24"/>
          <w:lang w:eastAsia="ko-KR"/>
        </w:rPr>
        <w:t xml:space="preserve"> asked to provide their views on the above proposals as well as any supporting comments or questions for clarification below:</w:t>
      </w:r>
    </w:p>
    <w:tbl>
      <w:tblPr>
        <w:tblW w:w="0" w:type="auto"/>
        <w:tblInd w:w="215" w:type="dxa"/>
        <w:tblCellMar>
          <w:left w:w="0" w:type="dxa"/>
          <w:right w:w="0" w:type="dxa"/>
        </w:tblCellMar>
        <w:tblLook w:val="04A0" w:firstRow="1" w:lastRow="0" w:firstColumn="1" w:lastColumn="0" w:noHBand="0" w:noVBand="1"/>
      </w:tblPr>
      <w:tblGrid>
        <w:gridCol w:w="1374"/>
        <w:gridCol w:w="1852"/>
        <w:gridCol w:w="5961"/>
      </w:tblGrid>
      <w:tr w:rsidR="00804633" w14:paraId="55E4A266" w14:textId="77777777" w:rsidTr="00804633">
        <w:tc>
          <w:tcPr>
            <w:tcW w:w="1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6259CC" w14:textId="77777777" w:rsidR="00804633" w:rsidRDefault="00804633">
            <w:pPr>
              <w:spacing w:line="252" w:lineRule="auto"/>
              <w:rPr>
                <w:lang w:eastAsia="en-US"/>
              </w:rPr>
            </w:pPr>
            <w:r>
              <w:rPr>
                <w:rFonts w:ascii="Trebuchet MS" w:hAnsi="Trebuchet MS"/>
                <w:b/>
                <w:bCs/>
                <w:sz w:val="24"/>
                <w:szCs w:val="24"/>
              </w:rPr>
              <w:t>Company</w:t>
            </w:r>
          </w:p>
        </w:tc>
        <w:tc>
          <w:tcPr>
            <w:tcW w:w="2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BBA48" w14:textId="77777777" w:rsidR="00804633" w:rsidRDefault="00804633">
            <w:pPr>
              <w:spacing w:line="252" w:lineRule="auto"/>
            </w:pPr>
            <w:r>
              <w:rPr>
                <w:rFonts w:ascii="Trebuchet MS" w:hAnsi="Trebuchet MS"/>
                <w:b/>
                <w:bCs/>
                <w:sz w:val="24"/>
                <w:szCs w:val="24"/>
              </w:rPr>
              <w:t xml:space="preserve">Which proposals do you support? </w:t>
            </w:r>
          </w:p>
        </w:tc>
        <w:tc>
          <w:tcPr>
            <w:tcW w:w="1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62776" w14:textId="77777777" w:rsidR="00804633" w:rsidRDefault="00804633">
            <w:pPr>
              <w:spacing w:line="252" w:lineRule="auto"/>
            </w:pPr>
            <w:r>
              <w:rPr>
                <w:rFonts w:ascii="Trebuchet MS" w:hAnsi="Trebuchet MS"/>
                <w:b/>
                <w:bCs/>
                <w:sz w:val="24"/>
                <w:szCs w:val="24"/>
              </w:rPr>
              <w:t>Comments</w:t>
            </w:r>
          </w:p>
        </w:tc>
      </w:tr>
      <w:tr w:rsidR="00804633" w14:paraId="6A7B413D" w14:textId="77777777" w:rsidTr="00804633">
        <w:tc>
          <w:tcPr>
            <w:tcW w:w="1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6F64D" w14:textId="77777777" w:rsidR="00804633" w:rsidRDefault="00804633">
            <w:pPr>
              <w:spacing w:line="252" w:lineRule="auto"/>
            </w:pPr>
            <w:r>
              <w:rPr>
                <w:rFonts w:ascii="Trebuchet MS" w:hAnsi="Trebuchet MS"/>
                <w:sz w:val="24"/>
                <w:szCs w:val="24"/>
              </w:rPr>
              <w:t> AT&amp;T</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14:paraId="3A93BA3F" w14:textId="77777777" w:rsidR="00804633" w:rsidRDefault="00804633">
            <w:pPr>
              <w:spacing w:line="252" w:lineRule="auto"/>
            </w:pPr>
            <w:r>
              <w:rPr>
                <w:rFonts w:ascii="Trebuchet MS" w:hAnsi="Trebuchet MS"/>
                <w:sz w:val="24"/>
                <w:szCs w:val="24"/>
              </w:rPr>
              <w:t>All proposals</w:t>
            </w:r>
          </w:p>
        </w:tc>
        <w:tc>
          <w:tcPr>
            <w:tcW w:w="11790" w:type="dxa"/>
            <w:tcBorders>
              <w:top w:val="nil"/>
              <w:left w:val="nil"/>
              <w:bottom w:val="single" w:sz="8" w:space="0" w:color="auto"/>
              <w:right w:val="single" w:sz="8" w:space="0" w:color="auto"/>
            </w:tcBorders>
            <w:tcMar>
              <w:top w:w="0" w:type="dxa"/>
              <w:left w:w="108" w:type="dxa"/>
              <w:bottom w:w="0" w:type="dxa"/>
              <w:right w:w="108" w:type="dxa"/>
            </w:tcMar>
          </w:tcPr>
          <w:p w14:paraId="505CC74C" w14:textId="77777777" w:rsidR="00804633" w:rsidRDefault="00804633">
            <w:pPr>
              <w:spacing w:line="252" w:lineRule="auto"/>
              <w:rPr>
                <w:rFonts w:ascii="Trebuchet MS" w:hAnsi="Trebuchet MS"/>
                <w:sz w:val="24"/>
                <w:szCs w:val="24"/>
              </w:rPr>
            </w:pPr>
            <w:r>
              <w:rPr>
                <w:rFonts w:ascii="Trebuchet MS" w:hAnsi="Trebuchet MS"/>
                <w:sz w:val="24"/>
                <w:szCs w:val="24"/>
              </w:rPr>
              <w:t xml:space="preserve">Given that RAN2 will extend the UE capability signaling framework for IAB-MTs as well, it is important that it can apply to all features across RAN1/RAN2/RAN4. Capability signaling is essential for scalable testing and inter-operability of multi-vendor IAB nodes independent of class and should be fully supported for both IAB-MT and IAB-DU features, which is why we believe 725-Proposal 5 is important to address an unfortunate gap in Rel-16 where </w:t>
            </w:r>
            <w:r>
              <w:rPr>
                <w:rFonts w:ascii="Trebuchet MS" w:hAnsi="Trebuchet MS"/>
                <w:sz w:val="24"/>
                <w:szCs w:val="24"/>
              </w:rPr>
              <w:lastRenderedPageBreak/>
              <w:t>exchange/coordination of IAB-DU related features is unspecified and left up to OAM.</w:t>
            </w:r>
          </w:p>
          <w:p w14:paraId="1256823C" w14:textId="77777777" w:rsidR="00804633" w:rsidRDefault="00804633">
            <w:pPr>
              <w:spacing w:line="252" w:lineRule="auto"/>
              <w:rPr>
                <w:rFonts w:ascii="Trebuchet MS" w:hAnsi="Trebuchet MS"/>
                <w:sz w:val="24"/>
                <w:szCs w:val="24"/>
              </w:rPr>
            </w:pPr>
          </w:p>
          <w:p w14:paraId="1BCEE030" w14:textId="77777777" w:rsidR="00804633" w:rsidRDefault="00804633">
            <w:pPr>
              <w:spacing w:line="252" w:lineRule="auto"/>
              <w:rPr>
                <w:rFonts w:ascii="Calibri" w:hAnsi="Calibri"/>
                <w:sz w:val="22"/>
                <w:szCs w:val="22"/>
              </w:rPr>
            </w:pPr>
            <w:r>
              <w:rPr>
                <w:rFonts w:ascii="Trebuchet MS" w:hAnsi="Trebuchet MS"/>
                <w:sz w:val="24"/>
                <w:szCs w:val="24"/>
              </w:rPr>
              <w:t xml:space="preserve">Also, although certain optimizations could be considered in terms of feature differentiation between wide-area and local-area IAB-MTs, it seems </w:t>
            </w:r>
            <w:proofErr w:type="gramStart"/>
            <w:r>
              <w:rPr>
                <w:rFonts w:ascii="Trebuchet MS" w:hAnsi="Trebuchet MS"/>
                <w:sz w:val="24"/>
                <w:szCs w:val="24"/>
              </w:rPr>
              <w:t>sufficient</w:t>
            </w:r>
            <w:proofErr w:type="gramEnd"/>
            <w:r>
              <w:rPr>
                <w:rFonts w:ascii="Trebuchet MS" w:hAnsi="Trebuchet MS"/>
                <w:sz w:val="24"/>
                <w:szCs w:val="24"/>
              </w:rPr>
              <w:t xml:space="preserve"> in Rel-16 to align the minimum sets of mandatory features between the two classes (assuming topology adaptation is included as discussed in Topic #2).</w:t>
            </w:r>
          </w:p>
        </w:tc>
      </w:tr>
      <w:tr w:rsidR="00804633" w14:paraId="70741B87" w14:textId="77777777" w:rsidTr="00804633">
        <w:tc>
          <w:tcPr>
            <w:tcW w:w="1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2BD05" w14:textId="77777777" w:rsidR="00804633" w:rsidRDefault="00804633">
            <w:pPr>
              <w:spacing w:line="252" w:lineRule="auto"/>
              <w:rPr>
                <w:rFonts w:ascii="Trebuchet MS" w:hAnsi="Trebuchet MS"/>
                <w:sz w:val="24"/>
                <w:szCs w:val="24"/>
              </w:rPr>
            </w:pPr>
            <w:r>
              <w:rPr>
                <w:rFonts w:ascii="Trebuchet MS" w:hAnsi="Trebuchet MS"/>
                <w:color w:val="1F497D"/>
                <w:sz w:val="24"/>
                <w:szCs w:val="24"/>
              </w:rPr>
              <w:lastRenderedPageBreak/>
              <w:t>LG</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14:paraId="539A25F5"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916-Proposal 1</w:t>
            </w:r>
          </w:p>
          <w:p w14:paraId="5BAF0A3C"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725-Proposal 2</w:t>
            </w:r>
          </w:p>
          <w:p w14:paraId="65287EA7" w14:textId="77777777" w:rsidR="00804633" w:rsidRDefault="00804633">
            <w:pPr>
              <w:spacing w:line="252" w:lineRule="auto"/>
              <w:rPr>
                <w:rFonts w:ascii="Malgun Gothic" w:eastAsia="Malgun Gothic" w:hAnsi="Malgun Gothic"/>
                <w:color w:val="1F497D"/>
              </w:rPr>
            </w:pPr>
            <w:r>
              <w:rPr>
                <w:rFonts w:ascii="Trebuchet MS" w:hAnsi="Trebuchet MS"/>
                <w:color w:val="1F497D"/>
                <w:sz w:val="24"/>
                <w:szCs w:val="24"/>
              </w:rPr>
              <w:t>725-Proposal 5</w:t>
            </w:r>
          </w:p>
        </w:tc>
        <w:tc>
          <w:tcPr>
            <w:tcW w:w="11790" w:type="dxa"/>
            <w:tcBorders>
              <w:top w:val="nil"/>
              <w:left w:val="nil"/>
              <w:bottom w:val="single" w:sz="8" w:space="0" w:color="auto"/>
              <w:right w:val="single" w:sz="8" w:space="0" w:color="auto"/>
            </w:tcBorders>
            <w:tcMar>
              <w:top w:w="0" w:type="dxa"/>
              <w:left w:w="108" w:type="dxa"/>
              <w:bottom w:w="0" w:type="dxa"/>
              <w:right w:w="108" w:type="dxa"/>
            </w:tcMar>
            <w:hideMark/>
          </w:tcPr>
          <w:p w14:paraId="5D8FCB38" w14:textId="77777777" w:rsidR="00804633" w:rsidRDefault="00804633">
            <w:pPr>
              <w:spacing w:line="252" w:lineRule="auto"/>
              <w:rPr>
                <w:rFonts w:ascii="Trebuchet MS" w:eastAsiaTheme="minorHAnsi" w:hAnsi="Trebuchet MS" w:hint="eastAsia"/>
                <w:color w:val="1F497D"/>
                <w:sz w:val="24"/>
                <w:szCs w:val="24"/>
              </w:rPr>
            </w:pPr>
            <w:r>
              <w:rPr>
                <w:rFonts w:ascii="Trebuchet MS" w:hAnsi="Trebuchet MS"/>
                <w:color w:val="1F497D"/>
                <w:sz w:val="24"/>
                <w:szCs w:val="24"/>
              </w:rPr>
              <w:t>We think that Local area IAB-MT should be considered more like a UE and needs much more additional mandatory features than Wide area IAB-MT. So, defining a common set of mandatory features for both IAB-MT classes as in 916-Proposal 2 is inappropriate. It is better to have a separate set of mandatory features for Local area IAB-MT and Wide area IAB-MT. Most of existing Rel-15 UE mandatory features should be included as mandatory for Local area IAB-MT.</w:t>
            </w:r>
          </w:p>
        </w:tc>
      </w:tr>
      <w:tr w:rsidR="00804633" w14:paraId="20BCC7C3" w14:textId="77777777" w:rsidTr="00804633">
        <w:tc>
          <w:tcPr>
            <w:tcW w:w="1608" w:type="dxa"/>
            <w:tcBorders>
              <w:top w:val="nil"/>
              <w:left w:val="single" w:sz="8" w:space="0" w:color="auto"/>
              <w:bottom w:val="nil"/>
              <w:right w:val="single" w:sz="8" w:space="0" w:color="auto"/>
            </w:tcBorders>
            <w:tcMar>
              <w:top w:w="0" w:type="dxa"/>
              <w:left w:w="108" w:type="dxa"/>
              <w:bottom w:w="0" w:type="dxa"/>
              <w:right w:w="108" w:type="dxa"/>
            </w:tcMar>
            <w:hideMark/>
          </w:tcPr>
          <w:p w14:paraId="3150F15F" w14:textId="77777777" w:rsidR="00804633" w:rsidRDefault="00804633">
            <w:pPr>
              <w:spacing w:line="252" w:lineRule="auto"/>
              <w:rPr>
                <w:rFonts w:ascii="Calibri" w:hAnsi="Calibri"/>
                <w:color w:val="00B050"/>
                <w:sz w:val="24"/>
                <w:szCs w:val="24"/>
              </w:rPr>
            </w:pPr>
            <w:r>
              <w:rPr>
                <w:color w:val="00B050"/>
                <w:sz w:val="24"/>
                <w:szCs w:val="24"/>
              </w:rPr>
              <w:t>KDDI</w:t>
            </w:r>
          </w:p>
        </w:tc>
        <w:tc>
          <w:tcPr>
            <w:tcW w:w="2884" w:type="dxa"/>
            <w:tcBorders>
              <w:top w:val="nil"/>
              <w:left w:val="nil"/>
              <w:bottom w:val="nil"/>
              <w:right w:val="single" w:sz="8" w:space="0" w:color="auto"/>
            </w:tcBorders>
            <w:tcMar>
              <w:top w:w="0" w:type="dxa"/>
              <w:left w:w="108" w:type="dxa"/>
              <w:bottom w:w="0" w:type="dxa"/>
              <w:right w:w="108" w:type="dxa"/>
            </w:tcMar>
            <w:hideMark/>
          </w:tcPr>
          <w:p w14:paraId="09488F93" w14:textId="77777777" w:rsidR="00804633" w:rsidRDefault="00804633">
            <w:pPr>
              <w:spacing w:line="252" w:lineRule="auto"/>
              <w:rPr>
                <w:color w:val="00B050"/>
                <w:sz w:val="24"/>
                <w:szCs w:val="24"/>
              </w:rPr>
            </w:pPr>
            <w:r>
              <w:rPr>
                <w:color w:val="00B050"/>
                <w:sz w:val="24"/>
                <w:szCs w:val="24"/>
              </w:rPr>
              <w:t>916-Proposal 1</w:t>
            </w:r>
          </w:p>
          <w:p w14:paraId="3FB8A782" w14:textId="77777777" w:rsidR="00804633" w:rsidRDefault="00804633">
            <w:pPr>
              <w:spacing w:line="252" w:lineRule="auto"/>
              <w:rPr>
                <w:color w:val="00B050"/>
                <w:sz w:val="24"/>
                <w:szCs w:val="24"/>
              </w:rPr>
            </w:pPr>
            <w:r>
              <w:rPr>
                <w:color w:val="00B050"/>
                <w:sz w:val="24"/>
                <w:szCs w:val="24"/>
              </w:rPr>
              <w:t>725-Proposal 2</w:t>
            </w:r>
          </w:p>
          <w:p w14:paraId="29FF0D68" w14:textId="77777777" w:rsidR="00804633" w:rsidRDefault="00804633">
            <w:pPr>
              <w:spacing w:line="252" w:lineRule="auto"/>
              <w:rPr>
                <w:color w:val="00B050"/>
                <w:sz w:val="24"/>
                <w:szCs w:val="24"/>
              </w:rPr>
            </w:pPr>
            <w:r>
              <w:rPr>
                <w:color w:val="00B050"/>
                <w:sz w:val="24"/>
                <w:szCs w:val="24"/>
              </w:rPr>
              <w:t>725-Proposal 5</w:t>
            </w:r>
          </w:p>
        </w:tc>
        <w:tc>
          <w:tcPr>
            <w:tcW w:w="11790" w:type="dxa"/>
            <w:tcBorders>
              <w:top w:val="nil"/>
              <w:left w:val="nil"/>
              <w:bottom w:val="nil"/>
              <w:right w:val="single" w:sz="8" w:space="0" w:color="auto"/>
            </w:tcBorders>
            <w:tcMar>
              <w:top w:w="0" w:type="dxa"/>
              <w:left w:w="108" w:type="dxa"/>
              <w:bottom w:w="0" w:type="dxa"/>
              <w:right w:w="108" w:type="dxa"/>
            </w:tcMar>
            <w:hideMark/>
          </w:tcPr>
          <w:p w14:paraId="38B206D4" w14:textId="77777777" w:rsidR="00804633" w:rsidRDefault="00804633">
            <w:pPr>
              <w:spacing w:line="252" w:lineRule="auto"/>
              <w:ind w:left="360" w:hanging="360"/>
              <w:rPr>
                <w:color w:val="00B050"/>
                <w:sz w:val="24"/>
                <w:szCs w:val="24"/>
              </w:rPr>
            </w:pPr>
            <w:r>
              <w:rPr>
                <w:color w:val="00B050"/>
                <w:sz w:val="24"/>
                <w:szCs w:val="24"/>
              </w:rPr>
              <w:t>We have the same view as LG.</w:t>
            </w:r>
          </w:p>
        </w:tc>
      </w:tr>
      <w:tr w:rsidR="00804633" w14:paraId="1F0A7567" w14:textId="77777777" w:rsidTr="00804633">
        <w:tc>
          <w:tcPr>
            <w:tcW w:w="1608" w:type="dxa"/>
            <w:tcBorders>
              <w:top w:val="nil"/>
              <w:left w:val="single" w:sz="8" w:space="0" w:color="auto"/>
              <w:bottom w:val="nil"/>
              <w:right w:val="single" w:sz="8" w:space="0" w:color="auto"/>
            </w:tcBorders>
            <w:tcMar>
              <w:top w:w="0" w:type="dxa"/>
              <w:left w:w="108" w:type="dxa"/>
              <w:bottom w:w="0" w:type="dxa"/>
              <w:right w:w="108" w:type="dxa"/>
            </w:tcMar>
          </w:tcPr>
          <w:p w14:paraId="05484807" w14:textId="77777777" w:rsidR="00804633" w:rsidRDefault="00804633">
            <w:pPr>
              <w:spacing w:line="252" w:lineRule="auto"/>
              <w:rPr>
                <w:color w:val="00B050"/>
                <w:sz w:val="24"/>
                <w:szCs w:val="24"/>
              </w:rPr>
            </w:pPr>
          </w:p>
        </w:tc>
        <w:tc>
          <w:tcPr>
            <w:tcW w:w="2884" w:type="dxa"/>
            <w:tcBorders>
              <w:top w:val="nil"/>
              <w:left w:val="nil"/>
              <w:bottom w:val="nil"/>
              <w:right w:val="single" w:sz="8" w:space="0" w:color="auto"/>
            </w:tcBorders>
            <w:tcMar>
              <w:top w:w="0" w:type="dxa"/>
              <w:left w:w="108" w:type="dxa"/>
              <w:bottom w:w="0" w:type="dxa"/>
              <w:right w:w="108" w:type="dxa"/>
            </w:tcMar>
          </w:tcPr>
          <w:p w14:paraId="40FFF342" w14:textId="77777777" w:rsidR="00804633" w:rsidRDefault="00804633">
            <w:pPr>
              <w:spacing w:line="252" w:lineRule="auto"/>
              <w:rPr>
                <w:color w:val="00B050"/>
                <w:sz w:val="24"/>
                <w:szCs w:val="24"/>
              </w:rPr>
            </w:pPr>
          </w:p>
        </w:tc>
        <w:tc>
          <w:tcPr>
            <w:tcW w:w="11790" w:type="dxa"/>
            <w:tcBorders>
              <w:top w:val="nil"/>
              <w:left w:val="nil"/>
              <w:bottom w:val="nil"/>
              <w:right w:val="single" w:sz="8" w:space="0" w:color="auto"/>
            </w:tcBorders>
            <w:tcMar>
              <w:top w:w="0" w:type="dxa"/>
              <w:left w:w="108" w:type="dxa"/>
              <w:bottom w:w="0" w:type="dxa"/>
              <w:right w:w="108" w:type="dxa"/>
            </w:tcMar>
          </w:tcPr>
          <w:p w14:paraId="36240617" w14:textId="77777777" w:rsidR="00804633" w:rsidRDefault="00804633">
            <w:pPr>
              <w:spacing w:line="252" w:lineRule="auto"/>
              <w:ind w:left="360" w:hanging="360"/>
              <w:rPr>
                <w:color w:val="00B050"/>
                <w:sz w:val="24"/>
                <w:szCs w:val="24"/>
              </w:rPr>
            </w:pPr>
          </w:p>
        </w:tc>
      </w:tr>
      <w:tr w:rsidR="00804633" w14:paraId="161937C7" w14:textId="77777777" w:rsidTr="00804633">
        <w:tc>
          <w:tcPr>
            <w:tcW w:w="1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6AA1C" w14:textId="77777777" w:rsidR="00804633" w:rsidRDefault="00804633">
            <w:pPr>
              <w:spacing w:line="252" w:lineRule="auto"/>
              <w:rPr>
                <w:color w:val="00B050"/>
                <w:sz w:val="24"/>
                <w:szCs w:val="24"/>
              </w:rPr>
            </w:pPr>
          </w:p>
        </w:tc>
        <w:tc>
          <w:tcPr>
            <w:tcW w:w="2884" w:type="dxa"/>
            <w:tcBorders>
              <w:top w:val="nil"/>
              <w:left w:val="nil"/>
              <w:bottom w:val="single" w:sz="8" w:space="0" w:color="auto"/>
              <w:right w:val="single" w:sz="8" w:space="0" w:color="auto"/>
            </w:tcBorders>
            <w:tcMar>
              <w:top w:w="0" w:type="dxa"/>
              <w:left w:w="108" w:type="dxa"/>
              <w:bottom w:w="0" w:type="dxa"/>
              <w:right w:w="108" w:type="dxa"/>
            </w:tcMar>
          </w:tcPr>
          <w:p w14:paraId="04F8EF22" w14:textId="77777777" w:rsidR="00804633" w:rsidRDefault="00804633">
            <w:pPr>
              <w:spacing w:line="252" w:lineRule="auto"/>
              <w:rPr>
                <w:color w:val="00B050"/>
                <w:sz w:val="24"/>
                <w:szCs w:val="24"/>
              </w:rPr>
            </w:pPr>
          </w:p>
        </w:tc>
        <w:tc>
          <w:tcPr>
            <w:tcW w:w="11790" w:type="dxa"/>
            <w:tcBorders>
              <w:top w:val="nil"/>
              <w:left w:val="nil"/>
              <w:bottom w:val="single" w:sz="8" w:space="0" w:color="auto"/>
              <w:right w:val="single" w:sz="8" w:space="0" w:color="auto"/>
            </w:tcBorders>
            <w:tcMar>
              <w:top w:w="0" w:type="dxa"/>
              <w:left w:w="108" w:type="dxa"/>
              <w:bottom w:w="0" w:type="dxa"/>
              <w:right w:w="108" w:type="dxa"/>
            </w:tcMar>
          </w:tcPr>
          <w:p w14:paraId="5CFAA1AC" w14:textId="77777777" w:rsidR="00804633" w:rsidRDefault="00804633">
            <w:pPr>
              <w:spacing w:line="252" w:lineRule="auto"/>
              <w:ind w:left="360" w:hanging="360"/>
              <w:rPr>
                <w:color w:val="00B050"/>
                <w:sz w:val="24"/>
                <w:szCs w:val="24"/>
              </w:rPr>
            </w:pPr>
          </w:p>
        </w:tc>
      </w:tr>
    </w:tbl>
    <w:p w14:paraId="607D7D2C" w14:textId="77777777" w:rsidR="00804633" w:rsidRDefault="00804633" w:rsidP="00804633">
      <w:pPr>
        <w:rPr>
          <w:rFonts w:ascii="Calibri" w:eastAsiaTheme="minorHAnsi" w:hAnsi="Calibri" w:cs="Calibri"/>
          <w:color w:val="auto"/>
          <w:sz w:val="22"/>
          <w:szCs w:val="22"/>
          <w:lang w:eastAsia="ko-KR"/>
        </w:rPr>
      </w:pPr>
      <w:r>
        <w:rPr>
          <w:rFonts w:ascii="Trebuchet MS" w:hAnsi="Trebuchet MS"/>
          <w:b/>
          <w:bCs/>
          <w:sz w:val="24"/>
          <w:szCs w:val="24"/>
          <w:lang w:eastAsia="ko-KR"/>
        </w:rPr>
        <w:t> </w:t>
      </w:r>
    </w:p>
    <w:tbl>
      <w:tblPr>
        <w:tblW w:w="0" w:type="auto"/>
        <w:tblInd w:w="215" w:type="dxa"/>
        <w:tblCellMar>
          <w:left w:w="0" w:type="dxa"/>
          <w:right w:w="0" w:type="dxa"/>
        </w:tblCellMar>
        <w:tblLook w:val="04A0" w:firstRow="1" w:lastRow="0" w:firstColumn="1" w:lastColumn="0" w:noHBand="0" w:noVBand="1"/>
        <w:tblCaption w:val=""/>
        <w:tblDescription w:val=""/>
      </w:tblPr>
      <w:tblGrid>
        <w:gridCol w:w="1100"/>
        <w:gridCol w:w="1340"/>
        <w:gridCol w:w="6747"/>
      </w:tblGrid>
      <w:tr w:rsidR="00804633" w14:paraId="635CB939" w14:textId="77777777" w:rsidTr="00804633">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7DD72" w14:textId="77777777" w:rsidR="00804633" w:rsidRDefault="00804633">
            <w:pPr>
              <w:spacing w:line="252" w:lineRule="auto"/>
              <w:rPr>
                <w:color w:val="00B050"/>
                <w:sz w:val="24"/>
                <w:szCs w:val="24"/>
                <w:lang w:eastAsia="en-US"/>
              </w:rPr>
            </w:pPr>
            <w:r>
              <w:rPr>
                <w:color w:val="00B050"/>
                <w:sz w:val="24"/>
                <w:szCs w:val="24"/>
              </w:rPr>
              <w:t>Huawei</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7F373DCB" w14:textId="77777777" w:rsidR="00804633" w:rsidRDefault="00804633">
            <w:pPr>
              <w:spacing w:line="252" w:lineRule="auto"/>
              <w:rPr>
                <w:color w:val="00B050"/>
                <w:sz w:val="24"/>
                <w:szCs w:val="24"/>
              </w:rPr>
            </w:pPr>
            <w:r>
              <w:rPr>
                <w:color w:val="00B050"/>
                <w:sz w:val="24"/>
                <w:szCs w:val="24"/>
              </w:rPr>
              <w:t>916-Proposal 1</w:t>
            </w:r>
          </w:p>
          <w:p w14:paraId="054A9DB8" w14:textId="77777777" w:rsidR="00804633" w:rsidRDefault="00804633">
            <w:pPr>
              <w:spacing w:line="252" w:lineRule="auto"/>
              <w:rPr>
                <w:color w:val="00B050"/>
                <w:sz w:val="24"/>
                <w:szCs w:val="24"/>
              </w:rPr>
            </w:pPr>
            <w:r>
              <w:rPr>
                <w:color w:val="00B050"/>
                <w:sz w:val="24"/>
                <w:szCs w:val="24"/>
              </w:rPr>
              <w:t>916-Proposal 2</w:t>
            </w:r>
          </w:p>
          <w:p w14:paraId="1A9150D2" w14:textId="77777777" w:rsidR="00804633" w:rsidRDefault="00804633">
            <w:pPr>
              <w:spacing w:line="252" w:lineRule="auto"/>
              <w:rPr>
                <w:color w:val="00B050"/>
                <w:sz w:val="24"/>
                <w:szCs w:val="24"/>
              </w:rPr>
            </w:pPr>
            <w:r>
              <w:rPr>
                <w:color w:val="00B050"/>
                <w:sz w:val="24"/>
                <w:szCs w:val="24"/>
              </w:rPr>
              <w:t>725-Proposal 2</w:t>
            </w:r>
          </w:p>
        </w:tc>
        <w:tc>
          <w:tcPr>
            <w:tcW w:w="10167" w:type="dxa"/>
            <w:tcBorders>
              <w:top w:val="nil"/>
              <w:left w:val="nil"/>
              <w:bottom w:val="single" w:sz="8" w:space="0" w:color="auto"/>
              <w:right w:val="single" w:sz="8" w:space="0" w:color="auto"/>
            </w:tcBorders>
            <w:tcMar>
              <w:top w:w="0" w:type="dxa"/>
              <w:left w:w="108" w:type="dxa"/>
              <w:bottom w:w="0" w:type="dxa"/>
              <w:right w:w="108" w:type="dxa"/>
            </w:tcMar>
          </w:tcPr>
          <w:p w14:paraId="53D64BE0" w14:textId="77777777" w:rsidR="00804633" w:rsidRDefault="00804633">
            <w:pPr>
              <w:spacing w:line="252" w:lineRule="auto"/>
              <w:ind w:left="360" w:hanging="360"/>
              <w:rPr>
                <w:color w:val="00B050"/>
                <w:sz w:val="24"/>
                <w:szCs w:val="24"/>
              </w:rPr>
            </w:pPr>
            <w:r>
              <w:rPr>
                <w:color w:val="00B050"/>
                <w:sz w:val="24"/>
                <w:szCs w:val="24"/>
              </w:rPr>
              <w:t>RAN2 has agreed the principle of how to select features of the minimum set for IAB, regardless of IAB node types, and has agreed a minimum set based on this principle:</w:t>
            </w:r>
          </w:p>
          <w:p w14:paraId="5F29A411" w14:textId="77777777" w:rsidR="00804633" w:rsidRDefault="00804633">
            <w:pPr>
              <w:pStyle w:val="Agreement"/>
              <w:spacing w:line="252" w:lineRule="auto"/>
              <w:rPr>
                <w:rFonts w:ascii="Calibri" w:hAnsi="Calibri" w:cs="Calibri"/>
                <w:b w:val="0"/>
                <w:bCs w:val="0"/>
                <w:color w:val="00B050"/>
                <w:sz w:val="24"/>
                <w:szCs w:val="24"/>
                <w:lang w:eastAsia="zh-CN"/>
              </w:rPr>
            </w:pPr>
            <w:r>
              <w:rPr>
                <w:rFonts w:ascii="Calibri" w:hAnsi="Calibri" w:cs="Calibri"/>
                <w:b w:val="0"/>
                <w:bCs w:val="0"/>
                <w:color w:val="00B050"/>
                <w:sz w:val="24"/>
                <w:szCs w:val="24"/>
                <w:lang w:eastAsia="zh-CN"/>
              </w:rPr>
              <w:t>Minimum set of IAB-MT capabilities should contain:</w:t>
            </w:r>
          </w:p>
          <w:p w14:paraId="5B881C41" w14:textId="77777777" w:rsidR="00804633" w:rsidRDefault="00804633" w:rsidP="00804633">
            <w:pPr>
              <w:pStyle w:val="ListParagraph"/>
              <w:numPr>
                <w:ilvl w:val="0"/>
                <w:numId w:val="28"/>
              </w:numPr>
              <w:overflowPunct/>
              <w:autoSpaceDE/>
              <w:autoSpaceDN/>
              <w:adjustRightInd/>
              <w:spacing w:after="0" w:line="276" w:lineRule="auto"/>
              <w:textAlignment w:val="auto"/>
              <w:rPr>
                <w:rFonts w:ascii="Calibri" w:hAnsi="Calibri" w:cs="Calibri"/>
                <w:color w:val="00B050"/>
                <w:sz w:val="24"/>
                <w:szCs w:val="24"/>
                <w:highlight w:val="yellow"/>
              </w:rPr>
            </w:pPr>
            <w:r>
              <w:rPr>
                <w:rFonts w:ascii="Calibri" w:hAnsi="Calibri" w:cs="Calibri"/>
                <w:color w:val="00B050"/>
                <w:sz w:val="24"/>
                <w:szCs w:val="24"/>
                <w:highlight w:val="yellow"/>
              </w:rPr>
              <w:t>Features which are indispensable for IAB-MT to perform initial access and establish an RRC connection and OAM connection with the network.</w:t>
            </w:r>
          </w:p>
          <w:p w14:paraId="0FB0E207" w14:textId="77777777" w:rsidR="00804633" w:rsidRDefault="00804633" w:rsidP="00804633">
            <w:pPr>
              <w:pStyle w:val="ListParagraph"/>
              <w:numPr>
                <w:ilvl w:val="0"/>
                <w:numId w:val="28"/>
              </w:numPr>
              <w:overflowPunct/>
              <w:autoSpaceDE/>
              <w:autoSpaceDN/>
              <w:adjustRightInd/>
              <w:spacing w:after="0" w:line="276" w:lineRule="auto"/>
              <w:textAlignment w:val="auto"/>
              <w:rPr>
                <w:rFonts w:ascii="Calibri" w:hAnsi="Calibri" w:cs="Calibri"/>
                <w:color w:val="00B050"/>
                <w:sz w:val="24"/>
                <w:szCs w:val="24"/>
              </w:rPr>
            </w:pPr>
            <w:r>
              <w:rPr>
                <w:rFonts w:ascii="Calibri" w:hAnsi="Calibri" w:cs="Calibri"/>
                <w:color w:val="00B050"/>
                <w:sz w:val="24"/>
                <w:szCs w:val="24"/>
              </w:rPr>
              <w:t>Basic BAP procedures, i.e. routing, bearer mapping</w:t>
            </w:r>
          </w:p>
          <w:p w14:paraId="0FDBD60D" w14:textId="77777777" w:rsidR="00804633" w:rsidRDefault="00804633" w:rsidP="00804633">
            <w:pPr>
              <w:pStyle w:val="ListParagraph"/>
              <w:numPr>
                <w:ilvl w:val="0"/>
                <w:numId w:val="28"/>
              </w:numPr>
              <w:overflowPunct/>
              <w:autoSpaceDE/>
              <w:autoSpaceDN/>
              <w:adjustRightInd/>
              <w:spacing w:after="0" w:line="276" w:lineRule="auto"/>
              <w:textAlignment w:val="auto"/>
              <w:rPr>
                <w:rFonts w:ascii="Calibri" w:hAnsi="Calibri" w:cs="Calibri"/>
                <w:color w:val="00B050"/>
                <w:sz w:val="24"/>
                <w:szCs w:val="24"/>
              </w:rPr>
            </w:pPr>
            <w:r>
              <w:rPr>
                <w:rFonts w:ascii="Calibri" w:hAnsi="Calibri" w:cs="Calibri"/>
                <w:color w:val="00B050"/>
                <w:sz w:val="24"/>
                <w:szCs w:val="24"/>
              </w:rPr>
              <w:t>IP signalling over RRC</w:t>
            </w:r>
          </w:p>
          <w:p w14:paraId="7FAF6A57" w14:textId="77777777" w:rsidR="00804633" w:rsidRDefault="00804633">
            <w:pPr>
              <w:spacing w:line="252" w:lineRule="auto"/>
              <w:ind w:left="360" w:hanging="360"/>
              <w:rPr>
                <w:rFonts w:ascii="Calibri" w:hAnsi="Calibri" w:cs="Calibri"/>
                <w:color w:val="00B050"/>
                <w:sz w:val="24"/>
                <w:szCs w:val="24"/>
              </w:rPr>
            </w:pPr>
          </w:p>
          <w:p w14:paraId="078F7F99" w14:textId="77777777" w:rsidR="00804633" w:rsidRDefault="00804633">
            <w:pPr>
              <w:spacing w:line="252" w:lineRule="auto"/>
              <w:ind w:left="360" w:hanging="360"/>
              <w:rPr>
                <w:color w:val="00B050"/>
                <w:sz w:val="24"/>
                <w:szCs w:val="24"/>
              </w:rPr>
            </w:pPr>
            <w:r>
              <w:rPr>
                <w:color w:val="00B050"/>
                <w:sz w:val="24"/>
                <w:szCs w:val="24"/>
              </w:rPr>
              <w:lastRenderedPageBreak/>
              <w:t>Regardless of local or wide area type, the minimum feature set should enable the IAB node to access the network and connect to OAM. And then it is up to network whether to request the IAB node to report its capability signaling, based on whether the capabilities of this IAB node have already been available in OAM.</w:t>
            </w:r>
          </w:p>
          <w:p w14:paraId="271ECAF4" w14:textId="77777777" w:rsidR="00804633" w:rsidRDefault="00804633">
            <w:pPr>
              <w:spacing w:line="252" w:lineRule="auto"/>
              <w:ind w:left="360" w:hanging="360"/>
              <w:rPr>
                <w:color w:val="00B050"/>
                <w:sz w:val="24"/>
                <w:szCs w:val="24"/>
              </w:rPr>
            </w:pPr>
            <w:r>
              <w:rPr>
                <w:color w:val="00B050"/>
                <w:sz w:val="24"/>
                <w:szCs w:val="24"/>
              </w:rPr>
              <w:t>In this sense, we see no need to differentiate the minimum feature sets for local area and wide area IAB node types. Note that our view is based on the agreed RAN2 principle, i.e. only these features indispensable for initial access and OAM connection are considered in the minimum feature set (i.e. topology adaptation in topic 2 is not included).</w:t>
            </w:r>
          </w:p>
        </w:tc>
      </w:tr>
      <w:tr w:rsidR="00804633" w14:paraId="42C48649" w14:textId="77777777" w:rsidTr="00804633">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A9D97" w14:textId="77777777" w:rsidR="00804633" w:rsidRDefault="00804633">
            <w:pPr>
              <w:rPr>
                <w:color w:val="00B050"/>
                <w:sz w:val="24"/>
                <w:szCs w:val="24"/>
              </w:rPr>
            </w:pP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1EBC9A8D" w14:textId="77777777" w:rsidR="00804633" w:rsidRDefault="00804633">
            <w:pPr>
              <w:rPr>
                <w:rFonts w:eastAsia="Times New Roman"/>
              </w:rPr>
            </w:pPr>
          </w:p>
        </w:tc>
        <w:tc>
          <w:tcPr>
            <w:tcW w:w="10167" w:type="dxa"/>
            <w:tcBorders>
              <w:top w:val="nil"/>
              <w:left w:val="nil"/>
              <w:bottom w:val="single" w:sz="8" w:space="0" w:color="auto"/>
              <w:right w:val="single" w:sz="8" w:space="0" w:color="auto"/>
            </w:tcBorders>
            <w:tcMar>
              <w:top w:w="0" w:type="dxa"/>
              <w:left w:w="108" w:type="dxa"/>
              <w:bottom w:w="0" w:type="dxa"/>
              <w:right w:w="108" w:type="dxa"/>
            </w:tcMar>
            <w:hideMark/>
          </w:tcPr>
          <w:p w14:paraId="4481CDE4" w14:textId="77777777" w:rsidR="00804633" w:rsidRDefault="00804633">
            <w:pPr>
              <w:rPr>
                <w:rFonts w:eastAsia="Times New Roman"/>
              </w:rPr>
            </w:pPr>
          </w:p>
        </w:tc>
      </w:tr>
      <w:tr w:rsidR="00804633" w14:paraId="3E6F73D0" w14:textId="77777777" w:rsidTr="00804633">
        <w:tc>
          <w:tcPr>
            <w:tcW w:w="1160" w:type="dxa"/>
            <w:tcBorders>
              <w:top w:val="nil"/>
              <w:left w:val="single" w:sz="8" w:space="0" w:color="auto"/>
              <w:bottom w:val="nil"/>
              <w:right w:val="single" w:sz="8" w:space="0" w:color="auto"/>
            </w:tcBorders>
            <w:tcMar>
              <w:top w:w="0" w:type="dxa"/>
              <w:left w:w="108" w:type="dxa"/>
              <w:bottom w:w="0" w:type="dxa"/>
              <w:right w:w="108" w:type="dxa"/>
            </w:tcMar>
          </w:tcPr>
          <w:p w14:paraId="08606BED" w14:textId="77777777" w:rsidR="00804633" w:rsidRDefault="00804633">
            <w:pPr>
              <w:spacing w:line="252" w:lineRule="auto"/>
              <w:rPr>
                <w:rFonts w:ascii="Calibri" w:eastAsiaTheme="minorHAnsi" w:hAnsi="Calibri" w:cs="Calibri"/>
                <w:color w:val="00B050"/>
                <w:sz w:val="24"/>
                <w:szCs w:val="24"/>
              </w:rPr>
            </w:pPr>
          </w:p>
        </w:tc>
        <w:tc>
          <w:tcPr>
            <w:tcW w:w="1642" w:type="dxa"/>
            <w:tcBorders>
              <w:top w:val="nil"/>
              <w:left w:val="nil"/>
              <w:bottom w:val="nil"/>
              <w:right w:val="single" w:sz="8" w:space="0" w:color="auto"/>
            </w:tcBorders>
            <w:tcMar>
              <w:top w:w="0" w:type="dxa"/>
              <w:left w:w="108" w:type="dxa"/>
              <w:bottom w:w="0" w:type="dxa"/>
              <w:right w:w="108" w:type="dxa"/>
            </w:tcMar>
          </w:tcPr>
          <w:p w14:paraId="7619088F" w14:textId="77777777" w:rsidR="00804633" w:rsidRDefault="00804633">
            <w:pPr>
              <w:spacing w:line="252" w:lineRule="auto"/>
              <w:rPr>
                <w:color w:val="00B050"/>
                <w:sz w:val="24"/>
                <w:szCs w:val="24"/>
              </w:rPr>
            </w:pPr>
          </w:p>
        </w:tc>
        <w:tc>
          <w:tcPr>
            <w:tcW w:w="10167" w:type="dxa"/>
            <w:tcBorders>
              <w:top w:val="nil"/>
              <w:left w:val="nil"/>
              <w:bottom w:val="nil"/>
              <w:right w:val="single" w:sz="8" w:space="0" w:color="auto"/>
            </w:tcBorders>
            <w:tcMar>
              <w:top w:w="0" w:type="dxa"/>
              <w:left w:w="108" w:type="dxa"/>
              <w:bottom w:w="0" w:type="dxa"/>
              <w:right w:w="108" w:type="dxa"/>
            </w:tcMar>
          </w:tcPr>
          <w:p w14:paraId="396A4F42" w14:textId="77777777" w:rsidR="00804633" w:rsidRDefault="00804633">
            <w:pPr>
              <w:spacing w:line="252" w:lineRule="auto"/>
              <w:ind w:left="360" w:hanging="360"/>
              <w:rPr>
                <w:color w:val="00B050"/>
                <w:sz w:val="24"/>
                <w:szCs w:val="24"/>
              </w:rPr>
            </w:pPr>
          </w:p>
        </w:tc>
      </w:tr>
      <w:tr w:rsidR="00804633" w14:paraId="106956C1" w14:textId="77777777" w:rsidTr="00804633">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ACE6C" w14:textId="77777777" w:rsidR="00804633" w:rsidRDefault="00804633">
            <w:pPr>
              <w:spacing w:line="252" w:lineRule="auto"/>
              <w:rPr>
                <w:color w:val="00B050"/>
                <w:sz w:val="24"/>
                <w:szCs w:val="24"/>
              </w:rPr>
            </w:pPr>
            <w:r>
              <w:rPr>
                <w:color w:val="00B050"/>
                <w:sz w:val="24"/>
                <w:szCs w:val="24"/>
              </w:rPr>
              <w:t>Huawei</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1D8DF99A" w14:textId="77777777" w:rsidR="00804633" w:rsidRDefault="00804633">
            <w:pPr>
              <w:spacing w:line="252" w:lineRule="auto"/>
              <w:rPr>
                <w:color w:val="00B050"/>
                <w:sz w:val="24"/>
                <w:szCs w:val="24"/>
              </w:rPr>
            </w:pPr>
            <w:r>
              <w:rPr>
                <w:color w:val="00B050"/>
                <w:sz w:val="24"/>
                <w:szCs w:val="24"/>
              </w:rPr>
              <w:t>Object 725-Proposal 5</w:t>
            </w:r>
          </w:p>
        </w:tc>
        <w:tc>
          <w:tcPr>
            <w:tcW w:w="10167" w:type="dxa"/>
            <w:tcBorders>
              <w:top w:val="nil"/>
              <w:left w:val="nil"/>
              <w:bottom w:val="single" w:sz="8" w:space="0" w:color="auto"/>
              <w:right w:val="single" w:sz="8" w:space="0" w:color="auto"/>
            </w:tcBorders>
            <w:tcMar>
              <w:top w:w="0" w:type="dxa"/>
              <w:left w:w="108" w:type="dxa"/>
              <w:bottom w:w="0" w:type="dxa"/>
              <w:right w:w="108" w:type="dxa"/>
            </w:tcMar>
          </w:tcPr>
          <w:p w14:paraId="6AAD3FCA" w14:textId="77777777" w:rsidR="00804633" w:rsidRDefault="00804633">
            <w:pPr>
              <w:spacing w:line="252" w:lineRule="auto"/>
              <w:ind w:left="360" w:hanging="360"/>
              <w:rPr>
                <w:color w:val="00B050"/>
                <w:sz w:val="24"/>
                <w:szCs w:val="24"/>
              </w:rPr>
            </w:pPr>
            <w:r>
              <w:rPr>
                <w:color w:val="00B050"/>
                <w:sz w:val="24"/>
                <w:szCs w:val="24"/>
              </w:rPr>
              <w:t>The agreements from RAN</w:t>
            </w:r>
            <w:proofErr w:type="gramStart"/>
            <w:r>
              <w:rPr>
                <w:color w:val="00B050"/>
                <w:sz w:val="24"/>
                <w:szCs w:val="24"/>
              </w:rPr>
              <w:t>3 ”IAB</w:t>
            </w:r>
            <w:proofErr w:type="gramEnd"/>
            <w:r>
              <w:rPr>
                <w:color w:val="00B050"/>
                <w:sz w:val="24"/>
                <w:szCs w:val="24"/>
              </w:rPr>
              <w:t xml:space="preserve">-DU capabilities are not exchanged between IAB-DU/IAB-donor-DU and IAB-donor-CU via F1 interface.” should be a general principle, not just for R16.  </w:t>
            </w:r>
          </w:p>
          <w:p w14:paraId="13752717" w14:textId="77777777" w:rsidR="00804633" w:rsidRDefault="00804633">
            <w:pPr>
              <w:spacing w:line="252" w:lineRule="auto"/>
              <w:ind w:left="360" w:hanging="360"/>
              <w:rPr>
                <w:color w:val="00B050"/>
                <w:sz w:val="24"/>
                <w:szCs w:val="24"/>
              </w:rPr>
            </w:pPr>
          </w:p>
        </w:tc>
      </w:tr>
      <w:tr w:rsidR="00804633" w14:paraId="1F49014B" w14:textId="77777777" w:rsidTr="00804633">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1E2D6" w14:textId="77777777" w:rsidR="00804633" w:rsidRDefault="00804633">
            <w:pPr>
              <w:spacing w:line="252" w:lineRule="auto"/>
              <w:rPr>
                <w:color w:val="00B050"/>
                <w:sz w:val="24"/>
                <w:szCs w:val="24"/>
              </w:rPr>
            </w:pPr>
            <w:r>
              <w:rPr>
                <w:color w:val="00B050"/>
                <w:sz w:val="24"/>
                <w:szCs w:val="24"/>
              </w:rPr>
              <w:t>Ericsson</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78D7F279" w14:textId="77777777" w:rsidR="00804633" w:rsidRDefault="00804633">
            <w:pPr>
              <w:spacing w:line="252" w:lineRule="auto"/>
              <w:rPr>
                <w:color w:val="00B050"/>
                <w:sz w:val="24"/>
                <w:szCs w:val="24"/>
              </w:rPr>
            </w:pPr>
            <w:r>
              <w:rPr>
                <w:color w:val="00B050"/>
                <w:sz w:val="24"/>
                <w:szCs w:val="24"/>
              </w:rPr>
              <w:t>916-P1</w:t>
            </w:r>
          </w:p>
          <w:p w14:paraId="0F7DF7C8" w14:textId="77777777" w:rsidR="00804633" w:rsidRDefault="00804633">
            <w:pPr>
              <w:spacing w:line="252" w:lineRule="auto"/>
              <w:rPr>
                <w:color w:val="00B050"/>
                <w:sz w:val="24"/>
                <w:szCs w:val="24"/>
              </w:rPr>
            </w:pPr>
            <w:r>
              <w:rPr>
                <w:color w:val="00B050"/>
                <w:sz w:val="24"/>
                <w:szCs w:val="24"/>
              </w:rPr>
              <w:t>725-P2</w:t>
            </w:r>
          </w:p>
        </w:tc>
        <w:tc>
          <w:tcPr>
            <w:tcW w:w="10167" w:type="dxa"/>
            <w:tcBorders>
              <w:top w:val="nil"/>
              <w:left w:val="nil"/>
              <w:bottom w:val="single" w:sz="8" w:space="0" w:color="auto"/>
              <w:right w:val="single" w:sz="8" w:space="0" w:color="auto"/>
            </w:tcBorders>
            <w:tcMar>
              <w:top w:w="0" w:type="dxa"/>
              <w:left w:w="108" w:type="dxa"/>
              <w:bottom w:w="0" w:type="dxa"/>
              <w:right w:w="108" w:type="dxa"/>
            </w:tcMar>
            <w:hideMark/>
          </w:tcPr>
          <w:p w14:paraId="6E9775D1" w14:textId="77777777" w:rsidR="00804633" w:rsidRDefault="00804633">
            <w:pPr>
              <w:spacing w:line="252" w:lineRule="auto"/>
              <w:ind w:left="360" w:hanging="360"/>
              <w:rPr>
                <w:color w:val="00B050"/>
                <w:sz w:val="24"/>
                <w:szCs w:val="24"/>
              </w:rPr>
            </w:pPr>
            <w:r>
              <w:rPr>
                <w:color w:val="00B050"/>
                <w:sz w:val="24"/>
                <w:szCs w:val="24"/>
              </w:rPr>
              <w:t xml:space="preserve">916-P1: We support the principle to </w:t>
            </w:r>
            <w:proofErr w:type="gramStart"/>
            <w:r>
              <w:rPr>
                <w:color w:val="00B050"/>
                <w:sz w:val="24"/>
                <w:szCs w:val="24"/>
              </w:rPr>
              <w:t>take into account</w:t>
            </w:r>
            <w:proofErr w:type="gramEnd"/>
            <w:r>
              <w:rPr>
                <w:color w:val="00B050"/>
                <w:sz w:val="24"/>
                <w:szCs w:val="24"/>
              </w:rPr>
              <w:t xml:space="preserve"> the work in other WGs, but this proposal is a bit vague. WGs should decide on optional/mandatory regardless of current signaling for “their” features. If the signaling does not exist, RAN2 will add it if needed. </w:t>
            </w:r>
          </w:p>
          <w:p w14:paraId="438FBBAD" w14:textId="77777777" w:rsidR="00804633" w:rsidRDefault="00804633">
            <w:pPr>
              <w:spacing w:line="252" w:lineRule="auto"/>
              <w:ind w:left="360" w:hanging="360"/>
              <w:rPr>
                <w:color w:val="00B050"/>
                <w:sz w:val="24"/>
                <w:szCs w:val="24"/>
              </w:rPr>
            </w:pPr>
            <w:r>
              <w:rPr>
                <w:color w:val="00B050"/>
                <w:sz w:val="24"/>
                <w:szCs w:val="24"/>
              </w:rPr>
              <w:t>916-P2: We do not support this proposal. Wide-area IAB nodes are deployed in a planned and orderly fashion, whereas local-area IAB nodes are not. This means that local-area IAB nodes must support more features (e.g. for mobility) which are not required for the wide-area IAB nodes.</w:t>
            </w:r>
          </w:p>
          <w:p w14:paraId="7C1FB349" w14:textId="77777777" w:rsidR="00804633" w:rsidRDefault="00804633">
            <w:pPr>
              <w:spacing w:line="252" w:lineRule="auto"/>
              <w:ind w:left="360" w:hanging="360"/>
              <w:rPr>
                <w:color w:val="00B050"/>
                <w:sz w:val="24"/>
                <w:szCs w:val="24"/>
              </w:rPr>
            </w:pPr>
            <w:r>
              <w:rPr>
                <w:color w:val="00B050"/>
                <w:sz w:val="24"/>
                <w:szCs w:val="24"/>
              </w:rPr>
              <w:t xml:space="preserve">725-P2: As mentioned above, local-area IAB nodes may be deployed in an unplanned fashion and therefore need to support features </w:t>
            </w:r>
            <w:proofErr w:type="gramStart"/>
            <w:r>
              <w:rPr>
                <w:color w:val="00B050"/>
                <w:sz w:val="24"/>
                <w:szCs w:val="24"/>
              </w:rPr>
              <w:t>similar to</w:t>
            </w:r>
            <w:proofErr w:type="gramEnd"/>
            <w:r>
              <w:rPr>
                <w:color w:val="00B050"/>
                <w:sz w:val="24"/>
                <w:szCs w:val="24"/>
              </w:rPr>
              <w:t xml:space="preserve"> a UE.</w:t>
            </w:r>
          </w:p>
          <w:p w14:paraId="672DF6BF" w14:textId="77777777" w:rsidR="00804633" w:rsidRDefault="00804633">
            <w:pPr>
              <w:spacing w:line="252" w:lineRule="auto"/>
              <w:ind w:left="360" w:hanging="360"/>
              <w:rPr>
                <w:color w:val="00B050"/>
                <w:sz w:val="24"/>
                <w:szCs w:val="24"/>
              </w:rPr>
            </w:pPr>
            <w:r>
              <w:rPr>
                <w:color w:val="00B050"/>
                <w:sz w:val="24"/>
                <w:szCs w:val="24"/>
              </w:rPr>
              <w:t xml:space="preserve">725-P5: We think the current focus should be on completing the UE features and capabilities for Release 16 before discussing to extend the scope for Rel-17. It is not urgent to decide </w:t>
            </w:r>
            <w:proofErr w:type="gramStart"/>
            <w:r>
              <w:rPr>
                <w:color w:val="00B050"/>
                <w:sz w:val="24"/>
                <w:szCs w:val="24"/>
              </w:rPr>
              <w:t>this</w:t>
            </w:r>
            <w:proofErr w:type="gramEnd"/>
            <w:r>
              <w:rPr>
                <w:color w:val="00B050"/>
                <w:sz w:val="24"/>
                <w:szCs w:val="24"/>
              </w:rPr>
              <w:t xml:space="preserve"> and it can be resolved in RAN#89.</w:t>
            </w:r>
          </w:p>
          <w:p w14:paraId="695FE7B5" w14:textId="77777777" w:rsidR="00804633" w:rsidRDefault="00804633">
            <w:pPr>
              <w:spacing w:line="252" w:lineRule="auto"/>
              <w:ind w:left="360" w:hanging="360"/>
              <w:rPr>
                <w:color w:val="00B050"/>
                <w:sz w:val="24"/>
                <w:szCs w:val="24"/>
              </w:rPr>
            </w:pPr>
            <w:r>
              <w:rPr>
                <w:color w:val="00B050"/>
                <w:sz w:val="24"/>
                <w:szCs w:val="24"/>
              </w:rPr>
              <w:t> </w:t>
            </w:r>
          </w:p>
        </w:tc>
      </w:tr>
    </w:tbl>
    <w:p w14:paraId="4EC35B5C" w14:textId="77777777" w:rsidR="00804633" w:rsidRDefault="00804633" w:rsidP="00804633">
      <w:pPr>
        <w:rPr>
          <w:rFonts w:ascii="Calibri" w:eastAsiaTheme="minorHAnsi" w:hAnsi="Calibri" w:cs="Calibri"/>
          <w:color w:val="auto"/>
          <w:sz w:val="22"/>
          <w:szCs w:val="22"/>
          <w:lang w:eastAsia="ko-KR"/>
        </w:rPr>
      </w:pPr>
    </w:p>
    <w:p w14:paraId="3794AC58" w14:textId="77777777" w:rsidR="00804633" w:rsidRDefault="00804633" w:rsidP="00804633">
      <w:pPr>
        <w:rPr>
          <w:lang w:eastAsia="ko-KR"/>
        </w:rPr>
      </w:pPr>
      <w:r>
        <w:rPr>
          <w:rFonts w:ascii="Trebuchet MS" w:hAnsi="Trebuchet MS"/>
          <w:b/>
          <w:bCs/>
          <w:sz w:val="24"/>
          <w:szCs w:val="24"/>
          <w:lang w:eastAsia="ko-KR"/>
        </w:rPr>
        <w:t> </w:t>
      </w:r>
    </w:p>
    <w:p w14:paraId="5DA4703A" w14:textId="77777777" w:rsidR="00804633" w:rsidRDefault="00804633" w:rsidP="00804633">
      <w:pPr>
        <w:rPr>
          <w:lang w:eastAsia="ko-KR"/>
        </w:rPr>
      </w:pPr>
      <w:r>
        <w:rPr>
          <w:rFonts w:ascii="Trebuchet MS" w:hAnsi="Trebuchet MS"/>
          <w:b/>
          <w:bCs/>
          <w:sz w:val="24"/>
          <w:szCs w:val="24"/>
          <w:u w:val="single"/>
          <w:lang w:eastAsia="ko-KR"/>
        </w:rPr>
        <w:t>Topic 2:</w:t>
      </w:r>
      <w:r>
        <w:rPr>
          <w:rFonts w:ascii="Trebuchet MS" w:hAnsi="Trebuchet MS"/>
          <w:sz w:val="24"/>
          <w:szCs w:val="24"/>
          <w:u w:val="single"/>
          <w:lang w:eastAsia="ko-KR"/>
        </w:rPr>
        <w:t xml:space="preserve"> </w:t>
      </w:r>
      <w:r>
        <w:rPr>
          <w:rFonts w:ascii="Trebuchet MS" w:hAnsi="Trebuchet MS"/>
          <w:b/>
          <w:bCs/>
          <w:sz w:val="24"/>
          <w:szCs w:val="24"/>
          <w:u w:val="single"/>
          <w:lang w:eastAsia="ko-KR"/>
        </w:rPr>
        <w:t>Mandatory support for topology adaptation</w:t>
      </w:r>
    </w:p>
    <w:p w14:paraId="08724D1F" w14:textId="77777777" w:rsidR="00804633" w:rsidRDefault="00804633" w:rsidP="00804633">
      <w:pPr>
        <w:rPr>
          <w:lang w:eastAsia="ko-KR"/>
        </w:rPr>
      </w:pPr>
      <w:r>
        <w:rPr>
          <w:rFonts w:ascii="Trebuchet MS" w:hAnsi="Trebuchet MS"/>
          <w:sz w:val="24"/>
          <w:szCs w:val="24"/>
          <w:lang w:eastAsia="ko-KR"/>
        </w:rPr>
        <w:t>Key RAN1 agreements:</w:t>
      </w:r>
    </w:p>
    <w:p w14:paraId="24054EE4" w14:textId="77777777" w:rsidR="00804633" w:rsidRDefault="00804633" w:rsidP="00804633">
      <w:pPr>
        <w:rPr>
          <w:lang w:eastAsia="ko-KR"/>
        </w:rPr>
      </w:pPr>
      <w:r>
        <w:rPr>
          <w:rStyle w:val="Strong"/>
          <w:rFonts w:ascii="Trebuchet MS" w:hAnsi="Trebuchet MS"/>
          <w:sz w:val="24"/>
          <w:szCs w:val="24"/>
          <w:highlight w:val="green"/>
          <w:lang w:eastAsia="ko-KR"/>
        </w:rPr>
        <w:lastRenderedPageBreak/>
        <w:t>Agreement:</w:t>
      </w:r>
    </w:p>
    <w:p w14:paraId="7AB0563E" w14:textId="77777777" w:rsidR="00804633" w:rsidRDefault="00804633" w:rsidP="00804633">
      <w:pPr>
        <w:pStyle w:val="maintext"/>
        <w:numPr>
          <w:ilvl w:val="0"/>
          <w:numId w:val="29"/>
        </w:numPr>
      </w:pPr>
      <w:r>
        <w:rPr>
          <w:rFonts w:ascii="Trebuchet MS" w:hAnsi="Trebuchet MS"/>
          <w:sz w:val="24"/>
          <w:szCs w:val="24"/>
          <w:lang w:val="en-GB"/>
        </w:rPr>
        <w:t>Wide-area IAB-MTs s</w:t>
      </w:r>
      <w:r>
        <w:rPr>
          <w:rFonts w:ascii="Trebuchet MS" w:hAnsi="Trebuchet MS"/>
          <w:color w:val="000000"/>
          <w:sz w:val="24"/>
          <w:szCs w:val="24"/>
          <w:lang w:val="en-GB"/>
        </w:rPr>
        <w:t>upport</w:t>
      </w:r>
      <w:r>
        <w:rPr>
          <w:rFonts w:ascii="Trebuchet MS" w:hAnsi="Trebuchet MS"/>
          <w:color w:val="FF0000"/>
          <w:sz w:val="24"/>
          <w:szCs w:val="24"/>
          <w:lang w:val="en-GB"/>
        </w:rPr>
        <w:t xml:space="preserve"> </w:t>
      </w:r>
      <w:r>
        <w:rPr>
          <w:rFonts w:ascii="Trebuchet MS" w:hAnsi="Trebuchet MS"/>
          <w:color w:val="000000"/>
          <w:sz w:val="24"/>
          <w:szCs w:val="24"/>
          <w:lang w:val="en-GB"/>
        </w:rPr>
        <w:t>the following Rel. 15 layer-1 mandatory UE features (as defined in TR 38.822)</w:t>
      </w:r>
    </w:p>
    <w:p w14:paraId="59E98B6C" w14:textId="77777777" w:rsidR="00804633" w:rsidRDefault="00804633" w:rsidP="00804633">
      <w:pPr>
        <w:pStyle w:val="maintext"/>
        <w:numPr>
          <w:ilvl w:val="1"/>
          <w:numId w:val="30"/>
        </w:numPr>
        <w:ind w:left="1800"/>
        <w:rPr>
          <w:rFonts w:hint="eastAsia"/>
          <w:lang w:eastAsia="en-US"/>
        </w:rPr>
      </w:pPr>
      <w:r>
        <w:rPr>
          <w:rFonts w:ascii="Trebuchet MS" w:hAnsi="Trebuchet MS"/>
          <w:color w:val="000000"/>
          <w:sz w:val="24"/>
          <w:szCs w:val="24"/>
          <w:lang w:val="en-GB"/>
        </w:rPr>
        <w:t>Without capability (signaling)</w:t>
      </w:r>
    </w:p>
    <w:p w14:paraId="6F9694A9" w14:textId="77777777" w:rsidR="00804633" w:rsidRDefault="00804633" w:rsidP="00804633">
      <w:pPr>
        <w:pStyle w:val="maintext"/>
        <w:numPr>
          <w:ilvl w:val="2"/>
          <w:numId w:val="30"/>
        </w:numPr>
        <w:ind w:left="2520"/>
        <w:rPr>
          <w:rFonts w:hint="eastAsia"/>
        </w:rPr>
      </w:pPr>
      <w:r>
        <w:rPr>
          <w:rFonts w:ascii="Trebuchet MS" w:hAnsi="Trebuchet MS"/>
          <w:color w:val="000000"/>
          <w:sz w:val="24"/>
          <w:szCs w:val="24"/>
          <w:lang w:val="en-GB"/>
        </w:rPr>
        <w:t xml:space="preserve">0-1, 0-3, 0-4, </w:t>
      </w:r>
      <w:r>
        <w:rPr>
          <w:rFonts w:ascii="Trebuchet MS" w:hAnsi="Trebuchet MS"/>
          <w:color w:val="000000"/>
          <w:sz w:val="24"/>
          <w:szCs w:val="24"/>
          <w:highlight w:val="yellow"/>
          <w:lang w:val="en-GB"/>
        </w:rPr>
        <w:t>1-1 (only 1 preamble for component 1, component 2, component 3 except paging)</w:t>
      </w:r>
      <w:r>
        <w:rPr>
          <w:rFonts w:ascii="Trebuchet MS" w:hAnsi="Trebuchet MS"/>
          <w:color w:val="000000"/>
          <w:sz w:val="24"/>
          <w:szCs w:val="24"/>
          <w:lang w:val="en-GB"/>
        </w:rPr>
        <w:t>, 2-1, 2-5, 2-6, 2-12, 2-16, 2-16a, 2-32 (only components 1-4 and 7), 2-50 (only components 1,2), 2-52 (only components 1, 2), 3-1 (only components 1,2,3,4,5), 4-1, 5-1 (only components 1/2/3/4/5/6/7/9/10/12), 6-1, 7-1, 8-3</w:t>
      </w:r>
    </w:p>
    <w:p w14:paraId="7ED1FCD8" w14:textId="77777777" w:rsidR="00804633" w:rsidRDefault="00804633" w:rsidP="00804633">
      <w:pPr>
        <w:pStyle w:val="maintext"/>
        <w:numPr>
          <w:ilvl w:val="1"/>
          <w:numId w:val="30"/>
        </w:numPr>
        <w:ind w:left="1800"/>
        <w:rPr>
          <w:rFonts w:hint="eastAsia"/>
        </w:rPr>
      </w:pPr>
      <w:r>
        <w:rPr>
          <w:rFonts w:ascii="Trebuchet MS" w:hAnsi="Trebuchet MS"/>
          <w:color w:val="000000"/>
          <w:sz w:val="24"/>
          <w:szCs w:val="24"/>
          <w:lang w:val="en-GB"/>
        </w:rPr>
        <w:t>With capability signaling which shall be set to '1'</w:t>
      </w:r>
    </w:p>
    <w:p w14:paraId="58DDE892" w14:textId="77777777" w:rsidR="00804633" w:rsidRDefault="00804633" w:rsidP="00804633">
      <w:pPr>
        <w:pStyle w:val="maintext"/>
        <w:numPr>
          <w:ilvl w:val="2"/>
          <w:numId w:val="30"/>
        </w:numPr>
        <w:ind w:left="2520"/>
        <w:rPr>
          <w:rFonts w:hint="eastAsia"/>
        </w:rPr>
      </w:pPr>
      <w:r>
        <w:rPr>
          <w:rFonts w:ascii="Trebuchet MS" w:hAnsi="Trebuchet MS"/>
          <w:color w:val="000000"/>
          <w:sz w:val="24"/>
          <w:szCs w:val="24"/>
          <w:lang w:val="en-GB"/>
        </w:rPr>
        <w:t>1-3, 2-22, 4-10</w:t>
      </w:r>
    </w:p>
    <w:p w14:paraId="54301DDA" w14:textId="77777777" w:rsidR="00804633" w:rsidRDefault="00804633" w:rsidP="00804633">
      <w:pPr>
        <w:pStyle w:val="maintext"/>
        <w:numPr>
          <w:ilvl w:val="1"/>
          <w:numId w:val="30"/>
        </w:numPr>
        <w:ind w:left="1800"/>
        <w:rPr>
          <w:rFonts w:hint="eastAsia"/>
        </w:rPr>
      </w:pPr>
      <w:r>
        <w:rPr>
          <w:rFonts w:ascii="Trebuchet MS" w:hAnsi="Trebuchet MS"/>
          <w:color w:val="000000"/>
          <w:sz w:val="24"/>
          <w:szCs w:val="24"/>
          <w:lang w:val="en-GB"/>
        </w:rPr>
        <w:t>The rest of Rel-15 layer-1 UE features other than the ones as listed above are optional for wide-area IAB-MTs.</w:t>
      </w:r>
    </w:p>
    <w:p w14:paraId="54F614DA" w14:textId="77777777" w:rsidR="00804633" w:rsidRDefault="00804633" w:rsidP="00804633">
      <w:pPr>
        <w:pStyle w:val="maintext"/>
        <w:numPr>
          <w:ilvl w:val="0"/>
          <w:numId w:val="29"/>
        </w:numPr>
        <w:rPr>
          <w:rFonts w:hint="eastAsia"/>
        </w:rPr>
      </w:pPr>
      <w:r>
        <w:rPr>
          <w:rFonts w:ascii="Trebuchet MS" w:hAnsi="Trebuchet MS"/>
          <w:color w:val="000000"/>
          <w:sz w:val="24"/>
          <w:szCs w:val="24"/>
          <w:lang w:val="en-GB"/>
        </w:rPr>
        <w:t>Note: Mandatory MT capabilities are independent from DU capabilities and do not imply a corresponding mandatory DU capability.</w:t>
      </w:r>
    </w:p>
    <w:p w14:paraId="7F8AD52B" w14:textId="77777777" w:rsidR="00804633" w:rsidRDefault="00804633" w:rsidP="00804633">
      <w:pPr>
        <w:pStyle w:val="maintext"/>
        <w:numPr>
          <w:ilvl w:val="0"/>
          <w:numId w:val="29"/>
        </w:numPr>
        <w:rPr>
          <w:rFonts w:hint="eastAsia"/>
        </w:rPr>
      </w:pPr>
      <w:r>
        <w:rPr>
          <w:rFonts w:ascii="Trebuchet MS" w:hAnsi="Trebuchet MS"/>
          <w:color w:val="000000"/>
          <w:sz w:val="24"/>
          <w:szCs w:val="24"/>
          <w:lang w:val="en-GB"/>
        </w:rPr>
        <w:t>The U</w:t>
      </w:r>
      <w:r>
        <w:rPr>
          <w:rFonts w:ascii="Trebuchet MS" w:hAnsi="Trebuchet MS"/>
          <w:sz w:val="24"/>
          <w:szCs w:val="24"/>
          <w:lang w:val="en-GB"/>
        </w:rPr>
        <w:t>E feature list for local-area IAB</w:t>
      </w:r>
      <w:r>
        <w:rPr>
          <w:rFonts w:ascii="Trebuchet MS" w:hAnsi="Trebuchet MS"/>
          <w:color w:val="000000"/>
          <w:sz w:val="24"/>
          <w:szCs w:val="24"/>
          <w:lang w:val="en-GB"/>
        </w:rPr>
        <w:t>-MTs</w:t>
      </w:r>
      <w:r>
        <w:rPr>
          <w:rFonts w:ascii="Trebuchet MS" w:hAnsi="Trebuchet MS"/>
          <w:color w:val="FF0000"/>
          <w:sz w:val="24"/>
          <w:szCs w:val="24"/>
          <w:lang w:val="en-GB"/>
        </w:rPr>
        <w:t xml:space="preserve"> </w:t>
      </w:r>
      <w:r>
        <w:rPr>
          <w:rFonts w:ascii="Trebuchet MS" w:hAnsi="Trebuchet MS"/>
          <w:sz w:val="24"/>
          <w:szCs w:val="24"/>
          <w:lang w:val="en-GB"/>
        </w:rPr>
        <w:t>is FFS</w:t>
      </w:r>
    </w:p>
    <w:p w14:paraId="0C20DAFE" w14:textId="77777777" w:rsidR="00804633" w:rsidRDefault="00804633" w:rsidP="00804633">
      <w:pPr>
        <w:rPr>
          <w:rFonts w:hint="eastAsia"/>
          <w:lang w:eastAsia="ko-KR"/>
        </w:rPr>
      </w:pPr>
      <w:r>
        <w:rPr>
          <w:rFonts w:ascii="Trebuchet MS" w:hAnsi="Trebuchet MS"/>
          <w:b/>
          <w:bCs/>
          <w:sz w:val="24"/>
          <w:szCs w:val="24"/>
          <w:lang w:eastAsia="ko-KR"/>
        </w:rPr>
        <w:t> </w:t>
      </w:r>
    </w:p>
    <w:p w14:paraId="637E0C3A" w14:textId="77777777" w:rsidR="00804633" w:rsidRDefault="00804633" w:rsidP="00804633">
      <w:pPr>
        <w:rPr>
          <w:lang w:eastAsia="ko-KR"/>
        </w:rPr>
      </w:pPr>
      <w:r>
        <w:rPr>
          <w:rFonts w:ascii="Trebuchet MS" w:hAnsi="Trebuchet MS"/>
          <w:sz w:val="24"/>
          <w:szCs w:val="24"/>
          <w:lang w:eastAsia="ko-KR"/>
        </w:rPr>
        <w:t>Key RAN2 agreements:</w:t>
      </w:r>
    </w:p>
    <w:p w14:paraId="75A7F19F" w14:textId="77777777" w:rsidR="00804633" w:rsidRDefault="00804633" w:rsidP="00804633">
      <w:pPr>
        <w:ind w:left="720"/>
        <w:rPr>
          <w:lang w:eastAsia="ko-KR"/>
        </w:rPr>
      </w:pPr>
      <w:r>
        <w:rPr>
          <w:rFonts w:ascii="Trebuchet MS" w:hAnsi="Trebuchet MS"/>
          <w:sz w:val="24"/>
          <w:szCs w:val="24"/>
          <w:lang w:eastAsia="ko-KR"/>
        </w:rPr>
        <w:t>Chair Summary On topology adaptation, Operators and (some) Network Vendors have opposite opinions. Attempt to agree Mandatory, Mandatory only for Local area IAB MT, Mandatory with possibility for early deployment non-support were all blocked by objections.</w:t>
      </w:r>
    </w:p>
    <w:p w14:paraId="46ED57D3" w14:textId="77777777" w:rsidR="00804633" w:rsidRDefault="00804633" w:rsidP="00804633">
      <w:pPr>
        <w:rPr>
          <w:lang w:eastAsia="ko-KR"/>
        </w:rPr>
      </w:pPr>
      <w:r>
        <w:rPr>
          <w:rFonts w:ascii="Trebuchet MS" w:hAnsi="Trebuchet MS"/>
          <w:sz w:val="24"/>
          <w:szCs w:val="24"/>
          <w:lang w:eastAsia="ko-KR"/>
        </w:rPr>
        <w:t> </w:t>
      </w:r>
    </w:p>
    <w:p w14:paraId="1A4F0542" w14:textId="77777777" w:rsidR="00804633" w:rsidRDefault="00804633" w:rsidP="00804633">
      <w:pPr>
        <w:rPr>
          <w:lang w:eastAsia="ko-KR"/>
        </w:rPr>
      </w:pPr>
      <w:r>
        <w:rPr>
          <w:rFonts w:ascii="Trebuchet MS" w:hAnsi="Trebuchet MS"/>
          <w:sz w:val="24"/>
          <w:szCs w:val="24"/>
          <w:lang w:eastAsia="ko-KR"/>
        </w:rPr>
        <w:t xml:space="preserve">Summary: While RAN1 agreed that SSB-based measurements are mandatory for IAB-MTs, there was no consensus on how to handle similar features related to topology adaptation in RAN2. In </w:t>
      </w:r>
      <w:proofErr w:type="gramStart"/>
      <w:r>
        <w:rPr>
          <w:rFonts w:ascii="Trebuchet MS" w:hAnsi="Trebuchet MS"/>
          <w:sz w:val="24"/>
          <w:szCs w:val="24"/>
          <w:lang w:eastAsia="ko-KR"/>
        </w:rPr>
        <w:t>addition</w:t>
      </w:r>
      <w:proofErr w:type="gramEnd"/>
      <w:r>
        <w:rPr>
          <w:rFonts w:ascii="Trebuchet MS" w:hAnsi="Trebuchet MS"/>
          <w:sz w:val="24"/>
          <w:szCs w:val="24"/>
          <w:lang w:eastAsia="ko-KR"/>
        </w:rPr>
        <w:t xml:space="preserve"> there was no consensus on whether certain features related to topology adaptation in the RAN4 IAB-MT feature list should remain optional (as is the case for UEs) or become not-applicable for IAB-MTs.</w:t>
      </w:r>
    </w:p>
    <w:p w14:paraId="64897304" w14:textId="77777777" w:rsidR="00804633" w:rsidRDefault="00804633" w:rsidP="00804633">
      <w:pPr>
        <w:rPr>
          <w:lang w:eastAsia="ko-KR"/>
        </w:rPr>
      </w:pPr>
      <w:r>
        <w:rPr>
          <w:rFonts w:ascii="Trebuchet MS" w:hAnsi="Trebuchet MS"/>
          <w:sz w:val="24"/>
          <w:szCs w:val="24"/>
          <w:lang w:eastAsia="ko-KR"/>
        </w:rPr>
        <w:t> </w:t>
      </w:r>
    </w:p>
    <w:p w14:paraId="080E4995" w14:textId="77777777" w:rsidR="00804633" w:rsidRDefault="00804633" w:rsidP="00804633">
      <w:pPr>
        <w:rPr>
          <w:lang w:eastAsia="ko-KR"/>
        </w:rPr>
      </w:pPr>
      <w:r>
        <w:rPr>
          <w:rFonts w:ascii="Trebuchet MS" w:hAnsi="Trebuchet MS"/>
          <w:sz w:val="24"/>
          <w:szCs w:val="24"/>
          <w:lang w:eastAsia="ko-KR"/>
        </w:rPr>
        <w:t>Proposals from input contributions</w:t>
      </w:r>
      <w:r>
        <w:rPr>
          <w:rFonts w:ascii="Trebuchet MS" w:hAnsi="Trebuchet MS"/>
          <w:b/>
          <w:bCs/>
          <w:sz w:val="24"/>
          <w:szCs w:val="24"/>
          <w:lang w:eastAsia="ko-KR"/>
        </w:rPr>
        <w:t>:</w:t>
      </w:r>
    </w:p>
    <w:p w14:paraId="2729868A" w14:textId="77777777" w:rsidR="00804633" w:rsidRDefault="00804633" w:rsidP="00804633">
      <w:pPr>
        <w:rPr>
          <w:lang w:eastAsia="ko-KR"/>
        </w:rPr>
      </w:pPr>
      <w:r>
        <w:rPr>
          <w:rFonts w:ascii="Trebuchet MS" w:hAnsi="Trebuchet MS"/>
          <w:sz w:val="24"/>
          <w:szCs w:val="24"/>
          <w:lang w:eastAsia="ko-KR"/>
        </w:rPr>
        <w:t>RAN1-related</w:t>
      </w:r>
    </w:p>
    <w:p w14:paraId="7F1B1274" w14:textId="77777777" w:rsidR="00804633" w:rsidRDefault="00804633" w:rsidP="00804633">
      <w:pPr>
        <w:rPr>
          <w:lang w:eastAsia="ko-KR"/>
        </w:rPr>
      </w:pPr>
      <w:r>
        <w:rPr>
          <w:rFonts w:ascii="Trebuchet MS" w:hAnsi="Trebuchet MS"/>
          <w:b/>
          <w:bCs/>
          <w:sz w:val="24"/>
          <w:szCs w:val="24"/>
          <w:lang w:eastAsia="ko-KR"/>
        </w:rPr>
        <w:t>725-Proposal 1: Support for basic topology adaptation functionality (i.e. RRM measurements, reports, and handovers) is mandatory for both wide-area and local-area IAB-MTs.</w:t>
      </w:r>
    </w:p>
    <w:p w14:paraId="4C9FE06E" w14:textId="77777777" w:rsidR="00804633" w:rsidRDefault="00804633" w:rsidP="00804633">
      <w:pPr>
        <w:rPr>
          <w:lang w:eastAsia="ko-KR"/>
        </w:rPr>
      </w:pPr>
      <w:r>
        <w:rPr>
          <w:rFonts w:ascii="Trebuchet MS" w:hAnsi="Trebuchet MS"/>
          <w:b/>
          <w:bCs/>
          <w:sz w:val="24"/>
          <w:szCs w:val="24"/>
          <w:lang w:eastAsia="ko-KR"/>
        </w:rPr>
        <w:t>725-Proposal 3: For FGs 20-2 and 20-3 in the Rel-16 NR UE Feature list, the following is agreed:</w:t>
      </w:r>
    </w:p>
    <w:p w14:paraId="2C71B234" w14:textId="77777777" w:rsidR="00804633" w:rsidRDefault="00804633" w:rsidP="00804633">
      <w:pPr>
        <w:rPr>
          <w:lang w:eastAsia="ko-KR"/>
        </w:rPr>
      </w:pPr>
      <w:r>
        <w:rPr>
          <w:rFonts w:ascii="Trebuchet MS" w:hAnsi="Trebuchet MS"/>
          <w:b/>
          <w:bCs/>
          <w:sz w:val="24"/>
          <w:szCs w:val="24"/>
          <w:lang w:eastAsia="ko-KR"/>
        </w:rPr>
        <w:t> </w:t>
      </w:r>
    </w:p>
    <w:p w14:paraId="20CE515B" w14:textId="77777777" w:rsidR="00804633" w:rsidRDefault="00804633" w:rsidP="00804633">
      <w:pPr>
        <w:ind w:firstLine="576"/>
        <w:rPr>
          <w:lang w:eastAsia="ko-KR"/>
        </w:rPr>
      </w:pPr>
      <w:r>
        <w:rPr>
          <w:rFonts w:ascii="Trebuchet MS" w:hAnsi="Trebuchet MS"/>
          <w:b/>
          <w:bCs/>
          <w:sz w:val="24"/>
          <w:szCs w:val="24"/>
          <w:lang w:eastAsia="ko-KR"/>
        </w:rPr>
        <w:lastRenderedPageBreak/>
        <w:t>Optional with capability signalling. Devices supporting IAB backhaul must report this FG as supported.</w:t>
      </w:r>
    </w:p>
    <w:p w14:paraId="2613C915" w14:textId="77777777" w:rsidR="00804633" w:rsidRDefault="00804633" w:rsidP="00804633">
      <w:pPr>
        <w:rPr>
          <w:lang w:eastAsia="ko-KR"/>
        </w:rPr>
      </w:pPr>
      <w:r>
        <w:rPr>
          <w:rFonts w:ascii="Trebuchet MS" w:hAnsi="Trebuchet MS"/>
          <w:b/>
          <w:bCs/>
          <w:sz w:val="24"/>
          <w:szCs w:val="24"/>
          <w:lang w:eastAsia="ko-KR"/>
        </w:rPr>
        <w:t> </w:t>
      </w:r>
    </w:p>
    <w:p w14:paraId="6015E6DF" w14:textId="77777777" w:rsidR="00804633" w:rsidRDefault="00804633" w:rsidP="00804633">
      <w:pPr>
        <w:rPr>
          <w:lang w:eastAsia="ko-KR"/>
        </w:rPr>
      </w:pPr>
      <w:r>
        <w:rPr>
          <w:rFonts w:ascii="Trebuchet MS" w:hAnsi="Trebuchet MS"/>
          <w:sz w:val="24"/>
          <w:szCs w:val="24"/>
          <w:lang w:eastAsia="ko-KR"/>
        </w:rPr>
        <w:t>RAN2-related</w:t>
      </w:r>
    </w:p>
    <w:p w14:paraId="4346D459" w14:textId="77777777" w:rsidR="00804633" w:rsidRDefault="00804633" w:rsidP="00804633">
      <w:pPr>
        <w:rPr>
          <w:lang w:eastAsia="ko-KR"/>
        </w:rPr>
      </w:pPr>
      <w:r>
        <w:rPr>
          <w:rFonts w:ascii="Trebuchet MS" w:hAnsi="Trebuchet MS"/>
          <w:b/>
          <w:bCs/>
          <w:sz w:val="24"/>
          <w:szCs w:val="24"/>
          <w:lang w:eastAsia="ko-KR"/>
        </w:rPr>
        <w:t>725-Proposal 4: The following Rel-15 Layer-2 and Layer-3 UE Features are mandatory with capability signaling for IAB-MTs:</w:t>
      </w:r>
    </w:p>
    <w:p w14:paraId="0F4D4449" w14:textId="77777777" w:rsidR="00804633" w:rsidRDefault="00804633" w:rsidP="00804633">
      <w:pPr>
        <w:ind w:left="720"/>
        <w:rPr>
          <w:lang w:eastAsia="ko-KR"/>
        </w:rPr>
      </w:pPr>
      <w:r>
        <w:rPr>
          <w:rFonts w:ascii="Trebuchet MS" w:hAnsi="Trebuchet MS"/>
          <w:b/>
          <w:bCs/>
          <w:sz w:val="24"/>
          <w:szCs w:val="24"/>
          <w:lang w:eastAsia="ko-KR"/>
        </w:rPr>
        <w:t>4-1          Intra-NR measurements and reports</w:t>
      </w:r>
    </w:p>
    <w:p w14:paraId="224151DA" w14:textId="77777777" w:rsidR="00804633" w:rsidRDefault="00804633" w:rsidP="00804633">
      <w:pPr>
        <w:ind w:left="720"/>
        <w:rPr>
          <w:lang w:eastAsia="ko-KR"/>
        </w:rPr>
      </w:pPr>
      <w:r>
        <w:rPr>
          <w:rFonts w:ascii="Trebuchet MS" w:hAnsi="Trebuchet MS"/>
          <w:b/>
          <w:bCs/>
          <w:sz w:val="24"/>
          <w:szCs w:val="24"/>
          <w:lang w:eastAsia="ko-KR"/>
        </w:rPr>
        <w:t>7-1          Handover:</w:t>
      </w:r>
    </w:p>
    <w:p w14:paraId="3EEDEDEA" w14:textId="77777777" w:rsidR="00804633" w:rsidRDefault="00804633" w:rsidP="00804633">
      <w:pPr>
        <w:ind w:left="1440"/>
        <w:rPr>
          <w:lang w:eastAsia="ko-KR"/>
        </w:rPr>
      </w:pPr>
      <w:r>
        <w:rPr>
          <w:rFonts w:ascii="Trebuchet MS" w:hAnsi="Trebuchet MS"/>
          <w:b/>
          <w:bCs/>
          <w:sz w:val="24"/>
          <w:szCs w:val="24"/>
          <w:lang w:eastAsia="ko-KR"/>
        </w:rPr>
        <w:t>1) Intra-frequency HO</w:t>
      </w:r>
    </w:p>
    <w:p w14:paraId="48CCFC0E" w14:textId="77777777" w:rsidR="00804633" w:rsidRDefault="00804633" w:rsidP="00804633">
      <w:pPr>
        <w:ind w:left="1440"/>
        <w:rPr>
          <w:lang w:eastAsia="ko-KR"/>
        </w:rPr>
      </w:pPr>
      <w:r>
        <w:rPr>
          <w:rFonts w:ascii="Trebuchet MS" w:hAnsi="Trebuchet MS"/>
          <w:b/>
          <w:bCs/>
          <w:sz w:val="24"/>
          <w:szCs w:val="24"/>
          <w:lang w:eastAsia="ko-KR"/>
        </w:rPr>
        <w:t>2) Inter-frequency HO</w:t>
      </w:r>
    </w:p>
    <w:p w14:paraId="7AEE7AF3" w14:textId="77777777" w:rsidR="00804633" w:rsidRDefault="00804633" w:rsidP="00804633">
      <w:pPr>
        <w:rPr>
          <w:lang w:eastAsia="ko-KR"/>
        </w:rPr>
      </w:pPr>
      <w:r>
        <w:rPr>
          <w:rFonts w:ascii="Trebuchet MS" w:hAnsi="Trebuchet MS"/>
          <w:b/>
          <w:bCs/>
          <w:sz w:val="24"/>
          <w:szCs w:val="24"/>
          <w:lang w:eastAsia="ko-KR"/>
        </w:rPr>
        <w:t xml:space="preserve">OR </w:t>
      </w:r>
    </w:p>
    <w:p w14:paraId="29EFC2A0" w14:textId="77777777" w:rsidR="00804633" w:rsidRDefault="00804633" w:rsidP="00804633">
      <w:pPr>
        <w:rPr>
          <w:lang w:eastAsia="ko-KR"/>
        </w:rPr>
      </w:pPr>
      <w:r>
        <w:rPr>
          <w:rFonts w:ascii="Trebuchet MS" w:hAnsi="Trebuchet MS"/>
          <w:b/>
          <w:bCs/>
          <w:sz w:val="24"/>
          <w:szCs w:val="24"/>
          <w:lang w:eastAsia="ko-KR"/>
        </w:rPr>
        <w:t>916-Proposal 3: The topology adaption related FG4-1/4-2/7-1 are not mandatory for IAB-MT in Rel-16.</w:t>
      </w:r>
    </w:p>
    <w:p w14:paraId="6E0A41D3" w14:textId="77777777" w:rsidR="00804633" w:rsidRDefault="00804633" w:rsidP="00804633">
      <w:pPr>
        <w:ind w:left="1440"/>
        <w:rPr>
          <w:lang w:eastAsia="ko-KR"/>
        </w:rPr>
      </w:pPr>
      <w:r>
        <w:rPr>
          <w:rFonts w:ascii="Trebuchet MS" w:hAnsi="Trebuchet MS"/>
          <w:b/>
          <w:bCs/>
          <w:sz w:val="24"/>
          <w:szCs w:val="24"/>
          <w:lang w:eastAsia="ko-KR"/>
        </w:rPr>
        <w:t> </w:t>
      </w:r>
    </w:p>
    <w:p w14:paraId="1A8C235B" w14:textId="77777777" w:rsidR="00804633" w:rsidRDefault="00804633" w:rsidP="00804633">
      <w:pPr>
        <w:rPr>
          <w:lang w:eastAsia="ko-KR"/>
        </w:rPr>
      </w:pPr>
      <w:r>
        <w:rPr>
          <w:rFonts w:ascii="Trebuchet MS" w:hAnsi="Trebuchet MS"/>
          <w:sz w:val="24"/>
          <w:szCs w:val="24"/>
          <w:lang w:eastAsia="ko-KR"/>
        </w:rPr>
        <w:t>RAN4-related</w:t>
      </w:r>
    </w:p>
    <w:p w14:paraId="0D351C86" w14:textId="77777777" w:rsidR="00804633" w:rsidRDefault="00804633" w:rsidP="00804633">
      <w:pPr>
        <w:rPr>
          <w:lang w:eastAsia="ko-KR"/>
        </w:rPr>
      </w:pPr>
      <w:r>
        <w:rPr>
          <w:rFonts w:ascii="Trebuchet MS" w:hAnsi="Trebuchet MS"/>
          <w:b/>
          <w:bCs/>
          <w:sz w:val="24"/>
          <w:szCs w:val="24"/>
          <w:lang w:eastAsia="ko-KR"/>
        </w:rPr>
        <w:t>725-Proposal 6: RF/RRM Rel-15 UE Features related to topology adaptation (i.e. FG 3-1/3-2/3-3) should remain optional for IAB-MTs in Rel-16.</w:t>
      </w:r>
    </w:p>
    <w:p w14:paraId="4993F893" w14:textId="77777777" w:rsidR="00804633" w:rsidRDefault="00804633" w:rsidP="00804633">
      <w:pPr>
        <w:rPr>
          <w:lang w:eastAsia="ko-KR"/>
        </w:rPr>
      </w:pPr>
      <w:r>
        <w:rPr>
          <w:rFonts w:ascii="Trebuchet MS" w:hAnsi="Trebuchet MS"/>
          <w:sz w:val="24"/>
          <w:szCs w:val="24"/>
          <w:lang w:eastAsia="ko-KR"/>
        </w:rPr>
        <w:t> </w:t>
      </w:r>
    </w:p>
    <w:p w14:paraId="4CB40C93" w14:textId="77777777" w:rsidR="00804633" w:rsidRDefault="00804633" w:rsidP="00804633">
      <w:pPr>
        <w:rPr>
          <w:lang w:eastAsia="ko-KR"/>
        </w:rPr>
      </w:pPr>
      <w:r>
        <w:rPr>
          <w:rFonts w:ascii="Trebuchet MS" w:hAnsi="Trebuchet MS"/>
          <w:sz w:val="24"/>
          <w:szCs w:val="24"/>
          <w:lang w:eastAsia="ko-KR"/>
        </w:rPr>
        <w:t> </w:t>
      </w:r>
    </w:p>
    <w:p w14:paraId="32532FD5" w14:textId="77777777" w:rsidR="00804633" w:rsidRDefault="00804633" w:rsidP="00804633">
      <w:pPr>
        <w:rPr>
          <w:lang w:eastAsia="ko-KR"/>
        </w:rPr>
      </w:pPr>
      <w:r>
        <w:rPr>
          <w:rFonts w:ascii="Trebuchet MS" w:hAnsi="Trebuchet MS"/>
          <w:sz w:val="24"/>
          <w:szCs w:val="24"/>
          <w:lang w:eastAsia="ko-KR"/>
        </w:rPr>
        <w:t>Companies are asked to provide their views on the above proposals as well as any supporting comments or questions for clarification below:</w:t>
      </w:r>
    </w:p>
    <w:tbl>
      <w:tblPr>
        <w:tblW w:w="0" w:type="auto"/>
        <w:tblCellMar>
          <w:left w:w="0" w:type="dxa"/>
          <w:right w:w="0" w:type="dxa"/>
        </w:tblCellMar>
        <w:tblLook w:val="04A0" w:firstRow="1" w:lastRow="0" w:firstColumn="1" w:lastColumn="0" w:noHBand="0" w:noVBand="1"/>
      </w:tblPr>
      <w:tblGrid>
        <w:gridCol w:w="1394"/>
        <w:gridCol w:w="1944"/>
        <w:gridCol w:w="6064"/>
      </w:tblGrid>
      <w:tr w:rsidR="00804633" w14:paraId="2836A944" w14:textId="77777777" w:rsidTr="00804633">
        <w:tc>
          <w:tcPr>
            <w:tcW w:w="1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5EBC58" w14:textId="77777777" w:rsidR="00804633" w:rsidRDefault="00804633">
            <w:pPr>
              <w:spacing w:line="252" w:lineRule="auto"/>
              <w:rPr>
                <w:lang w:eastAsia="en-US"/>
              </w:rPr>
            </w:pPr>
            <w:r>
              <w:rPr>
                <w:rFonts w:ascii="Trebuchet MS" w:hAnsi="Trebuchet MS"/>
                <w:b/>
                <w:bCs/>
                <w:sz w:val="24"/>
                <w:szCs w:val="24"/>
              </w:rPr>
              <w:t>Company</w:t>
            </w:r>
          </w:p>
        </w:tc>
        <w:tc>
          <w:tcPr>
            <w:tcW w:w="2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C5E21" w14:textId="77777777" w:rsidR="00804633" w:rsidRDefault="00804633">
            <w:pPr>
              <w:spacing w:line="252" w:lineRule="auto"/>
            </w:pPr>
            <w:r>
              <w:rPr>
                <w:rFonts w:ascii="Trebuchet MS" w:hAnsi="Trebuchet MS"/>
                <w:b/>
                <w:bCs/>
                <w:sz w:val="24"/>
                <w:szCs w:val="24"/>
              </w:rPr>
              <w:t xml:space="preserve">Which proposals do you support? </w:t>
            </w:r>
          </w:p>
        </w:tc>
        <w:tc>
          <w:tcPr>
            <w:tcW w:w="1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3C983" w14:textId="77777777" w:rsidR="00804633" w:rsidRDefault="00804633">
            <w:pPr>
              <w:spacing w:line="252" w:lineRule="auto"/>
            </w:pPr>
            <w:r>
              <w:rPr>
                <w:rFonts w:ascii="Trebuchet MS" w:hAnsi="Trebuchet MS"/>
                <w:b/>
                <w:bCs/>
                <w:sz w:val="24"/>
                <w:szCs w:val="24"/>
              </w:rPr>
              <w:t>Comments</w:t>
            </w:r>
          </w:p>
        </w:tc>
      </w:tr>
      <w:tr w:rsidR="00804633" w14:paraId="35B17D45" w14:textId="77777777" w:rsidTr="00804633">
        <w:tc>
          <w:tcPr>
            <w:tcW w:w="1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86726" w14:textId="77777777" w:rsidR="00804633" w:rsidRDefault="00804633">
            <w:pPr>
              <w:spacing w:line="252" w:lineRule="auto"/>
            </w:pPr>
            <w:r>
              <w:rPr>
                <w:rFonts w:ascii="Trebuchet MS" w:hAnsi="Trebuchet MS"/>
                <w:sz w:val="24"/>
                <w:szCs w:val="24"/>
              </w:rPr>
              <w:t> AT&amp;T</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14:paraId="616A07A7" w14:textId="77777777" w:rsidR="00804633" w:rsidRDefault="00804633">
            <w:pPr>
              <w:spacing w:line="252" w:lineRule="auto"/>
              <w:rPr>
                <w:rFonts w:ascii="Trebuchet MS" w:hAnsi="Trebuchet MS"/>
                <w:sz w:val="24"/>
                <w:szCs w:val="24"/>
              </w:rPr>
            </w:pPr>
            <w:r>
              <w:rPr>
                <w:rFonts w:ascii="Trebuchet MS" w:hAnsi="Trebuchet MS"/>
                <w:sz w:val="24"/>
                <w:szCs w:val="24"/>
              </w:rPr>
              <w:t> 725-Proposal 1</w:t>
            </w:r>
          </w:p>
          <w:p w14:paraId="3BB46C42" w14:textId="77777777" w:rsidR="00804633" w:rsidRDefault="00804633">
            <w:pPr>
              <w:spacing w:line="252" w:lineRule="auto"/>
              <w:rPr>
                <w:rFonts w:ascii="Trebuchet MS" w:hAnsi="Trebuchet MS"/>
                <w:sz w:val="24"/>
                <w:szCs w:val="24"/>
              </w:rPr>
            </w:pPr>
            <w:r>
              <w:rPr>
                <w:rFonts w:ascii="Trebuchet MS" w:hAnsi="Trebuchet MS"/>
                <w:sz w:val="24"/>
                <w:szCs w:val="24"/>
              </w:rPr>
              <w:t>725-Proposal 3</w:t>
            </w:r>
          </w:p>
          <w:p w14:paraId="13A9EA9C" w14:textId="77777777" w:rsidR="00804633" w:rsidRDefault="00804633">
            <w:pPr>
              <w:spacing w:line="252" w:lineRule="auto"/>
              <w:rPr>
                <w:rFonts w:ascii="Trebuchet MS" w:hAnsi="Trebuchet MS"/>
                <w:sz w:val="24"/>
                <w:szCs w:val="24"/>
              </w:rPr>
            </w:pPr>
            <w:r>
              <w:rPr>
                <w:rFonts w:ascii="Trebuchet MS" w:hAnsi="Trebuchet MS"/>
                <w:sz w:val="24"/>
                <w:szCs w:val="24"/>
              </w:rPr>
              <w:t>725-Proposal 4</w:t>
            </w:r>
          </w:p>
          <w:p w14:paraId="789A12D9" w14:textId="77777777" w:rsidR="00804633" w:rsidRDefault="00804633">
            <w:pPr>
              <w:spacing w:line="252" w:lineRule="auto"/>
              <w:rPr>
                <w:rFonts w:ascii="Calibri" w:hAnsi="Calibri"/>
                <w:sz w:val="22"/>
                <w:szCs w:val="22"/>
              </w:rPr>
            </w:pPr>
            <w:r>
              <w:rPr>
                <w:rFonts w:ascii="Trebuchet MS" w:hAnsi="Trebuchet MS"/>
                <w:sz w:val="24"/>
                <w:szCs w:val="24"/>
              </w:rPr>
              <w:t>725-Proposal 6</w:t>
            </w:r>
          </w:p>
        </w:tc>
        <w:tc>
          <w:tcPr>
            <w:tcW w:w="11790" w:type="dxa"/>
            <w:tcBorders>
              <w:top w:val="nil"/>
              <w:left w:val="nil"/>
              <w:bottom w:val="single" w:sz="8" w:space="0" w:color="auto"/>
              <w:right w:val="single" w:sz="8" w:space="0" w:color="auto"/>
            </w:tcBorders>
            <w:tcMar>
              <w:top w:w="0" w:type="dxa"/>
              <w:left w:w="108" w:type="dxa"/>
              <w:bottom w:w="0" w:type="dxa"/>
              <w:right w:w="108" w:type="dxa"/>
            </w:tcMar>
          </w:tcPr>
          <w:p w14:paraId="49D2072B" w14:textId="77777777" w:rsidR="00804633" w:rsidRDefault="00804633">
            <w:pPr>
              <w:spacing w:line="252" w:lineRule="auto"/>
              <w:rPr>
                <w:rFonts w:ascii="Trebuchet MS" w:hAnsi="Trebuchet MS"/>
                <w:sz w:val="24"/>
                <w:szCs w:val="24"/>
              </w:rPr>
            </w:pPr>
            <w:r>
              <w:rPr>
                <w:rFonts w:ascii="Trebuchet MS" w:hAnsi="Trebuchet MS"/>
                <w:sz w:val="24"/>
                <w:szCs w:val="24"/>
              </w:rPr>
              <w:t xml:space="preserve">As discussed in detail in 725, basic topology adaptation (i.e. RRM measurements, reports, and handovers) is a critical functionality for IAB nodes to ensure optimal routes for the backhaul links can be configured by the Donor CU. </w:t>
            </w:r>
            <w:r>
              <w:rPr>
                <w:rFonts w:ascii="Trebuchet MS" w:hAnsi="Trebuchet MS"/>
                <w:b/>
                <w:bCs/>
                <w:sz w:val="24"/>
                <w:szCs w:val="24"/>
                <w:u w:val="single"/>
              </w:rPr>
              <w:t>This should not be left to OAM or implementation</w:t>
            </w:r>
            <w:r>
              <w:rPr>
                <w:rFonts w:ascii="Trebuchet MS" w:hAnsi="Trebuchet MS"/>
                <w:sz w:val="24"/>
                <w:szCs w:val="24"/>
              </w:rPr>
              <w:t xml:space="preserve"> as one of the key differentiators of IAB from other self-backhauling technologies is the ability to scale dense deployments of IAB nodes and manage the backhaul link operation and routing </w:t>
            </w:r>
            <w:r>
              <w:rPr>
                <w:rFonts w:ascii="Trebuchet MS" w:hAnsi="Trebuchet MS"/>
                <w:b/>
                <w:bCs/>
                <w:sz w:val="24"/>
                <w:szCs w:val="24"/>
                <w:u w:val="single"/>
              </w:rPr>
              <w:t>within the RAN</w:t>
            </w:r>
            <w:r>
              <w:rPr>
                <w:rFonts w:ascii="Trebuchet MS" w:hAnsi="Trebuchet MS"/>
                <w:sz w:val="24"/>
                <w:szCs w:val="24"/>
              </w:rPr>
              <w:t xml:space="preserve">. </w:t>
            </w:r>
          </w:p>
          <w:p w14:paraId="1969CBAC" w14:textId="77777777" w:rsidR="00804633" w:rsidRDefault="00804633">
            <w:pPr>
              <w:spacing w:line="252" w:lineRule="auto"/>
              <w:rPr>
                <w:rFonts w:ascii="Trebuchet MS" w:hAnsi="Trebuchet MS"/>
                <w:sz w:val="24"/>
                <w:szCs w:val="24"/>
              </w:rPr>
            </w:pPr>
          </w:p>
          <w:p w14:paraId="0AB7512A" w14:textId="77777777" w:rsidR="00804633" w:rsidRDefault="00804633">
            <w:pPr>
              <w:spacing w:line="252" w:lineRule="auto"/>
              <w:rPr>
                <w:rFonts w:ascii="Trebuchet MS" w:hAnsi="Trebuchet MS"/>
                <w:sz w:val="24"/>
                <w:szCs w:val="24"/>
              </w:rPr>
            </w:pPr>
            <w:r>
              <w:rPr>
                <w:rFonts w:ascii="Trebuchet MS" w:hAnsi="Trebuchet MS"/>
                <w:sz w:val="24"/>
                <w:szCs w:val="24"/>
              </w:rPr>
              <w:t>Furthermore, given that RAN1 has agreed SSB-based RRM measurements are mandatory for at least wide-</w:t>
            </w:r>
            <w:r>
              <w:rPr>
                <w:rFonts w:ascii="Trebuchet MS" w:hAnsi="Trebuchet MS"/>
                <w:sz w:val="24"/>
                <w:szCs w:val="24"/>
              </w:rPr>
              <w:lastRenderedPageBreak/>
              <w:t>area IAB-MTs (i.e. FG 1-1 component 2), consistent agreements should be applied across WGs. In our view, making the relevant RAN1/RAN2 FGs in 725 Proposals 3 and 4 as mandatory for IAB-MTs with capability signaling is an acceptable compromise which still enables the potential for IAB nodes to be deployed without this functionality in limited small-scale or isolated early deployments if so desired by an operator.</w:t>
            </w:r>
          </w:p>
        </w:tc>
      </w:tr>
      <w:tr w:rsidR="00804633" w14:paraId="1EB1EF35" w14:textId="77777777" w:rsidTr="00804633">
        <w:tc>
          <w:tcPr>
            <w:tcW w:w="1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F7EB4" w14:textId="77777777" w:rsidR="00804633" w:rsidRDefault="00804633">
            <w:pPr>
              <w:spacing w:line="252" w:lineRule="auto"/>
              <w:rPr>
                <w:rFonts w:ascii="Trebuchet MS" w:hAnsi="Trebuchet MS"/>
                <w:sz w:val="24"/>
                <w:szCs w:val="24"/>
              </w:rPr>
            </w:pPr>
            <w:r>
              <w:rPr>
                <w:rFonts w:ascii="Trebuchet MS" w:hAnsi="Trebuchet MS"/>
                <w:color w:val="1F497D"/>
                <w:sz w:val="24"/>
                <w:szCs w:val="24"/>
              </w:rPr>
              <w:lastRenderedPageBreak/>
              <w:t>LG</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14:paraId="544CB9E6"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725-Proposal 1</w:t>
            </w:r>
          </w:p>
          <w:p w14:paraId="1E8485CC"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725-Proposal 3</w:t>
            </w:r>
          </w:p>
          <w:p w14:paraId="5D0DA365"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725-Proposal 4</w:t>
            </w:r>
          </w:p>
          <w:p w14:paraId="6F42540C"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725-Proposal 6</w:t>
            </w:r>
          </w:p>
        </w:tc>
        <w:tc>
          <w:tcPr>
            <w:tcW w:w="11790" w:type="dxa"/>
            <w:tcBorders>
              <w:top w:val="nil"/>
              <w:left w:val="nil"/>
              <w:bottom w:val="single" w:sz="8" w:space="0" w:color="auto"/>
              <w:right w:val="single" w:sz="8" w:space="0" w:color="auto"/>
            </w:tcBorders>
            <w:tcMar>
              <w:top w:w="0" w:type="dxa"/>
              <w:left w:w="108" w:type="dxa"/>
              <w:bottom w:w="0" w:type="dxa"/>
              <w:right w:w="108" w:type="dxa"/>
            </w:tcMar>
            <w:hideMark/>
          </w:tcPr>
          <w:p w14:paraId="5E9F41F3"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Basic topology adaptation functionalities are essential to support high density use case, e.g., Local area IAB-MT. Given that the IAB donor CU configures and manages all backhaul links and routes in IAB network, we think basic topology adaptation provides a way to handle a backhaul link failure to the IAB donor CU and is also important for Wide area IAB-MT.</w:t>
            </w:r>
          </w:p>
        </w:tc>
      </w:tr>
      <w:tr w:rsidR="00804633" w14:paraId="21FE5390" w14:textId="77777777" w:rsidTr="00804633">
        <w:tc>
          <w:tcPr>
            <w:tcW w:w="1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27542" w14:textId="77777777" w:rsidR="00804633" w:rsidRDefault="00804633">
            <w:pPr>
              <w:spacing w:line="252" w:lineRule="auto"/>
              <w:rPr>
                <w:rFonts w:ascii="Calibri" w:hAnsi="Calibri"/>
                <w:color w:val="00B050"/>
                <w:sz w:val="24"/>
                <w:szCs w:val="24"/>
              </w:rPr>
            </w:pPr>
            <w:r>
              <w:rPr>
                <w:color w:val="00B050"/>
                <w:sz w:val="24"/>
                <w:szCs w:val="24"/>
              </w:rPr>
              <w:t>KDDI</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14:paraId="49C936DF" w14:textId="77777777" w:rsidR="00804633" w:rsidRDefault="00804633">
            <w:pPr>
              <w:spacing w:line="252" w:lineRule="auto"/>
              <w:rPr>
                <w:color w:val="00B050"/>
                <w:sz w:val="24"/>
                <w:szCs w:val="24"/>
              </w:rPr>
            </w:pPr>
            <w:r>
              <w:rPr>
                <w:color w:val="00B050"/>
                <w:sz w:val="24"/>
                <w:szCs w:val="24"/>
              </w:rPr>
              <w:t>725-Proposal 6</w:t>
            </w:r>
          </w:p>
        </w:tc>
        <w:tc>
          <w:tcPr>
            <w:tcW w:w="11790" w:type="dxa"/>
            <w:tcBorders>
              <w:top w:val="nil"/>
              <w:left w:val="nil"/>
              <w:bottom w:val="single" w:sz="8" w:space="0" w:color="auto"/>
              <w:right w:val="single" w:sz="8" w:space="0" w:color="auto"/>
            </w:tcBorders>
            <w:tcMar>
              <w:top w:w="0" w:type="dxa"/>
              <w:left w:w="108" w:type="dxa"/>
              <w:bottom w:w="0" w:type="dxa"/>
              <w:right w:w="108" w:type="dxa"/>
            </w:tcMar>
            <w:hideMark/>
          </w:tcPr>
          <w:p w14:paraId="474AF74E" w14:textId="77777777" w:rsidR="00804633" w:rsidRDefault="00804633">
            <w:pPr>
              <w:spacing w:line="252" w:lineRule="auto"/>
              <w:rPr>
                <w:color w:val="00B050"/>
                <w:sz w:val="24"/>
                <w:szCs w:val="24"/>
              </w:rPr>
            </w:pPr>
            <w:r>
              <w:rPr>
                <w:color w:val="00B050"/>
                <w:sz w:val="24"/>
                <w:szCs w:val="24"/>
              </w:rPr>
              <w:t>We support 725-Proposal 6. We can accept 725-Proposal 1, 725-Proposal 3, 725-Proposal 4 as a compromise. Even though we are not sure whether topology adaptation functionalities should be mandatory for wide-area IAB-MTs in Rel-</w:t>
            </w:r>
            <w:proofErr w:type="gramStart"/>
            <w:r>
              <w:rPr>
                <w:color w:val="00B050"/>
                <w:sz w:val="24"/>
                <w:szCs w:val="24"/>
              </w:rPr>
              <w:t>16 time</w:t>
            </w:r>
            <w:proofErr w:type="gramEnd"/>
            <w:r>
              <w:rPr>
                <w:color w:val="00B050"/>
                <w:sz w:val="24"/>
                <w:szCs w:val="24"/>
              </w:rPr>
              <w:t xml:space="preserve"> frame. But, mandatory with capability signaling seems to be a good compromise to progress the discussion.</w:t>
            </w:r>
          </w:p>
        </w:tc>
      </w:tr>
    </w:tbl>
    <w:p w14:paraId="34D88831" w14:textId="77777777" w:rsidR="00804633" w:rsidRDefault="00804633" w:rsidP="00804633">
      <w:pPr>
        <w:rPr>
          <w:rFonts w:ascii="Calibri" w:eastAsiaTheme="minorHAnsi" w:hAnsi="Calibri" w:cs="Calibri"/>
          <w:color w:val="auto"/>
          <w:sz w:val="22"/>
          <w:szCs w:val="22"/>
          <w:lang w:eastAsia="ko-KR"/>
        </w:rPr>
      </w:pPr>
      <w:r>
        <w:rPr>
          <w:rFonts w:ascii="Trebuchet MS" w:hAnsi="Trebuchet MS"/>
          <w:sz w:val="24"/>
          <w:szCs w:val="24"/>
          <w:lang w:eastAsia="ko-KR"/>
        </w:rPr>
        <w:t> </w:t>
      </w:r>
    </w:p>
    <w:tbl>
      <w:tblPr>
        <w:tblW w:w="0" w:type="auto"/>
        <w:tblCellMar>
          <w:left w:w="0" w:type="dxa"/>
          <w:right w:w="0" w:type="dxa"/>
        </w:tblCellMar>
        <w:tblLook w:val="04A0" w:firstRow="1" w:lastRow="0" w:firstColumn="1" w:lastColumn="0" w:noHBand="0" w:noVBand="1"/>
      </w:tblPr>
      <w:tblGrid>
        <w:gridCol w:w="1082"/>
        <w:gridCol w:w="1381"/>
        <w:gridCol w:w="6939"/>
      </w:tblGrid>
      <w:tr w:rsidR="00804633" w14:paraId="29EAA31A" w14:textId="77777777" w:rsidTr="00804633">
        <w:tc>
          <w:tcPr>
            <w:tcW w:w="1210" w:type="dxa"/>
            <w:tcBorders>
              <w:top w:val="nil"/>
              <w:left w:val="single" w:sz="8" w:space="0" w:color="auto"/>
              <w:bottom w:val="nil"/>
              <w:right w:val="single" w:sz="8" w:space="0" w:color="auto"/>
            </w:tcBorders>
            <w:tcMar>
              <w:top w:w="0" w:type="dxa"/>
              <w:left w:w="108" w:type="dxa"/>
              <w:bottom w:w="0" w:type="dxa"/>
              <w:right w:w="108" w:type="dxa"/>
            </w:tcMar>
            <w:hideMark/>
          </w:tcPr>
          <w:p w14:paraId="71ED8136" w14:textId="77777777" w:rsidR="00804633" w:rsidRDefault="00804633">
            <w:pPr>
              <w:spacing w:line="252" w:lineRule="auto"/>
              <w:rPr>
                <w:rFonts w:ascii="Trebuchet MS" w:hAnsi="Trebuchet MS"/>
                <w:sz w:val="24"/>
                <w:szCs w:val="24"/>
                <w:lang w:eastAsia="en-US"/>
              </w:rPr>
            </w:pPr>
            <w:r>
              <w:rPr>
                <w:rFonts w:ascii="Trebuchet MS" w:hAnsi="Trebuchet MS"/>
                <w:sz w:val="24"/>
                <w:szCs w:val="24"/>
              </w:rPr>
              <w:t>Huawei</w:t>
            </w:r>
          </w:p>
        </w:tc>
        <w:tc>
          <w:tcPr>
            <w:tcW w:w="1746" w:type="dxa"/>
            <w:tcBorders>
              <w:top w:val="nil"/>
              <w:left w:val="nil"/>
              <w:bottom w:val="nil"/>
              <w:right w:val="single" w:sz="8" w:space="0" w:color="auto"/>
            </w:tcBorders>
            <w:tcMar>
              <w:top w:w="0" w:type="dxa"/>
              <w:left w:w="108" w:type="dxa"/>
              <w:bottom w:w="0" w:type="dxa"/>
              <w:right w:w="108" w:type="dxa"/>
            </w:tcMar>
            <w:hideMark/>
          </w:tcPr>
          <w:p w14:paraId="3F82E469" w14:textId="77777777" w:rsidR="00804633" w:rsidRDefault="00804633">
            <w:pPr>
              <w:spacing w:line="252" w:lineRule="auto"/>
              <w:rPr>
                <w:rFonts w:ascii="Trebuchet MS" w:hAnsi="Trebuchet MS"/>
                <w:color w:val="1F497D"/>
                <w:sz w:val="24"/>
                <w:szCs w:val="24"/>
              </w:rPr>
            </w:pPr>
            <w:r>
              <w:rPr>
                <w:rFonts w:ascii="Trebuchet MS" w:hAnsi="Trebuchet MS"/>
                <w:b/>
                <w:bCs/>
                <w:sz w:val="24"/>
                <w:szCs w:val="24"/>
                <w:lang w:eastAsia="ko-KR"/>
              </w:rPr>
              <w:t>916-Proposal 3</w:t>
            </w:r>
          </w:p>
        </w:tc>
        <w:tc>
          <w:tcPr>
            <w:tcW w:w="13238" w:type="dxa"/>
            <w:tcBorders>
              <w:top w:val="nil"/>
              <w:left w:val="nil"/>
              <w:bottom w:val="nil"/>
              <w:right w:val="single" w:sz="8" w:space="0" w:color="auto"/>
            </w:tcBorders>
            <w:tcMar>
              <w:top w:w="0" w:type="dxa"/>
              <w:left w:w="108" w:type="dxa"/>
              <w:bottom w:w="0" w:type="dxa"/>
              <w:right w:w="108" w:type="dxa"/>
            </w:tcMar>
            <w:hideMark/>
          </w:tcPr>
          <w:p w14:paraId="1B816A49"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As we clarified in Q1, RAN2 has already agreed the principle of minimum set selection for IAB:</w:t>
            </w:r>
          </w:p>
          <w:p w14:paraId="4ED739B3" w14:textId="77777777" w:rsidR="00804633" w:rsidRDefault="00804633">
            <w:pPr>
              <w:pStyle w:val="Agreement"/>
              <w:spacing w:line="252" w:lineRule="auto"/>
              <w:rPr>
                <w:lang w:eastAsia="zh-CN"/>
              </w:rPr>
            </w:pPr>
            <w:r>
              <w:rPr>
                <w:lang w:eastAsia="zh-CN"/>
              </w:rPr>
              <w:t>Minimum set of IAB-MT capabilities should contain:</w:t>
            </w:r>
          </w:p>
          <w:p w14:paraId="31CD774C" w14:textId="77777777" w:rsidR="00804633" w:rsidRDefault="00804633" w:rsidP="00804633">
            <w:pPr>
              <w:pStyle w:val="ListParagraph"/>
              <w:numPr>
                <w:ilvl w:val="0"/>
                <w:numId w:val="28"/>
              </w:numPr>
              <w:overflowPunct/>
              <w:autoSpaceDE/>
              <w:autoSpaceDN/>
              <w:adjustRightInd/>
              <w:spacing w:after="0" w:line="276" w:lineRule="auto"/>
              <w:textAlignment w:val="auto"/>
              <w:rPr>
                <w:b/>
                <w:bCs/>
              </w:rPr>
            </w:pPr>
            <w:r>
              <w:rPr>
                <w:b/>
                <w:bCs/>
              </w:rPr>
              <w:t>Features which are indispensable for IAB-MT to perform initial access and establish an RRC connection and OAM connection with the network.</w:t>
            </w:r>
          </w:p>
          <w:p w14:paraId="32666E56" w14:textId="77777777" w:rsidR="00804633" w:rsidRDefault="00804633" w:rsidP="00804633">
            <w:pPr>
              <w:pStyle w:val="ListParagraph"/>
              <w:numPr>
                <w:ilvl w:val="0"/>
                <w:numId w:val="28"/>
              </w:numPr>
              <w:overflowPunct/>
              <w:autoSpaceDE/>
              <w:autoSpaceDN/>
              <w:adjustRightInd/>
              <w:spacing w:after="0" w:line="276" w:lineRule="auto"/>
              <w:textAlignment w:val="auto"/>
              <w:rPr>
                <w:b/>
                <w:bCs/>
              </w:rPr>
            </w:pPr>
            <w:r>
              <w:rPr>
                <w:b/>
                <w:bCs/>
              </w:rPr>
              <w:t>Basic BAP procedures, i.e. routing, bearer mapping</w:t>
            </w:r>
          </w:p>
          <w:p w14:paraId="1EA396E9" w14:textId="77777777" w:rsidR="00804633" w:rsidRDefault="00804633" w:rsidP="00804633">
            <w:pPr>
              <w:pStyle w:val="ListParagraph"/>
              <w:numPr>
                <w:ilvl w:val="0"/>
                <w:numId w:val="28"/>
              </w:numPr>
              <w:overflowPunct/>
              <w:autoSpaceDE/>
              <w:autoSpaceDN/>
              <w:adjustRightInd/>
              <w:spacing w:after="0" w:line="276" w:lineRule="auto"/>
              <w:textAlignment w:val="auto"/>
              <w:rPr>
                <w:b/>
                <w:bCs/>
              </w:rPr>
            </w:pPr>
            <w:r>
              <w:rPr>
                <w:b/>
                <w:bCs/>
              </w:rPr>
              <w:t>IP signalling over RRC</w:t>
            </w:r>
          </w:p>
          <w:p w14:paraId="04E12EEE"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 xml:space="preserve">And RAN WGs have defined the minimum feature set, which can already meet the requirement. Features for the aka topology adaptation functionality are clearly dispensable for IAB-MT to perform initial access and OAM connection. </w:t>
            </w:r>
          </w:p>
          <w:p w14:paraId="4DD22279"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t xml:space="preserve">On the other hand, the scenario for the topology adaptation functionality as mentioned in this paper is “scale dense deployments of IAB nodes”, which is not the focus of the initial phase of IAB deployment. But supporting the features for the topology adaptation functionality would require a lot of implementation efforts for vendors (even if it is mandatory </w:t>
            </w:r>
            <w:r>
              <w:rPr>
                <w:rFonts w:ascii="Trebuchet MS" w:hAnsi="Trebuchet MS"/>
                <w:color w:val="1F497D"/>
                <w:sz w:val="24"/>
                <w:szCs w:val="24"/>
                <w:u w:val="single"/>
              </w:rPr>
              <w:t>with</w:t>
            </w:r>
            <w:r>
              <w:rPr>
                <w:rFonts w:ascii="Trebuchet MS" w:hAnsi="Trebuchet MS"/>
                <w:color w:val="1F497D"/>
                <w:sz w:val="24"/>
                <w:szCs w:val="24"/>
              </w:rPr>
              <w:t xml:space="preserve"> capability), and </w:t>
            </w:r>
            <w:proofErr w:type="gramStart"/>
            <w:r>
              <w:rPr>
                <w:rFonts w:ascii="Trebuchet MS" w:hAnsi="Trebuchet MS"/>
                <w:color w:val="1F497D"/>
                <w:sz w:val="24"/>
                <w:szCs w:val="24"/>
              </w:rPr>
              <w:t>as a consequence</w:t>
            </w:r>
            <w:proofErr w:type="gramEnd"/>
            <w:r>
              <w:rPr>
                <w:rFonts w:ascii="Trebuchet MS" w:hAnsi="Trebuchet MS"/>
                <w:color w:val="1F497D"/>
                <w:sz w:val="24"/>
                <w:szCs w:val="24"/>
              </w:rPr>
              <w:t xml:space="preserve"> would delay the IAB commercialization.</w:t>
            </w:r>
          </w:p>
          <w:p w14:paraId="118156C6" w14:textId="77777777" w:rsidR="00804633" w:rsidRDefault="00804633">
            <w:pPr>
              <w:spacing w:line="252" w:lineRule="auto"/>
              <w:rPr>
                <w:rFonts w:ascii="Trebuchet MS" w:hAnsi="Trebuchet MS"/>
                <w:color w:val="1F497D"/>
                <w:sz w:val="24"/>
                <w:szCs w:val="24"/>
              </w:rPr>
            </w:pPr>
            <w:r>
              <w:rPr>
                <w:rFonts w:ascii="Trebuchet MS" w:hAnsi="Trebuchet MS"/>
                <w:color w:val="1F497D"/>
                <w:sz w:val="24"/>
                <w:szCs w:val="24"/>
              </w:rPr>
              <w:lastRenderedPageBreak/>
              <w:t>Given that RAN1/2/4 have already agreed the basic feature set that IAB nodes have to support, we think other features can be optional and can also be supported based on the need and request of some specific operators.</w:t>
            </w:r>
          </w:p>
        </w:tc>
      </w:tr>
      <w:tr w:rsidR="00804633" w14:paraId="56F398A6" w14:textId="77777777" w:rsidTr="00804633">
        <w:tc>
          <w:tcPr>
            <w:tcW w:w="12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7FE6A0" w14:textId="77777777" w:rsidR="00804633" w:rsidRDefault="00804633">
            <w:pPr>
              <w:spacing w:line="252" w:lineRule="auto"/>
              <w:rPr>
                <w:rFonts w:ascii="Trebuchet MS" w:hAnsi="Trebuchet MS"/>
                <w:color w:val="auto"/>
                <w:sz w:val="24"/>
                <w:szCs w:val="24"/>
              </w:rPr>
            </w:pPr>
          </w:p>
        </w:tc>
        <w:tc>
          <w:tcPr>
            <w:tcW w:w="1746" w:type="dxa"/>
            <w:tcBorders>
              <w:top w:val="nil"/>
              <w:left w:val="nil"/>
              <w:bottom w:val="single" w:sz="8" w:space="0" w:color="auto"/>
              <w:right w:val="single" w:sz="8" w:space="0" w:color="auto"/>
            </w:tcBorders>
            <w:tcMar>
              <w:top w:w="0" w:type="dxa"/>
              <w:left w:w="108" w:type="dxa"/>
              <w:bottom w:w="0" w:type="dxa"/>
              <w:right w:w="108" w:type="dxa"/>
            </w:tcMar>
          </w:tcPr>
          <w:p w14:paraId="2ABF5B39" w14:textId="77777777" w:rsidR="00804633" w:rsidRDefault="00804633">
            <w:pPr>
              <w:spacing w:line="252" w:lineRule="auto"/>
              <w:rPr>
                <w:rFonts w:ascii="Trebuchet MS" w:hAnsi="Trebuchet MS"/>
                <w:b/>
                <w:bCs/>
                <w:sz w:val="24"/>
                <w:szCs w:val="24"/>
                <w:lang w:eastAsia="ko-KR"/>
              </w:rPr>
            </w:pPr>
          </w:p>
        </w:tc>
        <w:tc>
          <w:tcPr>
            <w:tcW w:w="13238" w:type="dxa"/>
            <w:tcBorders>
              <w:top w:val="nil"/>
              <w:left w:val="nil"/>
              <w:bottom w:val="single" w:sz="8" w:space="0" w:color="auto"/>
              <w:right w:val="single" w:sz="8" w:space="0" w:color="auto"/>
            </w:tcBorders>
            <w:tcMar>
              <w:top w:w="0" w:type="dxa"/>
              <w:left w:w="108" w:type="dxa"/>
              <w:bottom w:w="0" w:type="dxa"/>
              <w:right w:w="108" w:type="dxa"/>
            </w:tcMar>
          </w:tcPr>
          <w:p w14:paraId="0A1B5E0C" w14:textId="77777777" w:rsidR="00804633" w:rsidRDefault="00804633">
            <w:pPr>
              <w:spacing w:line="252" w:lineRule="auto"/>
              <w:rPr>
                <w:rFonts w:ascii="Trebuchet MS" w:hAnsi="Trebuchet MS"/>
                <w:color w:val="1F497D"/>
                <w:sz w:val="24"/>
                <w:szCs w:val="24"/>
                <w:lang w:eastAsia="en-US"/>
              </w:rPr>
            </w:pPr>
          </w:p>
        </w:tc>
      </w:tr>
      <w:tr w:rsidR="00804633" w14:paraId="4C23BB77" w14:textId="77777777" w:rsidTr="00804633">
        <w:tc>
          <w:tcPr>
            <w:tcW w:w="1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3EB2D" w14:textId="77777777" w:rsidR="00804633" w:rsidRDefault="00804633">
            <w:pPr>
              <w:spacing w:line="252" w:lineRule="auto"/>
              <w:rPr>
                <w:rFonts w:ascii="Trebuchet MS" w:hAnsi="Trebuchet MS"/>
                <w:color w:val="auto"/>
                <w:sz w:val="24"/>
                <w:szCs w:val="24"/>
              </w:rPr>
            </w:pPr>
            <w:r>
              <w:rPr>
                <w:rFonts w:ascii="Trebuchet MS" w:hAnsi="Trebuchet MS"/>
                <w:sz w:val="24"/>
                <w:szCs w:val="24"/>
              </w:rPr>
              <w:t>Huawei</w:t>
            </w: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14:paraId="14D1F325" w14:textId="77777777" w:rsidR="00804633" w:rsidRDefault="00804633">
            <w:pPr>
              <w:spacing w:line="252" w:lineRule="auto"/>
              <w:rPr>
                <w:rFonts w:ascii="Trebuchet MS" w:hAnsi="Trebuchet MS"/>
                <w:b/>
                <w:bCs/>
                <w:sz w:val="24"/>
                <w:szCs w:val="24"/>
                <w:lang w:eastAsia="ko-KR"/>
              </w:rPr>
            </w:pPr>
            <w:r>
              <w:rPr>
                <w:rFonts w:ascii="Trebuchet MS" w:hAnsi="Trebuchet MS"/>
                <w:b/>
                <w:bCs/>
                <w:sz w:val="24"/>
                <w:szCs w:val="24"/>
                <w:lang w:eastAsia="ko-KR"/>
              </w:rPr>
              <w:t>925-Proposal 6</w:t>
            </w:r>
          </w:p>
        </w:tc>
        <w:tc>
          <w:tcPr>
            <w:tcW w:w="13238" w:type="dxa"/>
            <w:tcBorders>
              <w:top w:val="nil"/>
              <w:left w:val="nil"/>
              <w:bottom w:val="single" w:sz="8" w:space="0" w:color="auto"/>
              <w:right w:val="single" w:sz="8" w:space="0" w:color="auto"/>
            </w:tcBorders>
            <w:tcMar>
              <w:top w:w="0" w:type="dxa"/>
              <w:left w:w="108" w:type="dxa"/>
              <w:bottom w:w="0" w:type="dxa"/>
              <w:right w:w="108" w:type="dxa"/>
            </w:tcMar>
            <w:hideMark/>
          </w:tcPr>
          <w:p w14:paraId="55698518" w14:textId="77777777" w:rsidR="00804633" w:rsidRDefault="00804633">
            <w:pPr>
              <w:spacing w:line="252" w:lineRule="auto"/>
              <w:rPr>
                <w:rFonts w:ascii="Trebuchet MS" w:hAnsi="Trebuchet MS"/>
                <w:color w:val="1F497D"/>
                <w:sz w:val="24"/>
                <w:szCs w:val="24"/>
                <w:lang w:eastAsia="en-US"/>
              </w:rPr>
            </w:pPr>
            <w:r>
              <w:rPr>
                <w:color w:val="1F497D"/>
              </w:rPr>
              <w:t xml:space="preserve">For the RAN4 RRM part (725-Proposal </w:t>
            </w:r>
            <w:proofErr w:type="gramStart"/>
            <w:r>
              <w:rPr>
                <w:color w:val="1F497D"/>
              </w:rPr>
              <w:t>6  3</w:t>
            </w:r>
            <w:proofErr w:type="gramEnd"/>
            <w:r>
              <w:rPr>
                <w:color w:val="1F497D"/>
              </w:rPr>
              <w:t>-1/3-2/3-3), keeping them optional is acceptable to us (as a compromise)</w:t>
            </w:r>
          </w:p>
        </w:tc>
      </w:tr>
    </w:tbl>
    <w:p w14:paraId="11DBA497" w14:textId="77777777" w:rsidR="00804633" w:rsidRDefault="00804633" w:rsidP="00804633">
      <w:pPr>
        <w:rPr>
          <w:rFonts w:ascii="Calibri" w:eastAsiaTheme="minorHAnsi" w:hAnsi="Calibri" w:cs="Calibri"/>
          <w:color w:val="1F497D"/>
          <w:sz w:val="22"/>
          <w:szCs w:val="22"/>
        </w:rPr>
      </w:pPr>
      <w:r>
        <w:rPr>
          <w:color w:val="1F497D"/>
        </w:rPr>
        <w:t xml:space="preserve">. </w:t>
      </w:r>
    </w:p>
    <w:tbl>
      <w:tblPr>
        <w:tblW w:w="0" w:type="auto"/>
        <w:tblCellMar>
          <w:left w:w="0" w:type="dxa"/>
          <w:right w:w="0" w:type="dxa"/>
        </w:tblCellMar>
        <w:tblLook w:val="04A0" w:firstRow="1" w:lastRow="0" w:firstColumn="1" w:lastColumn="0" w:noHBand="0" w:noVBand="1"/>
        <w:tblCaption w:val=""/>
        <w:tblDescription w:val=""/>
      </w:tblPr>
      <w:tblGrid>
        <w:gridCol w:w="1130"/>
        <w:gridCol w:w="1419"/>
        <w:gridCol w:w="6853"/>
      </w:tblGrid>
      <w:tr w:rsidR="00804633" w14:paraId="4ABF4088" w14:textId="77777777" w:rsidTr="00804633">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5FEF6" w14:textId="77777777" w:rsidR="00804633" w:rsidRDefault="00804633">
            <w:pPr>
              <w:spacing w:line="252" w:lineRule="auto"/>
              <w:rPr>
                <w:rFonts w:ascii="Trebuchet MS" w:hAnsi="Trebuchet MS"/>
                <w:color w:val="auto"/>
                <w:sz w:val="24"/>
                <w:szCs w:val="24"/>
              </w:rPr>
            </w:pPr>
            <w:r>
              <w:rPr>
                <w:rFonts w:ascii="Trebuchet MS" w:hAnsi="Trebuchet MS"/>
                <w:sz w:val="24"/>
                <w:szCs w:val="24"/>
              </w:rPr>
              <w:t>Huawei</w:t>
            </w:r>
          </w:p>
        </w:tc>
        <w:tc>
          <w:tcPr>
            <w:tcW w:w="1604" w:type="dxa"/>
            <w:tcBorders>
              <w:top w:val="nil"/>
              <w:left w:val="nil"/>
              <w:bottom w:val="single" w:sz="8" w:space="0" w:color="auto"/>
              <w:right w:val="single" w:sz="8" w:space="0" w:color="auto"/>
            </w:tcBorders>
            <w:tcMar>
              <w:top w:w="0" w:type="dxa"/>
              <w:left w:w="108" w:type="dxa"/>
              <w:bottom w:w="0" w:type="dxa"/>
              <w:right w:w="108" w:type="dxa"/>
            </w:tcMar>
            <w:hideMark/>
          </w:tcPr>
          <w:p w14:paraId="4252EF7F" w14:textId="77777777" w:rsidR="00804633" w:rsidRDefault="00804633">
            <w:pPr>
              <w:spacing w:line="252" w:lineRule="auto"/>
              <w:rPr>
                <w:rFonts w:ascii="Trebuchet MS" w:hAnsi="Trebuchet MS"/>
                <w:b/>
                <w:bCs/>
                <w:sz w:val="24"/>
                <w:szCs w:val="24"/>
                <w:lang w:eastAsia="ko-KR"/>
              </w:rPr>
            </w:pPr>
            <w:r>
              <w:rPr>
                <w:rFonts w:ascii="Trebuchet MS" w:hAnsi="Trebuchet MS"/>
                <w:sz w:val="24"/>
                <w:szCs w:val="24"/>
              </w:rPr>
              <w:t>Object 725-Proposal 1 and 725-Proposal 3</w:t>
            </w:r>
          </w:p>
        </w:tc>
        <w:tc>
          <w:tcPr>
            <w:tcW w:w="10417" w:type="dxa"/>
            <w:tcBorders>
              <w:top w:val="nil"/>
              <w:left w:val="nil"/>
              <w:bottom w:val="single" w:sz="8" w:space="0" w:color="auto"/>
              <w:right w:val="single" w:sz="8" w:space="0" w:color="auto"/>
            </w:tcBorders>
            <w:tcMar>
              <w:top w:w="0" w:type="dxa"/>
              <w:left w:w="108" w:type="dxa"/>
              <w:bottom w:w="0" w:type="dxa"/>
              <w:right w:w="108" w:type="dxa"/>
            </w:tcMar>
          </w:tcPr>
          <w:p w14:paraId="02BAA399" w14:textId="77777777" w:rsidR="00804633" w:rsidRDefault="00804633">
            <w:pPr>
              <w:spacing w:line="252" w:lineRule="auto"/>
              <w:rPr>
                <w:rFonts w:ascii="Calibri" w:hAnsi="Calibri"/>
                <w:color w:val="1F497D"/>
                <w:sz w:val="21"/>
                <w:szCs w:val="21"/>
                <w:lang w:eastAsia="en-US"/>
              </w:rPr>
            </w:pPr>
            <w:r>
              <w:rPr>
                <w:color w:val="1F497D"/>
                <w:sz w:val="21"/>
                <w:szCs w:val="21"/>
              </w:rPr>
              <w:t>In general, our view is that topology adaption is not the basic operation for IAB-MT since it does not have any impact on initial access and connection setup. We can provide more details if needed…but probably not needed….</w:t>
            </w:r>
          </w:p>
          <w:p w14:paraId="4D22CA7F" w14:textId="77777777" w:rsidR="00804633" w:rsidRDefault="00804633">
            <w:pPr>
              <w:spacing w:line="252" w:lineRule="auto"/>
              <w:rPr>
                <w:rFonts w:ascii="Trebuchet MS" w:hAnsi="Trebuchet MS"/>
                <w:color w:val="1F497D"/>
                <w:sz w:val="24"/>
                <w:szCs w:val="24"/>
              </w:rPr>
            </w:pPr>
          </w:p>
        </w:tc>
      </w:tr>
      <w:tr w:rsidR="00804633" w14:paraId="1A68B20C" w14:textId="77777777" w:rsidTr="00804633">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B7C72" w14:textId="77777777" w:rsidR="00804633" w:rsidRDefault="00804633">
            <w:pPr>
              <w:spacing w:line="252" w:lineRule="auto"/>
              <w:rPr>
                <w:rFonts w:ascii="Trebuchet MS" w:hAnsi="Trebuchet MS"/>
                <w:color w:val="auto"/>
                <w:sz w:val="24"/>
                <w:szCs w:val="24"/>
              </w:rPr>
            </w:pPr>
            <w:r>
              <w:rPr>
                <w:rFonts w:ascii="Trebuchet MS" w:hAnsi="Trebuchet MS"/>
                <w:sz w:val="24"/>
                <w:szCs w:val="24"/>
              </w:rPr>
              <w:t>Ericsson</w:t>
            </w:r>
          </w:p>
        </w:tc>
        <w:tc>
          <w:tcPr>
            <w:tcW w:w="1604" w:type="dxa"/>
            <w:tcBorders>
              <w:top w:val="nil"/>
              <w:left w:val="nil"/>
              <w:bottom w:val="single" w:sz="8" w:space="0" w:color="auto"/>
              <w:right w:val="single" w:sz="8" w:space="0" w:color="auto"/>
            </w:tcBorders>
            <w:tcMar>
              <w:top w:w="0" w:type="dxa"/>
              <w:left w:w="108" w:type="dxa"/>
              <w:bottom w:w="0" w:type="dxa"/>
              <w:right w:w="108" w:type="dxa"/>
            </w:tcMar>
            <w:hideMark/>
          </w:tcPr>
          <w:p w14:paraId="0781EF7E" w14:textId="77777777" w:rsidR="00804633" w:rsidRDefault="00804633">
            <w:pPr>
              <w:spacing w:line="252" w:lineRule="auto"/>
              <w:rPr>
                <w:rFonts w:ascii="Trebuchet MS" w:hAnsi="Trebuchet MS"/>
                <w:b/>
                <w:bCs/>
                <w:sz w:val="24"/>
                <w:szCs w:val="24"/>
                <w:lang w:eastAsia="ko-KR"/>
              </w:rPr>
            </w:pPr>
            <w:r>
              <w:rPr>
                <w:rFonts w:ascii="Trebuchet MS" w:hAnsi="Trebuchet MS"/>
                <w:b/>
                <w:bCs/>
                <w:sz w:val="24"/>
                <w:szCs w:val="24"/>
                <w:lang w:eastAsia="ko-KR"/>
              </w:rPr>
              <w:t>725-P1: Yes, for local-area IAB nodes.</w:t>
            </w:r>
          </w:p>
          <w:p w14:paraId="1ECD7297" w14:textId="77777777" w:rsidR="00804633" w:rsidRDefault="00804633">
            <w:pPr>
              <w:spacing w:line="252" w:lineRule="auto"/>
              <w:rPr>
                <w:rFonts w:ascii="Trebuchet MS" w:hAnsi="Trebuchet MS"/>
                <w:b/>
                <w:bCs/>
                <w:sz w:val="24"/>
                <w:szCs w:val="24"/>
                <w:lang w:eastAsia="ko-KR"/>
              </w:rPr>
            </w:pPr>
            <w:r>
              <w:rPr>
                <w:rFonts w:ascii="Trebuchet MS" w:hAnsi="Trebuchet MS"/>
                <w:b/>
                <w:bCs/>
                <w:sz w:val="24"/>
                <w:szCs w:val="24"/>
                <w:lang w:eastAsia="ko-KR"/>
              </w:rPr>
              <w:t>725-P3</w:t>
            </w:r>
          </w:p>
          <w:p w14:paraId="4AB1DF13" w14:textId="77777777" w:rsidR="00804633" w:rsidRDefault="00804633">
            <w:pPr>
              <w:spacing w:line="252" w:lineRule="auto"/>
              <w:rPr>
                <w:rFonts w:ascii="Trebuchet MS" w:hAnsi="Trebuchet MS"/>
                <w:b/>
                <w:bCs/>
                <w:sz w:val="24"/>
                <w:szCs w:val="24"/>
                <w:lang w:eastAsia="ko-KR"/>
              </w:rPr>
            </w:pPr>
            <w:r>
              <w:rPr>
                <w:rFonts w:ascii="Trebuchet MS" w:hAnsi="Trebuchet MS"/>
                <w:b/>
                <w:bCs/>
                <w:sz w:val="24"/>
                <w:szCs w:val="24"/>
                <w:lang w:eastAsia="ko-KR"/>
              </w:rPr>
              <w:t>725-P4: But only for local-area IAB nodes.</w:t>
            </w:r>
          </w:p>
          <w:p w14:paraId="24C7BC0A" w14:textId="77777777" w:rsidR="00804633" w:rsidRDefault="00804633">
            <w:pPr>
              <w:spacing w:line="252" w:lineRule="auto"/>
              <w:rPr>
                <w:rFonts w:ascii="Trebuchet MS" w:hAnsi="Trebuchet MS"/>
                <w:b/>
                <w:bCs/>
                <w:sz w:val="24"/>
                <w:szCs w:val="24"/>
                <w:lang w:eastAsia="ko-KR"/>
              </w:rPr>
            </w:pPr>
            <w:r>
              <w:rPr>
                <w:rFonts w:ascii="Trebuchet MS" w:hAnsi="Trebuchet MS"/>
                <w:b/>
                <w:bCs/>
                <w:sz w:val="24"/>
                <w:szCs w:val="24"/>
                <w:lang w:eastAsia="ko-KR"/>
              </w:rPr>
              <w:t>725-P6</w:t>
            </w:r>
          </w:p>
        </w:tc>
        <w:tc>
          <w:tcPr>
            <w:tcW w:w="10417" w:type="dxa"/>
            <w:tcBorders>
              <w:top w:val="nil"/>
              <w:left w:val="nil"/>
              <w:bottom w:val="single" w:sz="8" w:space="0" w:color="auto"/>
              <w:right w:val="single" w:sz="8" w:space="0" w:color="auto"/>
            </w:tcBorders>
            <w:tcMar>
              <w:top w:w="0" w:type="dxa"/>
              <w:left w:w="108" w:type="dxa"/>
              <w:bottom w:w="0" w:type="dxa"/>
              <w:right w:w="108" w:type="dxa"/>
            </w:tcMar>
            <w:hideMark/>
          </w:tcPr>
          <w:p w14:paraId="1D8580D6" w14:textId="77777777" w:rsidR="00804633" w:rsidRDefault="00804633">
            <w:pPr>
              <w:spacing w:line="252" w:lineRule="auto"/>
              <w:rPr>
                <w:rFonts w:ascii="Calibri" w:hAnsi="Calibri"/>
                <w:color w:val="1F497D"/>
                <w:sz w:val="22"/>
                <w:szCs w:val="22"/>
                <w:lang w:eastAsia="en-US"/>
              </w:rPr>
            </w:pPr>
            <w:r>
              <w:rPr>
                <w:color w:val="1F497D"/>
              </w:rPr>
              <w:t xml:space="preserve">725-P1: We think that initial deployments of wide-area IAB nodes will be simple with one parent node and therefore deployment adaptations will not be needed. In later deployments (which may be </w:t>
            </w:r>
            <w:proofErr w:type="gramStart"/>
            <w:r>
              <w:rPr>
                <w:color w:val="1F497D"/>
              </w:rPr>
              <w:t>more advanced and dense</w:t>
            </w:r>
            <w:proofErr w:type="gramEnd"/>
            <w:r>
              <w:rPr>
                <w:color w:val="1F497D"/>
              </w:rPr>
              <w:t xml:space="preserve">) this is an interesting feature to support. </w:t>
            </w:r>
            <w:proofErr w:type="gramStart"/>
            <w:r>
              <w:rPr>
                <w:color w:val="1F497D"/>
              </w:rPr>
              <w:t>Therefore</w:t>
            </w:r>
            <w:proofErr w:type="gramEnd"/>
            <w:r>
              <w:rPr>
                <w:color w:val="1F497D"/>
              </w:rPr>
              <w:t xml:space="preserve"> we think it is good to have this feature optional from the start. This gives freedom to the operator to request this feature from the vendor. For local-area IAB nodes deployed in a non-planned manner or not under operator control, we see this feature as necessary for system performance.</w:t>
            </w:r>
          </w:p>
          <w:p w14:paraId="25AC43DF" w14:textId="77777777" w:rsidR="00804633" w:rsidRDefault="00804633">
            <w:pPr>
              <w:spacing w:line="252" w:lineRule="auto"/>
              <w:rPr>
                <w:color w:val="1F497D"/>
              </w:rPr>
            </w:pPr>
            <w:r>
              <w:rPr>
                <w:color w:val="1F497D"/>
              </w:rPr>
              <w:t xml:space="preserve">725-P3: We understand this is about removing the brackets and we are fine with that. </w:t>
            </w:r>
          </w:p>
          <w:p w14:paraId="5CB48958" w14:textId="77777777" w:rsidR="00804633" w:rsidRDefault="00804633">
            <w:pPr>
              <w:spacing w:line="252" w:lineRule="auto"/>
              <w:rPr>
                <w:color w:val="1F497D"/>
              </w:rPr>
            </w:pPr>
            <w:r>
              <w:rPr>
                <w:color w:val="1F497D"/>
              </w:rPr>
              <w:t xml:space="preserve">725-P4: We think this proposal is related to mobility which was ruled out in the work item description. We can accept to support it for local-area IAB nodes though as they are more </w:t>
            </w:r>
            <w:proofErr w:type="gramStart"/>
            <w:r>
              <w:rPr>
                <w:color w:val="1F497D"/>
              </w:rPr>
              <w:t>similar to</w:t>
            </w:r>
            <w:proofErr w:type="gramEnd"/>
            <w:r>
              <w:rPr>
                <w:color w:val="1F497D"/>
              </w:rPr>
              <w:t xml:space="preserve"> UEs.</w:t>
            </w:r>
          </w:p>
          <w:p w14:paraId="1505CBD0" w14:textId="77777777" w:rsidR="00804633" w:rsidRDefault="00804633">
            <w:pPr>
              <w:spacing w:line="252" w:lineRule="auto"/>
              <w:rPr>
                <w:color w:val="1F497D"/>
              </w:rPr>
            </w:pPr>
            <w:r>
              <w:rPr>
                <w:color w:val="1F497D"/>
              </w:rPr>
              <w:t>725-P6: We are fine to support this proposal.</w:t>
            </w:r>
          </w:p>
        </w:tc>
      </w:tr>
    </w:tbl>
    <w:p w14:paraId="5DB73EDC" w14:textId="02A664EE" w:rsidR="00331267" w:rsidRPr="00B31536" w:rsidRDefault="00331267" w:rsidP="00B31536">
      <w:pPr>
        <w:rPr>
          <w:lang w:eastAsia="ko-KR"/>
        </w:rPr>
      </w:pPr>
    </w:p>
    <w:p w14:paraId="3A4FB463" w14:textId="77777777" w:rsidR="00CB16FB" w:rsidRPr="00DD3C8B" w:rsidRDefault="00CB16FB" w:rsidP="00FE7145">
      <w:pPr>
        <w:pStyle w:val="Heading1"/>
        <w:rPr>
          <w:rFonts w:cs="Arial"/>
        </w:rPr>
      </w:pPr>
      <w:r>
        <w:t>Conclusions</w:t>
      </w:r>
    </w:p>
    <w:p w14:paraId="1EC809FE" w14:textId="056CF3D9" w:rsidR="00CB16FB" w:rsidRDefault="00E23895" w:rsidP="00CB16FB">
      <w:pPr>
        <w:rPr>
          <w:lang w:val="en-US"/>
        </w:rPr>
      </w:pPr>
      <w:r>
        <w:rPr>
          <w:szCs w:val="22"/>
        </w:rPr>
        <w:t>T</w:t>
      </w:r>
      <w:r w:rsidR="00EC117C">
        <w:rPr>
          <w:szCs w:val="22"/>
        </w:rPr>
        <w:t xml:space="preserve">o be updated after </w:t>
      </w:r>
      <w:r w:rsidR="00C15680">
        <w:rPr>
          <w:szCs w:val="22"/>
        </w:rPr>
        <w:t xml:space="preserve">completing </w:t>
      </w:r>
      <w:r w:rsidR="00EC117C">
        <w:rPr>
          <w:szCs w:val="22"/>
        </w:rPr>
        <w:t>the email discussion</w:t>
      </w:r>
    </w:p>
    <w:p w14:paraId="75E46AA0" w14:textId="64B8128C" w:rsidR="004C398C" w:rsidRPr="00513083" w:rsidRDefault="00BD3480" w:rsidP="004C398C">
      <w:pPr>
        <w:spacing w:after="0"/>
        <w:rPr>
          <w:rFonts w:eastAsia="MS Mincho"/>
          <w:b/>
          <w:lang w:val="en-US"/>
        </w:rPr>
      </w:pPr>
      <w:r w:rsidRPr="00147541">
        <w:rPr>
          <w:rFonts w:eastAsia="MS Mincho"/>
          <w:b/>
          <w:lang w:val="en-US"/>
        </w:rPr>
        <w:t xml:space="preserve"> </w:t>
      </w:r>
      <w:r w:rsidR="004C398C" w:rsidRPr="004C398C">
        <w:rPr>
          <w:b/>
          <w:lang w:val="en-US"/>
        </w:rPr>
        <w:t xml:space="preserve"> </w:t>
      </w:r>
    </w:p>
    <w:p w14:paraId="1BBEF975" w14:textId="77777777" w:rsidR="004C398C" w:rsidRPr="004C398C" w:rsidRDefault="004C398C" w:rsidP="004C398C">
      <w:pPr>
        <w:spacing w:after="0"/>
        <w:rPr>
          <w:b/>
          <w:lang w:val="en-US"/>
        </w:rPr>
      </w:pPr>
    </w:p>
    <w:p w14:paraId="42AE3659" w14:textId="447AAF17" w:rsidR="00E23895" w:rsidRPr="00F170B4" w:rsidRDefault="00E23895" w:rsidP="00B31536">
      <w:pPr>
        <w:textAlignment w:val="auto"/>
        <w:rPr>
          <w:szCs w:val="22"/>
        </w:rPr>
      </w:pPr>
    </w:p>
    <w:sectPr w:rsidR="00E23895" w:rsidRPr="00F170B4" w:rsidSect="0073424F">
      <w:headerReference w:type="even" r:id="rId13"/>
      <w:headerReference w:type="default" r:id="rId14"/>
      <w:footerReference w:type="even" r:id="rId15"/>
      <w:footerReference w:type="default" r:id="rId16"/>
      <w:headerReference w:type="first" r:id="rId17"/>
      <w:footerReference w:type="first" r:id="rId18"/>
      <w:pgSz w:w="11906" w:h="16838" w:code="9"/>
      <w:pgMar w:top="1080" w:right="1134" w:bottom="990" w:left="135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F99DD" w14:textId="77777777" w:rsidR="00ED0FB7" w:rsidRDefault="00ED0FB7">
      <w:r>
        <w:separator/>
      </w:r>
    </w:p>
    <w:p w14:paraId="46DE8029" w14:textId="77777777" w:rsidR="00ED0FB7" w:rsidRDefault="00ED0FB7"/>
  </w:endnote>
  <w:endnote w:type="continuationSeparator" w:id="0">
    <w:p w14:paraId="2E0C6BEA" w14:textId="77777777" w:rsidR="00ED0FB7" w:rsidRDefault="00ED0FB7">
      <w:r>
        <w:continuationSeparator/>
      </w:r>
    </w:p>
    <w:p w14:paraId="2D94CA26" w14:textId="77777777" w:rsidR="00ED0FB7" w:rsidRDefault="00ED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7718" w14:textId="77777777" w:rsidR="00D50A9F" w:rsidRDefault="00D50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BE93" w14:textId="30678704" w:rsidR="00001DAE" w:rsidRDefault="00001D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3CF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3CF2">
      <w:rPr>
        <w:b/>
        <w:bCs/>
        <w:noProof/>
      </w:rPr>
      <w:t>8</w:t>
    </w:r>
    <w:r>
      <w:rPr>
        <w:b/>
        <w:bCs/>
        <w:sz w:val="24"/>
        <w:szCs w:val="24"/>
      </w:rPr>
      <w:fldChar w:fldCharType="end"/>
    </w:r>
  </w:p>
  <w:p w14:paraId="3508E00D" w14:textId="5BFB690C" w:rsidR="00001DAE" w:rsidRDefault="00DC1AB9">
    <w:pPr>
      <w:pStyle w:val="Footer"/>
    </w:pPr>
    <w:r>
      <w:rPr>
        <w:noProof/>
        <w:lang w:val="en-US" w:eastAsia="zh-CN"/>
      </w:rPr>
      <mc:AlternateContent>
        <mc:Choice Requires="wps">
          <w:drawing>
            <wp:anchor distT="0" distB="0" distL="114300" distR="114300" simplePos="0" relativeHeight="251659264" behindDoc="0" locked="0" layoutInCell="0" allowOverlap="1" wp14:anchorId="56F9DEE7" wp14:editId="4DC2BF73">
              <wp:simplePos x="0" y="0"/>
              <wp:positionH relativeFrom="page">
                <wp:posOffset>0</wp:posOffset>
              </wp:positionH>
              <wp:positionV relativeFrom="page">
                <wp:posOffset>10234930</wp:posOffset>
              </wp:positionV>
              <wp:extent cx="7560310" cy="266700"/>
              <wp:effectExtent l="0" t="0" r="0" b="0"/>
              <wp:wrapNone/>
              <wp:docPr id="1" name="MSIPCM10d949d69e71da75198a8676"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0ECB5" w14:textId="231266BA" w:rsidR="00DC1AB9" w:rsidRPr="00DC1AB9" w:rsidRDefault="00DC1AB9" w:rsidP="00DC1AB9">
                          <w:pPr>
                            <w:spacing w:after="0"/>
                            <w:rPr>
                              <w:rFonts w:ascii="Calibri" w:hAnsi="Calibri" w:cs="Calibri"/>
                              <w:sz w:val="14"/>
                            </w:rPr>
                          </w:pPr>
                          <w:r w:rsidRPr="00DC1AB9">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F9DEE7" id="_x0000_t202" coordsize="21600,21600" o:spt="202" path="m,l,21600r21600,l21600,xe">
              <v:stroke joinstyle="miter"/>
              <v:path gradientshapeok="t" o:connecttype="rect"/>
            </v:shapetype>
            <v:shape id="MSIPCM10d949d69e71da75198a8676"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ebHgMAADgGAAAOAAAAZHJzL2Uyb0RvYy54bWysVEtv2zAMvg/YfxB02Gmp7dRx4qxJkabI&#10;ViBtA6RDz4okx8JsyZWUxlnR/z5KttPHdhiGXWyKpPj4+Iln53VZoEeujVBygqOTECMuqWJCbif4&#10;+92iN8LIWCIZKZTkE3zgBp9PP34421dj3le5KhjXCIJIM95XE5xbW42DwNCcl8ScqIpLMGZKl8TC&#10;UW8DpskeopdF0A/DJNgrzSqtKDcGtJeNEU99/Czj1N5mmeEWFRMMtVn/1f67cd9gekbGW02qXNC2&#10;DPIPVZRESEh6DHVJLEE7LX4LVQqqlVGZPaGqDFSWCcp9D9BNFL7rZp2TivteABxTHWEy/y8svXlc&#10;aSQYzA4jSUoY0fX6ajW/jkKWxilLUj6MGBkOonRERskwwYhxQwHBp08PO2W/fCMmnyvGm9O4FyVp&#10;OhjG/dPoc+vAxTa3rXkUA0Vaw71gNm/1g3Rw1K8KQnnJZXencVkoZblu5DbAlWS8bgM0v5UWJdGH&#10;N15r4ACQs/XrqrpTVasJj4mXPOtygvLZcWNfmTFAtK4AJFtfqNrh1OoNKN3I60yX7g/DRGAHlh2O&#10;zOK1RRSUw0ESnkZgomDrJ8kw9NQLXm5X2tivXJXICROsoWpPKPK4NBYygmvn4pJJtRBF4dlbSLSf&#10;4OR0EPoLRwvcKKTzhSIgRis1rHxKo34cXvTT3iIZDXvxIh700mE46oVRepEmYZzGl4tnFy+Kx7lg&#10;jMulkLx7IVH8dwxs32rDbf9G3pRqVCGY68PV5rqbFxo9EniqG+DADwc0NPHKK3hbjjdDd93fdxm4&#10;mTWzcZKtN3U7sI1iB5ijVoAvjMJUdCEg6ZIYuyIanj0oYZXZW/hkhQJQVSthlCv980965w9YgBWj&#10;PayRCTYPO6I5RsWVhHfaH8QhzBpZfwJBeyGN4hgOm04rd+VcQd/wCKEsLzpfW3RiplV5D6tu5tKB&#10;iUgKSQGoTpxbOIEBViXls5mXYcVUxC7luqIudIfyXX1PdNUSzQJ+N6rbNGT8jm+Nr7sp1WxnVSY8&#10;GR2yDZyAvTvAevJTaFep23+vz97rZeFPfw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CBGpebHgMAADgGAAAOAAAAAAAA&#10;AAAAAAAAAC4CAABkcnMvZTJvRG9jLnhtbFBLAQItABQABgAIAAAAIQBgEcYm3gAAAAsBAAAPAAAA&#10;AAAAAAAAAAAAAHgFAABkcnMvZG93bnJldi54bWxQSwUGAAAAAAQABADzAAAAgwYAAAAA&#10;" o:allowincell="f" filled="f" stroked="f" strokeweight=".5pt">
              <v:textbox inset="20pt,0,,0">
                <w:txbxContent>
                  <w:p w14:paraId="2A60ECB5" w14:textId="231266BA" w:rsidR="00DC1AB9" w:rsidRPr="00DC1AB9" w:rsidRDefault="00DC1AB9" w:rsidP="00DC1AB9">
                    <w:pPr>
                      <w:spacing w:after="0"/>
                      <w:rPr>
                        <w:rFonts w:ascii="Calibri" w:hAnsi="Calibri" w:cs="Calibri"/>
                        <w:sz w:val="14"/>
                      </w:rPr>
                    </w:pPr>
                    <w:r w:rsidRPr="00DC1AB9">
                      <w:rPr>
                        <w:rFonts w:ascii="Calibri" w:hAnsi="Calibri" w:cs="Calibri"/>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0713" w14:textId="77777777" w:rsidR="00D50A9F" w:rsidRDefault="00D5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AEBA8" w14:textId="77777777" w:rsidR="00ED0FB7" w:rsidRDefault="00ED0FB7">
      <w:r>
        <w:separator/>
      </w:r>
    </w:p>
    <w:p w14:paraId="37DF2C5D" w14:textId="77777777" w:rsidR="00ED0FB7" w:rsidRDefault="00ED0FB7"/>
  </w:footnote>
  <w:footnote w:type="continuationSeparator" w:id="0">
    <w:p w14:paraId="62B7B4EA" w14:textId="77777777" w:rsidR="00ED0FB7" w:rsidRDefault="00ED0FB7">
      <w:r>
        <w:continuationSeparator/>
      </w:r>
    </w:p>
    <w:p w14:paraId="3CA46D45" w14:textId="77777777" w:rsidR="00ED0FB7" w:rsidRDefault="00ED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14FC" w14:textId="77777777" w:rsidR="00001DAE" w:rsidRDefault="00001DAE"/>
  <w:p w14:paraId="305600EF" w14:textId="77777777" w:rsidR="00001DAE" w:rsidRDefault="00001D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60EA" w14:textId="77777777" w:rsidR="00D50A9F" w:rsidRDefault="00D50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17C6" w14:textId="77777777" w:rsidR="00D50A9F" w:rsidRDefault="00D50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25C"/>
    <w:multiLevelType w:val="hybridMultilevel"/>
    <w:tmpl w:val="42062A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C50A2E"/>
    <w:multiLevelType w:val="hybridMultilevel"/>
    <w:tmpl w:val="518A92EE"/>
    <w:lvl w:ilvl="0" w:tplc="203844E4">
      <w:start w:val="1"/>
      <w:numFmt w:val="bullet"/>
      <w:lvlText w:val=""/>
      <w:lvlJc w:val="left"/>
      <w:pPr>
        <w:tabs>
          <w:tab w:val="num" w:pos="720"/>
        </w:tabs>
        <w:ind w:left="720" w:hanging="360"/>
      </w:pPr>
      <w:rPr>
        <w:rFonts w:ascii="Symbol" w:hAnsi="Symbol" w:hint="default"/>
      </w:rPr>
    </w:lvl>
    <w:lvl w:ilvl="1" w:tplc="6108D594" w:tentative="1">
      <w:start w:val="1"/>
      <w:numFmt w:val="bullet"/>
      <w:lvlText w:val=""/>
      <w:lvlJc w:val="left"/>
      <w:pPr>
        <w:tabs>
          <w:tab w:val="num" w:pos="1440"/>
        </w:tabs>
        <w:ind w:left="1440" w:hanging="360"/>
      </w:pPr>
      <w:rPr>
        <w:rFonts w:ascii="Symbol" w:hAnsi="Symbol" w:hint="default"/>
      </w:rPr>
    </w:lvl>
    <w:lvl w:ilvl="2" w:tplc="1AF8E2B8" w:tentative="1">
      <w:start w:val="1"/>
      <w:numFmt w:val="bullet"/>
      <w:lvlText w:val=""/>
      <w:lvlJc w:val="left"/>
      <w:pPr>
        <w:tabs>
          <w:tab w:val="num" w:pos="2160"/>
        </w:tabs>
        <w:ind w:left="2160" w:hanging="360"/>
      </w:pPr>
      <w:rPr>
        <w:rFonts w:ascii="Symbol" w:hAnsi="Symbol" w:hint="default"/>
      </w:rPr>
    </w:lvl>
    <w:lvl w:ilvl="3" w:tplc="4672EAF2" w:tentative="1">
      <w:start w:val="1"/>
      <w:numFmt w:val="bullet"/>
      <w:lvlText w:val=""/>
      <w:lvlJc w:val="left"/>
      <w:pPr>
        <w:tabs>
          <w:tab w:val="num" w:pos="2880"/>
        </w:tabs>
        <w:ind w:left="2880" w:hanging="360"/>
      </w:pPr>
      <w:rPr>
        <w:rFonts w:ascii="Symbol" w:hAnsi="Symbol" w:hint="default"/>
      </w:rPr>
    </w:lvl>
    <w:lvl w:ilvl="4" w:tplc="F6B87224" w:tentative="1">
      <w:start w:val="1"/>
      <w:numFmt w:val="bullet"/>
      <w:lvlText w:val=""/>
      <w:lvlJc w:val="left"/>
      <w:pPr>
        <w:tabs>
          <w:tab w:val="num" w:pos="3600"/>
        </w:tabs>
        <w:ind w:left="3600" w:hanging="360"/>
      </w:pPr>
      <w:rPr>
        <w:rFonts w:ascii="Symbol" w:hAnsi="Symbol" w:hint="default"/>
      </w:rPr>
    </w:lvl>
    <w:lvl w:ilvl="5" w:tplc="307A3616" w:tentative="1">
      <w:start w:val="1"/>
      <w:numFmt w:val="bullet"/>
      <w:lvlText w:val=""/>
      <w:lvlJc w:val="left"/>
      <w:pPr>
        <w:tabs>
          <w:tab w:val="num" w:pos="4320"/>
        </w:tabs>
        <w:ind w:left="4320" w:hanging="360"/>
      </w:pPr>
      <w:rPr>
        <w:rFonts w:ascii="Symbol" w:hAnsi="Symbol" w:hint="default"/>
      </w:rPr>
    </w:lvl>
    <w:lvl w:ilvl="6" w:tplc="6F76A32A" w:tentative="1">
      <w:start w:val="1"/>
      <w:numFmt w:val="bullet"/>
      <w:lvlText w:val=""/>
      <w:lvlJc w:val="left"/>
      <w:pPr>
        <w:tabs>
          <w:tab w:val="num" w:pos="5040"/>
        </w:tabs>
        <w:ind w:left="5040" w:hanging="360"/>
      </w:pPr>
      <w:rPr>
        <w:rFonts w:ascii="Symbol" w:hAnsi="Symbol" w:hint="default"/>
      </w:rPr>
    </w:lvl>
    <w:lvl w:ilvl="7" w:tplc="0A10527C" w:tentative="1">
      <w:start w:val="1"/>
      <w:numFmt w:val="bullet"/>
      <w:lvlText w:val=""/>
      <w:lvlJc w:val="left"/>
      <w:pPr>
        <w:tabs>
          <w:tab w:val="num" w:pos="5760"/>
        </w:tabs>
        <w:ind w:left="5760" w:hanging="360"/>
      </w:pPr>
      <w:rPr>
        <w:rFonts w:ascii="Symbol" w:hAnsi="Symbol" w:hint="default"/>
      </w:rPr>
    </w:lvl>
    <w:lvl w:ilvl="8" w:tplc="CA2809A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393419"/>
    <w:multiLevelType w:val="hybridMultilevel"/>
    <w:tmpl w:val="EE0A8970"/>
    <w:lvl w:ilvl="0" w:tplc="1EBEE1E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0C3351"/>
    <w:multiLevelType w:val="hybridMultilevel"/>
    <w:tmpl w:val="DF8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760DF"/>
    <w:multiLevelType w:val="hybridMultilevel"/>
    <w:tmpl w:val="93328E70"/>
    <w:lvl w:ilvl="0" w:tplc="B4A0042E">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4C30DC"/>
    <w:multiLevelType w:val="hybridMultilevel"/>
    <w:tmpl w:val="6BBC67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DC0A0C"/>
    <w:multiLevelType w:val="hybridMultilevel"/>
    <w:tmpl w:val="3546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FD73C5"/>
    <w:multiLevelType w:val="hybridMultilevel"/>
    <w:tmpl w:val="14EE352C"/>
    <w:lvl w:ilvl="0" w:tplc="420E918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E3E97"/>
    <w:multiLevelType w:val="hybridMultilevel"/>
    <w:tmpl w:val="50D08D5A"/>
    <w:lvl w:ilvl="0" w:tplc="1AE2A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810387B"/>
    <w:multiLevelType w:val="hybridMultilevel"/>
    <w:tmpl w:val="30DCE29C"/>
    <w:lvl w:ilvl="0" w:tplc="1EBEE1EC">
      <w:start w:val="1"/>
      <w:numFmt w:val="bullet"/>
      <w:lvlText w:val=""/>
      <w:lvlJc w:val="left"/>
      <w:pPr>
        <w:tabs>
          <w:tab w:val="num" w:pos="720"/>
        </w:tabs>
        <w:ind w:left="720" w:hanging="360"/>
      </w:pPr>
      <w:rPr>
        <w:rFonts w:ascii="Symbol" w:hAnsi="Symbol" w:hint="default"/>
      </w:rPr>
    </w:lvl>
    <w:lvl w:ilvl="1" w:tplc="B2AE36A8" w:tentative="1">
      <w:start w:val="1"/>
      <w:numFmt w:val="bullet"/>
      <w:lvlText w:val=""/>
      <w:lvlJc w:val="left"/>
      <w:pPr>
        <w:tabs>
          <w:tab w:val="num" w:pos="1440"/>
        </w:tabs>
        <w:ind w:left="1440" w:hanging="360"/>
      </w:pPr>
      <w:rPr>
        <w:rFonts w:ascii="Symbol" w:hAnsi="Symbol" w:hint="default"/>
      </w:rPr>
    </w:lvl>
    <w:lvl w:ilvl="2" w:tplc="1C9CE29C" w:tentative="1">
      <w:start w:val="1"/>
      <w:numFmt w:val="bullet"/>
      <w:lvlText w:val=""/>
      <w:lvlJc w:val="left"/>
      <w:pPr>
        <w:tabs>
          <w:tab w:val="num" w:pos="2160"/>
        </w:tabs>
        <w:ind w:left="2160" w:hanging="360"/>
      </w:pPr>
      <w:rPr>
        <w:rFonts w:ascii="Symbol" w:hAnsi="Symbol" w:hint="default"/>
      </w:rPr>
    </w:lvl>
    <w:lvl w:ilvl="3" w:tplc="32E4B1A8" w:tentative="1">
      <w:start w:val="1"/>
      <w:numFmt w:val="bullet"/>
      <w:lvlText w:val=""/>
      <w:lvlJc w:val="left"/>
      <w:pPr>
        <w:tabs>
          <w:tab w:val="num" w:pos="2880"/>
        </w:tabs>
        <w:ind w:left="2880" w:hanging="360"/>
      </w:pPr>
      <w:rPr>
        <w:rFonts w:ascii="Symbol" w:hAnsi="Symbol" w:hint="default"/>
      </w:rPr>
    </w:lvl>
    <w:lvl w:ilvl="4" w:tplc="097A0430" w:tentative="1">
      <w:start w:val="1"/>
      <w:numFmt w:val="bullet"/>
      <w:lvlText w:val=""/>
      <w:lvlJc w:val="left"/>
      <w:pPr>
        <w:tabs>
          <w:tab w:val="num" w:pos="3600"/>
        </w:tabs>
        <w:ind w:left="3600" w:hanging="360"/>
      </w:pPr>
      <w:rPr>
        <w:rFonts w:ascii="Symbol" w:hAnsi="Symbol" w:hint="default"/>
      </w:rPr>
    </w:lvl>
    <w:lvl w:ilvl="5" w:tplc="F26E0360" w:tentative="1">
      <w:start w:val="1"/>
      <w:numFmt w:val="bullet"/>
      <w:lvlText w:val=""/>
      <w:lvlJc w:val="left"/>
      <w:pPr>
        <w:tabs>
          <w:tab w:val="num" w:pos="4320"/>
        </w:tabs>
        <w:ind w:left="4320" w:hanging="360"/>
      </w:pPr>
      <w:rPr>
        <w:rFonts w:ascii="Symbol" w:hAnsi="Symbol" w:hint="default"/>
      </w:rPr>
    </w:lvl>
    <w:lvl w:ilvl="6" w:tplc="D622952C" w:tentative="1">
      <w:start w:val="1"/>
      <w:numFmt w:val="bullet"/>
      <w:lvlText w:val=""/>
      <w:lvlJc w:val="left"/>
      <w:pPr>
        <w:tabs>
          <w:tab w:val="num" w:pos="5040"/>
        </w:tabs>
        <w:ind w:left="5040" w:hanging="360"/>
      </w:pPr>
      <w:rPr>
        <w:rFonts w:ascii="Symbol" w:hAnsi="Symbol" w:hint="default"/>
      </w:rPr>
    </w:lvl>
    <w:lvl w:ilvl="7" w:tplc="642AFDB8" w:tentative="1">
      <w:start w:val="1"/>
      <w:numFmt w:val="bullet"/>
      <w:lvlText w:val=""/>
      <w:lvlJc w:val="left"/>
      <w:pPr>
        <w:tabs>
          <w:tab w:val="num" w:pos="5760"/>
        </w:tabs>
        <w:ind w:left="5760" w:hanging="360"/>
      </w:pPr>
      <w:rPr>
        <w:rFonts w:ascii="Symbol" w:hAnsi="Symbol" w:hint="default"/>
      </w:rPr>
    </w:lvl>
    <w:lvl w:ilvl="8" w:tplc="46B4BC2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31315B2C"/>
    <w:multiLevelType w:val="hybridMultilevel"/>
    <w:tmpl w:val="DF08BEE2"/>
    <w:lvl w:ilvl="0" w:tplc="420E9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055D2"/>
    <w:multiLevelType w:val="hybridMultilevel"/>
    <w:tmpl w:val="E3BAD2E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5" w15:restartNumberingAfterBreak="0">
    <w:nsid w:val="377E1B64"/>
    <w:multiLevelType w:val="multilevel"/>
    <w:tmpl w:val="943A1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5755EC"/>
    <w:multiLevelType w:val="hybridMultilevel"/>
    <w:tmpl w:val="F43A1FC4"/>
    <w:lvl w:ilvl="0" w:tplc="2976F87E">
      <w:start w:val="1"/>
      <w:numFmt w:val="bullet"/>
      <w:lvlText w:val=""/>
      <w:lvlJc w:val="left"/>
      <w:pPr>
        <w:tabs>
          <w:tab w:val="num" w:pos="720"/>
        </w:tabs>
        <w:ind w:left="720" w:hanging="360"/>
      </w:pPr>
      <w:rPr>
        <w:rFonts w:ascii="Symbol" w:hAnsi="Symbol" w:hint="default"/>
      </w:rPr>
    </w:lvl>
    <w:lvl w:ilvl="1" w:tplc="B0842ACE">
      <w:start w:val="216"/>
      <w:numFmt w:val="bullet"/>
      <w:lvlText w:val="•"/>
      <w:lvlJc w:val="left"/>
      <w:pPr>
        <w:tabs>
          <w:tab w:val="num" w:pos="1440"/>
        </w:tabs>
        <w:ind w:left="1440" w:hanging="360"/>
      </w:pPr>
      <w:rPr>
        <w:rFonts w:ascii="Arial" w:hAnsi="Arial" w:hint="default"/>
      </w:rPr>
    </w:lvl>
    <w:lvl w:ilvl="2" w:tplc="7DE09BAA">
      <w:start w:val="216"/>
      <w:numFmt w:val="bullet"/>
      <w:lvlText w:val="•"/>
      <w:lvlJc w:val="left"/>
      <w:pPr>
        <w:tabs>
          <w:tab w:val="num" w:pos="2160"/>
        </w:tabs>
        <w:ind w:left="2160" w:hanging="360"/>
      </w:pPr>
      <w:rPr>
        <w:rFonts w:ascii="Arial" w:hAnsi="Arial" w:hint="default"/>
      </w:rPr>
    </w:lvl>
    <w:lvl w:ilvl="3" w:tplc="6F50E07C" w:tentative="1">
      <w:start w:val="1"/>
      <w:numFmt w:val="bullet"/>
      <w:lvlText w:val=""/>
      <w:lvlJc w:val="left"/>
      <w:pPr>
        <w:tabs>
          <w:tab w:val="num" w:pos="2880"/>
        </w:tabs>
        <w:ind w:left="2880" w:hanging="360"/>
      </w:pPr>
      <w:rPr>
        <w:rFonts w:ascii="Symbol" w:hAnsi="Symbol" w:hint="default"/>
      </w:rPr>
    </w:lvl>
    <w:lvl w:ilvl="4" w:tplc="7648399C" w:tentative="1">
      <w:start w:val="1"/>
      <w:numFmt w:val="bullet"/>
      <w:lvlText w:val=""/>
      <w:lvlJc w:val="left"/>
      <w:pPr>
        <w:tabs>
          <w:tab w:val="num" w:pos="3600"/>
        </w:tabs>
        <w:ind w:left="3600" w:hanging="360"/>
      </w:pPr>
      <w:rPr>
        <w:rFonts w:ascii="Symbol" w:hAnsi="Symbol" w:hint="default"/>
      </w:rPr>
    </w:lvl>
    <w:lvl w:ilvl="5" w:tplc="881ADF06" w:tentative="1">
      <w:start w:val="1"/>
      <w:numFmt w:val="bullet"/>
      <w:lvlText w:val=""/>
      <w:lvlJc w:val="left"/>
      <w:pPr>
        <w:tabs>
          <w:tab w:val="num" w:pos="4320"/>
        </w:tabs>
        <w:ind w:left="4320" w:hanging="360"/>
      </w:pPr>
      <w:rPr>
        <w:rFonts w:ascii="Symbol" w:hAnsi="Symbol" w:hint="default"/>
      </w:rPr>
    </w:lvl>
    <w:lvl w:ilvl="6" w:tplc="6F627C58" w:tentative="1">
      <w:start w:val="1"/>
      <w:numFmt w:val="bullet"/>
      <w:lvlText w:val=""/>
      <w:lvlJc w:val="left"/>
      <w:pPr>
        <w:tabs>
          <w:tab w:val="num" w:pos="5040"/>
        </w:tabs>
        <w:ind w:left="5040" w:hanging="360"/>
      </w:pPr>
      <w:rPr>
        <w:rFonts w:ascii="Symbol" w:hAnsi="Symbol" w:hint="default"/>
      </w:rPr>
    </w:lvl>
    <w:lvl w:ilvl="7" w:tplc="B2389156" w:tentative="1">
      <w:start w:val="1"/>
      <w:numFmt w:val="bullet"/>
      <w:lvlText w:val=""/>
      <w:lvlJc w:val="left"/>
      <w:pPr>
        <w:tabs>
          <w:tab w:val="num" w:pos="5760"/>
        </w:tabs>
        <w:ind w:left="5760" w:hanging="360"/>
      </w:pPr>
      <w:rPr>
        <w:rFonts w:ascii="Symbol" w:hAnsi="Symbol" w:hint="default"/>
      </w:rPr>
    </w:lvl>
    <w:lvl w:ilvl="8" w:tplc="085E3E5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9CF45C9"/>
    <w:multiLevelType w:val="hybridMultilevel"/>
    <w:tmpl w:val="B21E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201DC"/>
    <w:multiLevelType w:val="hybridMultilevel"/>
    <w:tmpl w:val="EC2E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B4B42"/>
    <w:multiLevelType w:val="hybridMultilevel"/>
    <w:tmpl w:val="EE70DB2E"/>
    <w:lvl w:ilvl="0" w:tplc="2766DB82">
      <w:start w:val="1"/>
      <w:numFmt w:val="bullet"/>
      <w:lvlText w:val=""/>
      <w:lvlJc w:val="left"/>
      <w:pPr>
        <w:tabs>
          <w:tab w:val="num" w:pos="720"/>
        </w:tabs>
        <w:ind w:left="720" w:hanging="360"/>
      </w:pPr>
      <w:rPr>
        <w:rFonts w:ascii="Symbol" w:hAnsi="Symbol" w:hint="default"/>
      </w:rPr>
    </w:lvl>
    <w:lvl w:ilvl="1" w:tplc="AA0E5416" w:tentative="1">
      <w:start w:val="1"/>
      <w:numFmt w:val="bullet"/>
      <w:lvlText w:val=""/>
      <w:lvlJc w:val="left"/>
      <w:pPr>
        <w:tabs>
          <w:tab w:val="num" w:pos="1440"/>
        </w:tabs>
        <w:ind w:left="1440" w:hanging="360"/>
      </w:pPr>
      <w:rPr>
        <w:rFonts w:ascii="Symbol" w:hAnsi="Symbol" w:hint="default"/>
      </w:rPr>
    </w:lvl>
    <w:lvl w:ilvl="2" w:tplc="333A8CD4" w:tentative="1">
      <w:start w:val="1"/>
      <w:numFmt w:val="bullet"/>
      <w:lvlText w:val=""/>
      <w:lvlJc w:val="left"/>
      <w:pPr>
        <w:tabs>
          <w:tab w:val="num" w:pos="2160"/>
        </w:tabs>
        <w:ind w:left="2160" w:hanging="360"/>
      </w:pPr>
      <w:rPr>
        <w:rFonts w:ascii="Symbol" w:hAnsi="Symbol" w:hint="default"/>
      </w:rPr>
    </w:lvl>
    <w:lvl w:ilvl="3" w:tplc="21C848BA" w:tentative="1">
      <w:start w:val="1"/>
      <w:numFmt w:val="bullet"/>
      <w:lvlText w:val=""/>
      <w:lvlJc w:val="left"/>
      <w:pPr>
        <w:tabs>
          <w:tab w:val="num" w:pos="2880"/>
        </w:tabs>
        <w:ind w:left="2880" w:hanging="360"/>
      </w:pPr>
      <w:rPr>
        <w:rFonts w:ascii="Symbol" w:hAnsi="Symbol" w:hint="default"/>
      </w:rPr>
    </w:lvl>
    <w:lvl w:ilvl="4" w:tplc="63F2AB68" w:tentative="1">
      <w:start w:val="1"/>
      <w:numFmt w:val="bullet"/>
      <w:lvlText w:val=""/>
      <w:lvlJc w:val="left"/>
      <w:pPr>
        <w:tabs>
          <w:tab w:val="num" w:pos="3600"/>
        </w:tabs>
        <w:ind w:left="3600" w:hanging="360"/>
      </w:pPr>
      <w:rPr>
        <w:rFonts w:ascii="Symbol" w:hAnsi="Symbol" w:hint="default"/>
      </w:rPr>
    </w:lvl>
    <w:lvl w:ilvl="5" w:tplc="4C8E6C48" w:tentative="1">
      <w:start w:val="1"/>
      <w:numFmt w:val="bullet"/>
      <w:lvlText w:val=""/>
      <w:lvlJc w:val="left"/>
      <w:pPr>
        <w:tabs>
          <w:tab w:val="num" w:pos="4320"/>
        </w:tabs>
        <w:ind w:left="4320" w:hanging="360"/>
      </w:pPr>
      <w:rPr>
        <w:rFonts w:ascii="Symbol" w:hAnsi="Symbol" w:hint="default"/>
      </w:rPr>
    </w:lvl>
    <w:lvl w:ilvl="6" w:tplc="74C04F60" w:tentative="1">
      <w:start w:val="1"/>
      <w:numFmt w:val="bullet"/>
      <w:lvlText w:val=""/>
      <w:lvlJc w:val="left"/>
      <w:pPr>
        <w:tabs>
          <w:tab w:val="num" w:pos="5040"/>
        </w:tabs>
        <w:ind w:left="5040" w:hanging="360"/>
      </w:pPr>
      <w:rPr>
        <w:rFonts w:ascii="Symbol" w:hAnsi="Symbol" w:hint="default"/>
      </w:rPr>
    </w:lvl>
    <w:lvl w:ilvl="7" w:tplc="986E3024" w:tentative="1">
      <w:start w:val="1"/>
      <w:numFmt w:val="bullet"/>
      <w:lvlText w:val=""/>
      <w:lvlJc w:val="left"/>
      <w:pPr>
        <w:tabs>
          <w:tab w:val="num" w:pos="5760"/>
        </w:tabs>
        <w:ind w:left="5760" w:hanging="360"/>
      </w:pPr>
      <w:rPr>
        <w:rFonts w:ascii="Symbol" w:hAnsi="Symbol" w:hint="default"/>
      </w:rPr>
    </w:lvl>
    <w:lvl w:ilvl="8" w:tplc="23D2A8F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47F5599"/>
    <w:multiLevelType w:val="hybridMultilevel"/>
    <w:tmpl w:val="0B22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3238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323E12"/>
    <w:multiLevelType w:val="hybridMultilevel"/>
    <w:tmpl w:val="F212279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25" w15:restartNumberingAfterBreak="0">
    <w:nsid w:val="735715D1"/>
    <w:multiLevelType w:val="hybridMultilevel"/>
    <w:tmpl w:val="8E52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D5A91"/>
    <w:multiLevelType w:val="hybridMultilevel"/>
    <w:tmpl w:val="672678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1"/>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1"/>
  </w:num>
  <w:num w:numId="9">
    <w:abstractNumId w:val="19"/>
  </w:num>
  <w:num w:numId="10">
    <w:abstractNumId w:val="14"/>
  </w:num>
  <w:num w:numId="11">
    <w:abstractNumId w:val="7"/>
  </w:num>
  <w:num w:numId="12">
    <w:abstractNumId w:val="24"/>
  </w:num>
  <w:num w:numId="13">
    <w:abstractNumId w:val="10"/>
  </w:num>
  <w:num w:numId="14">
    <w:abstractNumId w:val="4"/>
  </w:num>
  <w:num w:numId="15">
    <w:abstractNumId w:val="5"/>
  </w:num>
  <w:num w:numId="16">
    <w:abstractNumId w:val="9"/>
  </w:num>
  <w:num w:numId="17">
    <w:abstractNumId w:val="13"/>
  </w:num>
  <w:num w:numId="18">
    <w:abstractNumId w:val="6"/>
  </w:num>
  <w:num w:numId="19">
    <w:abstractNumId w:val="17"/>
  </w:num>
  <w:num w:numId="20">
    <w:abstractNumId w:val="28"/>
  </w:num>
  <w:num w:numId="21">
    <w:abstractNumId w:val="3"/>
  </w:num>
  <w:num w:numId="22">
    <w:abstractNumId w:val="18"/>
  </w:num>
  <w:num w:numId="23">
    <w:abstractNumId w:val="0"/>
  </w:num>
  <w:num w:numId="24">
    <w:abstractNumId w:val="23"/>
  </w:num>
  <w:num w:numId="25">
    <w:abstractNumId w:val="22"/>
    <w:lvlOverride w:ilvl="0"/>
    <w:lvlOverride w:ilvl="1"/>
    <w:lvlOverride w:ilvl="2"/>
    <w:lvlOverride w:ilvl="3"/>
    <w:lvlOverride w:ilvl="4"/>
    <w:lvlOverride w:ilvl="5"/>
    <w:lvlOverride w:ilvl="6"/>
    <w:lvlOverride w:ilvl="7"/>
    <w:lvlOverride w:ilv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lvlOverride w:ilvl="2"/>
    <w:lvlOverride w:ilvl="3"/>
    <w:lvlOverride w:ilvl="4"/>
    <w:lvlOverride w:ilvl="5"/>
    <w:lvlOverride w:ilvl="6"/>
    <w:lvlOverride w:ilvl="7"/>
    <w:lvlOverride w:ilvl="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2CE"/>
    <w:rsid w:val="00000BE1"/>
    <w:rsid w:val="00001DAE"/>
    <w:rsid w:val="00002692"/>
    <w:rsid w:val="00002852"/>
    <w:rsid w:val="000058E9"/>
    <w:rsid w:val="000079F3"/>
    <w:rsid w:val="00010C7A"/>
    <w:rsid w:val="00011393"/>
    <w:rsid w:val="000114ED"/>
    <w:rsid w:val="00012171"/>
    <w:rsid w:val="00012946"/>
    <w:rsid w:val="00013CB7"/>
    <w:rsid w:val="00015060"/>
    <w:rsid w:val="00020607"/>
    <w:rsid w:val="00020D7A"/>
    <w:rsid w:val="00024BA4"/>
    <w:rsid w:val="00025B5A"/>
    <w:rsid w:val="00025C47"/>
    <w:rsid w:val="00026135"/>
    <w:rsid w:val="00027CE5"/>
    <w:rsid w:val="00031410"/>
    <w:rsid w:val="00033A80"/>
    <w:rsid w:val="00034D81"/>
    <w:rsid w:val="000376F2"/>
    <w:rsid w:val="00037D74"/>
    <w:rsid w:val="00037DEE"/>
    <w:rsid w:val="00041AEA"/>
    <w:rsid w:val="00043549"/>
    <w:rsid w:val="00044681"/>
    <w:rsid w:val="00050E34"/>
    <w:rsid w:val="00051249"/>
    <w:rsid w:val="000522F3"/>
    <w:rsid w:val="00052CD4"/>
    <w:rsid w:val="00056C34"/>
    <w:rsid w:val="00056EB0"/>
    <w:rsid w:val="00056FF3"/>
    <w:rsid w:val="00057080"/>
    <w:rsid w:val="000572D1"/>
    <w:rsid w:val="00060704"/>
    <w:rsid w:val="0006204B"/>
    <w:rsid w:val="000633EB"/>
    <w:rsid w:val="000659FC"/>
    <w:rsid w:val="00067869"/>
    <w:rsid w:val="000678B9"/>
    <w:rsid w:val="00070C33"/>
    <w:rsid w:val="00070DB9"/>
    <w:rsid w:val="0007105A"/>
    <w:rsid w:val="00072A61"/>
    <w:rsid w:val="000736BD"/>
    <w:rsid w:val="00075B2E"/>
    <w:rsid w:val="0007617D"/>
    <w:rsid w:val="00076DE5"/>
    <w:rsid w:val="0007731A"/>
    <w:rsid w:val="000773CD"/>
    <w:rsid w:val="00080137"/>
    <w:rsid w:val="00080956"/>
    <w:rsid w:val="00080FA2"/>
    <w:rsid w:val="0008224A"/>
    <w:rsid w:val="00083138"/>
    <w:rsid w:val="000833AD"/>
    <w:rsid w:val="00084860"/>
    <w:rsid w:val="000849A4"/>
    <w:rsid w:val="00086AB3"/>
    <w:rsid w:val="00086BF3"/>
    <w:rsid w:val="00086F0F"/>
    <w:rsid w:val="00090B43"/>
    <w:rsid w:val="0009207F"/>
    <w:rsid w:val="00093273"/>
    <w:rsid w:val="00094B93"/>
    <w:rsid w:val="00095C8B"/>
    <w:rsid w:val="000971AC"/>
    <w:rsid w:val="000A236B"/>
    <w:rsid w:val="000A4674"/>
    <w:rsid w:val="000A6489"/>
    <w:rsid w:val="000A6DDC"/>
    <w:rsid w:val="000B0C75"/>
    <w:rsid w:val="000B0C76"/>
    <w:rsid w:val="000B13CF"/>
    <w:rsid w:val="000B2CB7"/>
    <w:rsid w:val="000B3765"/>
    <w:rsid w:val="000B3A99"/>
    <w:rsid w:val="000B4682"/>
    <w:rsid w:val="000B4BF3"/>
    <w:rsid w:val="000B6E2A"/>
    <w:rsid w:val="000B733F"/>
    <w:rsid w:val="000C0E07"/>
    <w:rsid w:val="000C1362"/>
    <w:rsid w:val="000C21B9"/>
    <w:rsid w:val="000C2587"/>
    <w:rsid w:val="000C3DF4"/>
    <w:rsid w:val="000C50B2"/>
    <w:rsid w:val="000C58F8"/>
    <w:rsid w:val="000C6060"/>
    <w:rsid w:val="000C6AB1"/>
    <w:rsid w:val="000D2514"/>
    <w:rsid w:val="000D2A2E"/>
    <w:rsid w:val="000D3314"/>
    <w:rsid w:val="000D38A5"/>
    <w:rsid w:val="000D4ED9"/>
    <w:rsid w:val="000D5CC3"/>
    <w:rsid w:val="000D7AC3"/>
    <w:rsid w:val="000E0669"/>
    <w:rsid w:val="000E3966"/>
    <w:rsid w:val="000F064E"/>
    <w:rsid w:val="000F081C"/>
    <w:rsid w:val="000F0D31"/>
    <w:rsid w:val="000F19AD"/>
    <w:rsid w:val="000F24A4"/>
    <w:rsid w:val="000F273C"/>
    <w:rsid w:val="000F3B92"/>
    <w:rsid w:val="000F4F6A"/>
    <w:rsid w:val="000F505F"/>
    <w:rsid w:val="000F56FB"/>
    <w:rsid w:val="000F6496"/>
    <w:rsid w:val="000F675E"/>
    <w:rsid w:val="00100D2A"/>
    <w:rsid w:val="0010185E"/>
    <w:rsid w:val="00103145"/>
    <w:rsid w:val="00103398"/>
    <w:rsid w:val="00103D43"/>
    <w:rsid w:val="00104448"/>
    <w:rsid w:val="00106D9E"/>
    <w:rsid w:val="00107011"/>
    <w:rsid w:val="001071C6"/>
    <w:rsid w:val="00107775"/>
    <w:rsid w:val="0011038D"/>
    <w:rsid w:val="001109B8"/>
    <w:rsid w:val="00110E97"/>
    <w:rsid w:val="00111D48"/>
    <w:rsid w:val="00112023"/>
    <w:rsid w:val="001135DB"/>
    <w:rsid w:val="0011445E"/>
    <w:rsid w:val="00115117"/>
    <w:rsid w:val="00115365"/>
    <w:rsid w:val="00117C6A"/>
    <w:rsid w:val="00121C3F"/>
    <w:rsid w:val="00121E85"/>
    <w:rsid w:val="00122FA5"/>
    <w:rsid w:val="00123034"/>
    <w:rsid w:val="00124ED7"/>
    <w:rsid w:val="00125408"/>
    <w:rsid w:val="001260AB"/>
    <w:rsid w:val="00126D97"/>
    <w:rsid w:val="001300CE"/>
    <w:rsid w:val="00130D0D"/>
    <w:rsid w:val="00131950"/>
    <w:rsid w:val="00132C80"/>
    <w:rsid w:val="00133370"/>
    <w:rsid w:val="00134C47"/>
    <w:rsid w:val="00135A76"/>
    <w:rsid w:val="001406C9"/>
    <w:rsid w:val="00140C8E"/>
    <w:rsid w:val="00140EF9"/>
    <w:rsid w:val="001414D1"/>
    <w:rsid w:val="00143C23"/>
    <w:rsid w:val="0014472B"/>
    <w:rsid w:val="00145302"/>
    <w:rsid w:val="00145561"/>
    <w:rsid w:val="001470E8"/>
    <w:rsid w:val="0014730F"/>
    <w:rsid w:val="00147541"/>
    <w:rsid w:val="00151C16"/>
    <w:rsid w:val="00152244"/>
    <w:rsid w:val="001529DD"/>
    <w:rsid w:val="00153B9F"/>
    <w:rsid w:val="00154353"/>
    <w:rsid w:val="00154873"/>
    <w:rsid w:val="00155A20"/>
    <w:rsid w:val="001570F6"/>
    <w:rsid w:val="0015724A"/>
    <w:rsid w:val="001609A9"/>
    <w:rsid w:val="00161364"/>
    <w:rsid w:val="00161B96"/>
    <w:rsid w:val="0016218D"/>
    <w:rsid w:val="00162B8A"/>
    <w:rsid w:val="00162FC7"/>
    <w:rsid w:val="0016392B"/>
    <w:rsid w:val="001712BE"/>
    <w:rsid w:val="001727AE"/>
    <w:rsid w:val="00172946"/>
    <w:rsid w:val="00173900"/>
    <w:rsid w:val="00177CE4"/>
    <w:rsid w:val="001808C2"/>
    <w:rsid w:val="00181147"/>
    <w:rsid w:val="00183D6D"/>
    <w:rsid w:val="001845EA"/>
    <w:rsid w:val="00184960"/>
    <w:rsid w:val="00186C20"/>
    <w:rsid w:val="00186C63"/>
    <w:rsid w:val="00187756"/>
    <w:rsid w:val="00187ECA"/>
    <w:rsid w:val="0019275B"/>
    <w:rsid w:val="00194D13"/>
    <w:rsid w:val="00195336"/>
    <w:rsid w:val="001955FD"/>
    <w:rsid w:val="00197278"/>
    <w:rsid w:val="001A0C20"/>
    <w:rsid w:val="001A0FA0"/>
    <w:rsid w:val="001A1A65"/>
    <w:rsid w:val="001A28B1"/>
    <w:rsid w:val="001A2C5F"/>
    <w:rsid w:val="001A7A76"/>
    <w:rsid w:val="001B0615"/>
    <w:rsid w:val="001B0BBE"/>
    <w:rsid w:val="001B1988"/>
    <w:rsid w:val="001B2EAA"/>
    <w:rsid w:val="001B3CDF"/>
    <w:rsid w:val="001B4360"/>
    <w:rsid w:val="001B456A"/>
    <w:rsid w:val="001B4784"/>
    <w:rsid w:val="001B49A5"/>
    <w:rsid w:val="001B4B0F"/>
    <w:rsid w:val="001B7E82"/>
    <w:rsid w:val="001C19DF"/>
    <w:rsid w:val="001C28D1"/>
    <w:rsid w:val="001C37C6"/>
    <w:rsid w:val="001C4590"/>
    <w:rsid w:val="001C4C1F"/>
    <w:rsid w:val="001C67B1"/>
    <w:rsid w:val="001D0660"/>
    <w:rsid w:val="001D0ED3"/>
    <w:rsid w:val="001D1E21"/>
    <w:rsid w:val="001D211A"/>
    <w:rsid w:val="001D32B9"/>
    <w:rsid w:val="001D4434"/>
    <w:rsid w:val="001D56D0"/>
    <w:rsid w:val="001E08A2"/>
    <w:rsid w:val="001E39BF"/>
    <w:rsid w:val="001E432F"/>
    <w:rsid w:val="001E62E9"/>
    <w:rsid w:val="001E7810"/>
    <w:rsid w:val="001F0B93"/>
    <w:rsid w:val="001F0E7C"/>
    <w:rsid w:val="001F26B4"/>
    <w:rsid w:val="00200579"/>
    <w:rsid w:val="00204039"/>
    <w:rsid w:val="002059C0"/>
    <w:rsid w:val="00205D6B"/>
    <w:rsid w:val="00206FA4"/>
    <w:rsid w:val="00207E3C"/>
    <w:rsid w:val="00210670"/>
    <w:rsid w:val="00211B0C"/>
    <w:rsid w:val="002139F8"/>
    <w:rsid w:val="00213E7D"/>
    <w:rsid w:val="00214458"/>
    <w:rsid w:val="00216368"/>
    <w:rsid w:val="00216AEA"/>
    <w:rsid w:val="00220142"/>
    <w:rsid w:val="00223137"/>
    <w:rsid w:val="0022453E"/>
    <w:rsid w:val="002251F6"/>
    <w:rsid w:val="00225896"/>
    <w:rsid w:val="0022689E"/>
    <w:rsid w:val="00227087"/>
    <w:rsid w:val="00230A27"/>
    <w:rsid w:val="00230A3F"/>
    <w:rsid w:val="00231944"/>
    <w:rsid w:val="00232009"/>
    <w:rsid w:val="002327C3"/>
    <w:rsid w:val="00233CB1"/>
    <w:rsid w:val="0023447B"/>
    <w:rsid w:val="002348B3"/>
    <w:rsid w:val="00234AAE"/>
    <w:rsid w:val="002351BF"/>
    <w:rsid w:val="0023537E"/>
    <w:rsid w:val="00235476"/>
    <w:rsid w:val="00235DE2"/>
    <w:rsid w:val="00235FB6"/>
    <w:rsid w:val="0023654F"/>
    <w:rsid w:val="002369A5"/>
    <w:rsid w:val="00237092"/>
    <w:rsid w:val="00237F78"/>
    <w:rsid w:val="0024019E"/>
    <w:rsid w:val="0024033D"/>
    <w:rsid w:val="00241FFA"/>
    <w:rsid w:val="002422CE"/>
    <w:rsid w:val="00243E66"/>
    <w:rsid w:val="00244092"/>
    <w:rsid w:val="0024423A"/>
    <w:rsid w:val="00245CE7"/>
    <w:rsid w:val="00250B57"/>
    <w:rsid w:val="0025178F"/>
    <w:rsid w:val="00252B2E"/>
    <w:rsid w:val="00253BBD"/>
    <w:rsid w:val="00253FF8"/>
    <w:rsid w:val="002569CA"/>
    <w:rsid w:val="002601AD"/>
    <w:rsid w:val="0026234C"/>
    <w:rsid w:val="00262452"/>
    <w:rsid w:val="00264844"/>
    <w:rsid w:val="00265E9F"/>
    <w:rsid w:val="00265FBA"/>
    <w:rsid w:val="00266199"/>
    <w:rsid w:val="00266694"/>
    <w:rsid w:val="002668E6"/>
    <w:rsid w:val="00266B66"/>
    <w:rsid w:val="002671EA"/>
    <w:rsid w:val="00267AD3"/>
    <w:rsid w:val="002758A4"/>
    <w:rsid w:val="00276EA4"/>
    <w:rsid w:val="00277232"/>
    <w:rsid w:val="00281782"/>
    <w:rsid w:val="0028221B"/>
    <w:rsid w:val="00286265"/>
    <w:rsid w:val="00293A15"/>
    <w:rsid w:val="002955F1"/>
    <w:rsid w:val="00296198"/>
    <w:rsid w:val="002A3511"/>
    <w:rsid w:val="002A5385"/>
    <w:rsid w:val="002A54BE"/>
    <w:rsid w:val="002A5571"/>
    <w:rsid w:val="002A7DB8"/>
    <w:rsid w:val="002A7FA0"/>
    <w:rsid w:val="002B1B7E"/>
    <w:rsid w:val="002B4B67"/>
    <w:rsid w:val="002B7AA8"/>
    <w:rsid w:val="002B7D0D"/>
    <w:rsid w:val="002C570F"/>
    <w:rsid w:val="002C638D"/>
    <w:rsid w:val="002C7112"/>
    <w:rsid w:val="002D00E4"/>
    <w:rsid w:val="002D08BC"/>
    <w:rsid w:val="002D13E6"/>
    <w:rsid w:val="002D1793"/>
    <w:rsid w:val="002D1835"/>
    <w:rsid w:val="002D456C"/>
    <w:rsid w:val="002D4766"/>
    <w:rsid w:val="002D6F60"/>
    <w:rsid w:val="002E02CB"/>
    <w:rsid w:val="002E0E16"/>
    <w:rsid w:val="002E14AE"/>
    <w:rsid w:val="002E18CB"/>
    <w:rsid w:val="002E221F"/>
    <w:rsid w:val="002E25D7"/>
    <w:rsid w:val="002E2F3B"/>
    <w:rsid w:val="002E3397"/>
    <w:rsid w:val="002E6728"/>
    <w:rsid w:val="002F0145"/>
    <w:rsid w:val="002F08B7"/>
    <w:rsid w:val="002F1406"/>
    <w:rsid w:val="002F435E"/>
    <w:rsid w:val="002F55FC"/>
    <w:rsid w:val="002F5D8A"/>
    <w:rsid w:val="002F6B41"/>
    <w:rsid w:val="0030016B"/>
    <w:rsid w:val="0030249D"/>
    <w:rsid w:val="003032DB"/>
    <w:rsid w:val="0030664C"/>
    <w:rsid w:val="003067DF"/>
    <w:rsid w:val="00310045"/>
    <w:rsid w:val="0031005D"/>
    <w:rsid w:val="00310256"/>
    <w:rsid w:val="003128DB"/>
    <w:rsid w:val="00312F4D"/>
    <w:rsid w:val="00313DE3"/>
    <w:rsid w:val="00314E97"/>
    <w:rsid w:val="00314F98"/>
    <w:rsid w:val="00315B1A"/>
    <w:rsid w:val="0031700E"/>
    <w:rsid w:val="003205F8"/>
    <w:rsid w:val="00320D4D"/>
    <w:rsid w:val="00321CCF"/>
    <w:rsid w:val="003228A7"/>
    <w:rsid w:val="00324730"/>
    <w:rsid w:val="00325ACB"/>
    <w:rsid w:val="00326667"/>
    <w:rsid w:val="003271CE"/>
    <w:rsid w:val="00331267"/>
    <w:rsid w:val="00331913"/>
    <w:rsid w:val="00337B03"/>
    <w:rsid w:val="00340D06"/>
    <w:rsid w:val="00341F45"/>
    <w:rsid w:val="0034518F"/>
    <w:rsid w:val="003466AB"/>
    <w:rsid w:val="00346A44"/>
    <w:rsid w:val="00347E20"/>
    <w:rsid w:val="00350A76"/>
    <w:rsid w:val="00351E31"/>
    <w:rsid w:val="00353C45"/>
    <w:rsid w:val="00354B43"/>
    <w:rsid w:val="003552F7"/>
    <w:rsid w:val="0035554B"/>
    <w:rsid w:val="00355700"/>
    <w:rsid w:val="00355AF4"/>
    <w:rsid w:val="00356349"/>
    <w:rsid w:val="00360398"/>
    <w:rsid w:val="00360B59"/>
    <w:rsid w:val="00361A05"/>
    <w:rsid w:val="00361E02"/>
    <w:rsid w:val="00362056"/>
    <w:rsid w:val="003621A4"/>
    <w:rsid w:val="003631EC"/>
    <w:rsid w:val="00364C29"/>
    <w:rsid w:val="00365E90"/>
    <w:rsid w:val="003673BF"/>
    <w:rsid w:val="003711EF"/>
    <w:rsid w:val="00371977"/>
    <w:rsid w:val="00371FD7"/>
    <w:rsid w:val="00372857"/>
    <w:rsid w:val="00372B7C"/>
    <w:rsid w:val="00372E82"/>
    <w:rsid w:val="00373086"/>
    <w:rsid w:val="00374C0B"/>
    <w:rsid w:val="00375FC8"/>
    <w:rsid w:val="00376B13"/>
    <w:rsid w:val="003802A4"/>
    <w:rsid w:val="00380602"/>
    <w:rsid w:val="003808B3"/>
    <w:rsid w:val="00381433"/>
    <w:rsid w:val="00382E93"/>
    <w:rsid w:val="0038476E"/>
    <w:rsid w:val="00386432"/>
    <w:rsid w:val="003867E3"/>
    <w:rsid w:val="00387164"/>
    <w:rsid w:val="00387B4A"/>
    <w:rsid w:val="00391744"/>
    <w:rsid w:val="0039227B"/>
    <w:rsid w:val="00393577"/>
    <w:rsid w:val="00395B6C"/>
    <w:rsid w:val="00396850"/>
    <w:rsid w:val="003A28C4"/>
    <w:rsid w:val="003A2F64"/>
    <w:rsid w:val="003A3D77"/>
    <w:rsid w:val="003A3F50"/>
    <w:rsid w:val="003A4612"/>
    <w:rsid w:val="003B2F0C"/>
    <w:rsid w:val="003B3667"/>
    <w:rsid w:val="003B4A3C"/>
    <w:rsid w:val="003B4D4F"/>
    <w:rsid w:val="003B5652"/>
    <w:rsid w:val="003B703A"/>
    <w:rsid w:val="003B7A52"/>
    <w:rsid w:val="003C0497"/>
    <w:rsid w:val="003C0BE9"/>
    <w:rsid w:val="003C1030"/>
    <w:rsid w:val="003C1C25"/>
    <w:rsid w:val="003C1E76"/>
    <w:rsid w:val="003C5ABA"/>
    <w:rsid w:val="003C6BF8"/>
    <w:rsid w:val="003C6C26"/>
    <w:rsid w:val="003D020F"/>
    <w:rsid w:val="003D03B0"/>
    <w:rsid w:val="003D1061"/>
    <w:rsid w:val="003D165C"/>
    <w:rsid w:val="003D1BCD"/>
    <w:rsid w:val="003D23DE"/>
    <w:rsid w:val="003D2571"/>
    <w:rsid w:val="003D410F"/>
    <w:rsid w:val="003D482F"/>
    <w:rsid w:val="003D4C34"/>
    <w:rsid w:val="003D5159"/>
    <w:rsid w:val="003D758B"/>
    <w:rsid w:val="003E124A"/>
    <w:rsid w:val="003E2BF5"/>
    <w:rsid w:val="003E517F"/>
    <w:rsid w:val="003E52C4"/>
    <w:rsid w:val="003E54A2"/>
    <w:rsid w:val="003E7CA9"/>
    <w:rsid w:val="003E7E82"/>
    <w:rsid w:val="003F0566"/>
    <w:rsid w:val="003F4B7E"/>
    <w:rsid w:val="003F4E00"/>
    <w:rsid w:val="003F56FD"/>
    <w:rsid w:val="003F6341"/>
    <w:rsid w:val="00400157"/>
    <w:rsid w:val="004005D3"/>
    <w:rsid w:val="004010DA"/>
    <w:rsid w:val="0040207E"/>
    <w:rsid w:val="00402085"/>
    <w:rsid w:val="004021FD"/>
    <w:rsid w:val="00404641"/>
    <w:rsid w:val="00404FD7"/>
    <w:rsid w:val="004128B3"/>
    <w:rsid w:val="0041355A"/>
    <w:rsid w:val="00413E34"/>
    <w:rsid w:val="00415089"/>
    <w:rsid w:val="004162ED"/>
    <w:rsid w:val="00416ECC"/>
    <w:rsid w:val="00417A31"/>
    <w:rsid w:val="00417EDD"/>
    <w:rsid w:val="00421C94"/>
    <w:rsid w:val="004248E0"/>
    <w:rsid w:val="00424F9D"/>
    <w:rsid w:val="00426BA6"/>
    <w:rsid w:val="0042737E"/>
    <w:rsid w:val="0042765B"/>
    <w:rsid w:val="004305C4"/>
    <w:rsid w:val="00430EE0"/>
    <w:rsid w:val="004342AD"/>
    <w:rsid w:val="0043527A"/>
    <w:rsid w:val="0043577D"/>
    <w:rsid w:val="00435E44"/>
    <w:rsid w:val="00436527"/>
    <w:rsid w:val="00436EA9"/>
    <w:rsid w:val="00440950"/>
    <w:rsid w:val="00440AEC"/>
    <w:rsid w:val="00441C68"/>
    <w:rsid w:val="00444AB0"/>
    <w:rsid w:val="00445260"/>
    <w:rsid w:val="00445723"/>
    <w:rsid w:val="00445819"/>
    <w:rsid w:val="00447428"/>
    <w:rsid w:val="00450E66"/>
    <w:rsid w:val="00451B42"/>
    <w:rsid w:val="004546D8"/>
    <w:rsid w:val="00455212"/>
    <w:rsid w:val="00457173"/>
    <w:rsid w:val="00460497"/>
    <w:rsid w:val="00460DE4"/>
    <w:rsid w:val="00460F87"/>
    <w:rsid w:val="00461DAF"/>
    <w:rsid w:val="004623E1"/>
    <w:rsid w:val="00462EE1"/>
    <w:rsid w:val="00463854"/>
    <w:rsid w:val="00464268"/>
    <w:rsid w:val="0046735E"/>
    <w:rsid w:val="00467637"/>
    <w:rsid w:val="0047003B"/>
    <w:rsid w:val="00470450"/>
    <w:rsid w:val="00470DA0"/>
    <w:rsid w:val="00470FE5"/>
    <w:rsid w:val="00472AD0"/>
    <w:rsid w:val="00472F7A"/>
    <w:rsid w:val="00477214"/>
    <w:rsid w:val="00480CC7"/>
    <w:rsid w:val="004810C6"/>
    <w:rsid w:val="00483B91"/>
    <w:rsid w:val="00493241"/>
    <w:rsid w:val="00493E44"/>
    <w:rsid w:val="00494776"/>
    <w:rsid w:val="004A0146"/>
    <w:rsid w:val="004A10E3"/>
    <w:rsid w:val="004A345B"/>
    <w:rsid w:val="004A39CE"/>
    <w:rsid w:val="004A6A9A"/>
    <w:rsid w:val="004A6EDC"/>
    <w:rsid w:val="004A75B8"/>
    <w:rsid w:val="004A7629"/>
    <w:rsid w:val="004B08F3"/>
    <w:rsid w:val="004B3D91"/>
    <w:rsid w:val="004B46F7"/>
    <w:rsid w:val="004B4DB0"/>
    <w:rsid w:val="004B75F7"/>
    <w:rsid w:val="004B7946"/>
    <w:rsid w:val="004B7ADF"/>
    <w:rsid w:val="004C02F4"/>
    <w:rsid w:val="004C255C"/>
    <w:rsid w:val="004C25BF"/>
    <w:rsid w:val="004C314A"/>
    <w:rsid w:val="004C398C"/>
    <w:rsid w:val="004C618B"/>
    <w:rsid w:val="004D17B2"/>
    <w:rsid w:val="004D1F0B"/>
    <w:rsid w:val="004D2582"/>
    <w:rsid w:val="004D2CBF"/>
    <w:rsid w:val="004D43A8"/>
    <w:rsid w:val="004D743B"/>
    <w:rsid w:val="004D7C7D"/>
    <w:rsid w:val="004E2FD4"/>
    <w:rsid w:val="004E337F"/>
    <w:rsid w:val="004E36F8"/>
    <w:rsid w:val="004E3AD0"/>
    <w:rsid w:val="004E40E2"/>
    <w:rsid w:val="004E4EF7"/>
    <w:rsid w:val="004E5534"/>
    <w:rsid w:val="004E57BF"/>
    <w:rsid w:val="004E5F65"/>
    <w:rsid w:val="004E62E0"/>
    <w:rsid w:val="004E6461"/>
    <w:rsid w:val="004E7D49"/>
    <w:rsid w:val="004F169A"/>
    <w:rsid w:val="004F5FF0"/>
    <w:rsid w:val="004F70C3"/>
    <w:rsid w:val="00500638"/>
    <w:rsid w:val="00501624"/>
    <w:rsid w:val="00501A9B"/>
    <w:rsid w:val="00503805"/>
    <w:rsid w:val="00503969"/>
    <w:rsid w:val="005043E3"/>
    <w:rsid w:val="0050667C"/>
    <w:rsid w:val="00507BBF"/>
    <w:rsid w:val="0051128C"/>
    <w:rsid w:val="00512760"/>
    <w:rsid w:val="0051290A"/>
    <w:rsid w:val="00512B0F"/>
    <w:rsid w:val="00512B3C"/>
    <w:rsid w:val="00513083"/>
    <w:rsid w:val="00514299"/>
    <w:rsid w:val="0051648E"/>
    <w:rsid w:val="00516691"/>
    <w:rsid w:val="005206DF"/>
    <w:rsid w:val="005212C8"/>
    <w:rsid w:val="00521674"/>
    <w:rsid w:val="00521830"/>
    <w:rsid w:val="005226CF"/>
    <w:rsid w:val="005258ED"/>
    <w:rsid w:val="005263F8"/>
    <w:rsid w:val="00526A04"/>
    <w:rsid w:val="005309A1"/>
    <w:rsid w:val="00531B3F"/>
    <w:rsid w:val="00532855"/>
    <w:rsid w:val="005332ED"/>
    <w:rsid w:val="0053336F"/>
    <w:rsid w:val="00533F0B"/>
    <w:rsid w:val="00534099"/>
    <w:rsid w:val="00534F3A"/>
    <w:rsid w:val="005411C7"/>
    <w:rsid w:val="00541D34"/>
    <w:rsid w:val="00543488"/>
    <w:rsid w:val="00544A5E"/>
    <w:rsid w:val="00544B7E"/>
    <w:rsid w:val="00547539"/>
    <w:rsid w:val="0055152B"/>
    <w:rsid w:val="00552C30"/>
    <w:rsid w:val="0055421D"/>
    <w:rsid w:val="00554D54"/>
    <w:rsid w:val="00562B14"/>
    <w:rsid w:val="00562D63"/>
    <w:rsid w:val="005645C4"/>
    <w:rsid w:val="00567422"/>
    <w:rsid w:val="00567A51"/>
    <w:rsid w:val="0057264C"/>
    <w:rsid w:val="00572A89"/>
    <w:rsid w:val="00572B28"/>
    <w:rsid w:val="00574198"/>
    <w:rsid w:val="0057612D"/>
    <w:rsid w:val="00576C33"/>
    <w:rsid w:val="00577BAD"/>
    <w:rsid w:val="00580B6E"/>
    <w:rsid w:val="00583013"/>
    <w:rsid w:val="00586935"/>
    <w:rsid w:val="0058768C"/>
    <w:rsid w:val="00587816"/>
    <w:rsid w:val="00587A68"/>
    <w:rsid w:val="00590266"/>
    <w:rsid w:val="00590EDE"/>
    <w:rsid w:val="00590F64"/>
    <w:rsid w:val="0059136E"/>
    <w:rsid w:val="00591C10"/>
    <w:rsid w:val="005959AA"/>
    <w:rsid w:val="00595AC3"/>
    <w:rsid w:val="005A0333"/>
    <w:rsid w:val="005A13AF"/>
    <w:rsid w:val="005A2364"/>
    <w:rsid w:val="005A37BA"/>
    <w:rsid w:val="005A498B"/>
    <w:rsid w:val="005A49F4"/>
    <w:rsid w:val="005A5552"/>
    <w:rsid w:val="005A5F44"/>
    <w:rsid w:val="005A601D"/>
    <w:rsid w:val="005A7D70"/>
    <w:rsid w:val="005B0627"/>
    <w:rsid w:val="005B2812"/>
    <w:rsid w:val="005B5523"/>
    <w:rsid w:val="005B7D95"/>
    <w:rsid w:val="005C33E1"/>
    <w:rsid w:val="005C378F"/>
    <w:rsid w:val="005C4014"/>
    <w:rsid w:val="005C4B2A"/>
    <w:rsid w:val="005C4BA8"/>
    <w:rsid w:val="005D1ACB"/>
    <w:rsid w:val="005D5640"/>
    <w:rsid w:val="005D7699"/>
    <w:rsid w:val="005E2D8B"/>
    <w:rsid w:val="005E3172"/>
    <w:rsid w:val="005E3795"/>
    <w:rsid w:val="005E3DD7"/>
    <w:rsid w:val="005E58D8"/>
    <w:rsid w:val="005E5F63"/>
    <w:rsid w:val="005F0829"/>
    <w:rsid w:val="005F10AA"/>
    <w:rsid w:val="005F171A"/>
    <w:rsid w:val="005F237D"/>
    <w:rsid w:val="005F3453"/>
    <w:rsid w:val="005F3BD7"/>
    <w:rsid w:val="005F3E44"/>
    <w:rsid w:val="005F3FC3"/>
    <w:rsid w:val="005F581A"/>
    <w:rsid w:val="005F69A1"/>
    <w:rsid w:val="005F6E28"/>
    <w:rsid w:val="005F6EC5"/>
    <w:rsid w:val="0060098F"/>
    <w:rsid w:val="00602045"/>
    <w:rsid w:val="00602284"/>
    <w:rsid w:val="00602DF2"/>
    <w:rsid w:val="0060464C"/>
    <w:rsid w:val="00605D6A"/>
    <w:rsid w:val="00605FB1"/>
    <w:rsid w:val="0060655D"/>
    <w:rsid w:val="0060700F"/>
    <w:rsid w:val="00614792"/>
    <w:rsid w:val="00614EA3"/>
    <w:rsid w:val="00615294"/>
    <w:rsid w:val="006212CD"/>
    <w:rsid w:val="00622C09"/>
    <w:rsid w:val="0062319E"/>
    <w:rsid w:val="00623A4E"/>
    <w:rsid w:val="0062731F"/>
    <w:rsid w:val="006278CB"/>
    <w:rsid w:val="00627A07"/>
    <w:rsid w:val="006300A7"/>
    <w:rsid w:val="006303D8"/>
    <w:rsid w:val="006311B3"/>
    <w:rsid w:val="0063207E"/>
    <w:rsid w:val="00632097"/>
    <w:rsid w:val="006321FA"/>
    <w:rsid w:val="00634DDA"/>
    <w:rsid w:val="00640683"/>
    <w:rsid w:val="00640944"/>
    <w:rsid w:val="00640F9C"/>
    <w:rsid w:val="00641859"/>
    <w:rsid w:val="00641873"/>
    <w:rsid w:val="00641F11"/>
    <w:rsid w:val="00642100"/>
    <w:rsid w:val="00643296"/>
    <w:rsid w:val="00643593"/>
    <w:rsid w:val="006459CD"/>
    <w:rsid w:val="00645F41"/>
    <w:rsid w:val="00646153"/>
    <w:rsid w:val="006461BA"/>
    <w:rsid w:val="00646259"/>
    <w:rsid w:val="006462A0"/>
    <w:rsid w:val="00646F15"/>
    <w:rsid w:val="006476F9"/>
    <w:rsid w:val="00647DCE"/>
    <w:rsid w:val="00650302"/>
    <w:rsid w:val="0065052E"/>
    <w:rsid w:val="00651085"/>
    <w:rsid w:val="00652A38"/>
    <w:rsid w:val="0065371F"/>
    <w:rsid w:val="006541F3"/>
    <w:rsid w:val="00655058"/>
    <w:rsid w:val="00657BE2"/>
    <w:rsid w:val="0066007C"/>
    <w:rsid w:val="0066037F"/>
    <w:rsid w:val="0066126F"/>
    <w:rsid w:val="006613DE"/>
    <w:rsid w:val="00661B54"/>
    <w:rsid w:val="0066202A"/>
    <w:rsid w:val="0066434B"/>
    <w:rsid w:val="006647DE"/>
    <w:rsid w:val="00664BD5"/>
    <w:rsid w:val="006710EA"/>
    <w:rsid w:val="0067152D"/>
    <w:rsid w:val="00674AE9"/>
    <w:rsid w:val="00675BEB"/>
    <w:rsid w:val="006763B4"/>
    <w:rsid w:val="00676BB4"/>
    <w:rsid w:val="00677C74"/>
    <w:rsid w:val="006805F7"/>
    <w:rsid w:val="0068141C"/>
    <w:rsid w:val="00681FF7"/>
    <w:rsid w:val="00683C4C"/>
    <w:rsid w:val="00685414"/>
    <w:rsid w:val="006857F5"/>
    <w:rsid w:val="00692F45"/>
    <w:rsid w:val="00693830"/>
    <w:rsid w:val="006938C4"/>
    <w:rsid w:val="00694F03"/>
    <w:rsid w:val="00695480"/>
    <w:rsid w:val="006959A2"/>
    <w:rsid w:val="0069721E"/>
    <w:rsid w:val="00697B56"/>
    <w:rsid w:val="006A07A1"/>
    <w:rsid w:val="006A0D1A"/>
    <w:rsid w:val="006A1280"/>
    <w:rsid w:val="006A1EE4"/>
    <w:rsid w:val="006A2B60"/>
    <w:rsid w:val="006A36CC"/>
    <w:rsid w:val="006A37AE"/>
    <w:rsid w:val="006A4473"/>
    <w:rsid w:val="006A4CFC"/>
    <w:rsid w:val="006A6291"/>
    <w:rsid w:val="006A6F55"/>
    <w:rsid w:val="006A7123"/>
    <w:rsid w:val="006A7E2D"/>
    <w:rsid w:val="006B0E03"/>
    <w:rsid w:val="006B10A4"/>
    <w:rsid w:val="006B1164"/>
    <w:rsid w:val="006B1E23"/>
    <w:rsid w:val="006B38B9"/>
    <w:rsid w:val="006B3AFA"/>
    <w:rsid w:val="006B4670"/>
    <w:rsid w:val="006C2A89"/>
    <w:rsid w:val="006C2AC8"/>
    <w:rsid w:val="006C4656"/>
    <w:rsid w:val="006C52F9"/>
    <w:rsid w:val="006C60CF"/>
    <w:rsid w:val="006C7516"/>
    <w:rsid w:val="006D04FF"/>
    <w:rsid w:val="006D2FCE"/>
    <w:rsid w:val="006D3016"/>
    <w:rsid w:val="006D3FC1"/>
    <w:rsid w:val="006D5D8D"/>
    <w:rsid w:val="006D5E48"/>
    <w:rsid w:val="006E1427"/>
    <w:rsid w:val="006E5655"/>
    <w:rsid w:val="006E6479"/>
    <w:rsid w:val="006E650B"/>
    <w:rsid w:val="006E6D88"/>
    <w:rsid w:val="006E7653"/>
    <w:rsid w:val="006F107E"/>
    <w:rsid w:val="006F1A3B"/>
    <w:rsid w:val="006F3372"/>
    <w:rsid w:val="006F75AF"/>
    <w:rsid w:val="00701A48"/>
    <w:rsid w:val="007020C5"/>
    <w:rsid w:val="00702101"/>
    <w:rsid w:val="00702DE1"/>
    <w:rsid w:val="00704AE7"/>
    <w:rsid w:val="00704D02"/>
    <w:rsid w:val="00705AB9"/>
    <w:rsid w:val="00706169"/>
    <w:rsid w:val="00706563"/>
    <w:rsid w:val="00706A96"/>
    <w:rsid w:val="00707137"/>
    <w:rsid w:val="0071011C"/>
    <w:rsid w:val="007101C5"/>
    <w:rsid w:val="00710245"/>
    <w:rsid w:val="0071087C"/>
    <w:rsid w:val="0071318E"/>
    <w:rsid w:val="007142AA"/>
    <w:rsid w:val="00714DDF"/>
    <w:rsid w:val="007169BC"/>
    <w:rsid w:val="00717945"/>
    <w:rsid w:val="00720F2E"/>
    <w:rsid w:val="00722187"/>
    <w:rsid w:val="00722330"/>
    <w:rsid w:val="0072390D"/>
    <w:rsid w:val="00725C21"/>
    <w:rsid w:val="00726E01"/>
    <w:rsid w:val="00730B3D"/>
    <w:rsid w:val="00730E31"/>
    <w:rsid w:val="007315CD"/>
    <w:rsid w:val="00731E33"/>
    <w:rsid w:val="0073236C"/>
    <w:rsid w:val="00732DD2"/>
    <w:rsid w:val="00733627"/>
    <w:rsid w:val="007341B1"/>
    <w:rsid w:val="0073424F"/>
    <w:rsid w:val="00734E92"/>
    <w:rsid w:val="007427ED"/>
    <w:rsid w:val="0074313A"/>
    <w:rsid w:val="007445D4"/>
    <w:rsid w:val="00744B0E"/>
    <w:rsid w:val="0074526D"/>
    <w:rsid w:val="00745951"/>
    <w:rsid w:val="00745AE6"/>
    <w:rsid w:val="007539D3"/>
    <w:rsid w:val="00755373"/>
    <w:rsid w:val="00760622"/>
    <w:rsid w:val="007607D5"/>
    <w:rsid w:val="0076229E"/>
    <w:rsid w:val="00762561"/>
    <w:rsid w:val="00762A6C"/>
    <w:rsid w:val="00762E93"/>
    <w:rsid w:val="00763560"/>
    <w:rsid w:val="007662D6"/>
    <w:rsid w:val="00766441"/>
    <w:rsid w:val="00766747"/>
    <w:rsid w:val="00766B67"/>
    <w:rsid w:val="0076759B"/>
    <w:rsid w:val="007708CF"/>
    <w:rsid w:val="00770969"/>
    <w:rsid w:val="007725E9"/>
    <w:rsid w:val="00773268"/>
    <w:rsid w:val="007739B8"/>
    <w:rsid w:val="00777067"/>
    <w:rsid w:val="0078003F"/>
    <w:rsid w:val="0078095C"/>
    <w:rsid w:val="00782AD5"/>
    <w:rsid w:val="00782E81"/>
    <w:rsid w:val="00782FEE"/>
    <w:rsid w:val="00783AE7"/>
    <w:rsid w:val="00783D89"/>
    <w:rsid w:val="007859DF"/>
    <w:rsid w:val="00786E37"/>
    <w:rsid w:val="00791BB3"/>
    <w:rsid w:val="0079270F"/>
    <w:rsid w:val="00792F6A"/>
    <w:rsid w:val="00794900"/>
    <w:rsid w:val="00795184"/>
    <w:rsid w:val="007955D3"/>
    <w:rsid w:val="00796690"/>
    <w:rsid w:val="00796C6B"/>
    <w:rsid w:val="007A1506"/>
    <w:rsid w:val="007A180C"/>
    <w:rsid w:val="007A1E30"/>
    <w:rsid w:val="007A1E71"/>
    <w:rsid w:val="007A3469"/>
    <w:rsid w:val="007A64B9"/>
    <w:rsid w:val="007A64DA"/>
    <w:rsid w:val="007B0C0A"/>
    <w:rsid w:val="007B0C23"/>
    <w:rsid w:val="007B3F66"/>
    <w:rsid w:val="007B5E20"/>
    <w:rsid w:val="007B6187"/>
    <w:rsid w:val="007C022E"/>
    <w:rsid w:val="007C58F6"/>
    <w:rsid w:val="007C5AAD"/>
    <w:rsid w:val="007C6518"/>
    <w:rsid w:val="007C66C6"/>
    <w:rsid w:val="007C6F5B"/>
    <w:rsid w:val="007C78B3"/>
    <w:rsid w:val="007D178A"/>
    <w:rsid w:val="007D356D"/>
    <w:rsid w:val="007D69B9"/>
    <w:rsid w:val="007D6C59"/>
    <w:rsid w:val="007D76A6"/>
    <w:rsid w:val="007E000D"/>
    <w:rsid w:val="007E2A46"/>
    <w:rsid w:val="007E2E10"/>
    <w:rsid w:val="007E3CE3"/>
    <w:rsid w:val="007E56A5"/>
    <w:rsid w:val="007E5C80"/>
    <w:rsid w:val="007E5D39"/>
    <w:rsid w:val="007E67BD"/>
    <w:rsid w:val="007E6D07"/>
    <w:rsid w:val="007F37DA"/>
    <w:rsid w:val="007F4ADA"/>
    <w:rsid w:val="007F6EA5"/>
    <w:rsid w:val="00800910"/>
    <w:rsid w:val="00800C28"/>
    <w:rsid w:val="00800E63"/>
    <w:rsid w:val="008018EB"/>
    <w:rsid w:val="0080281E"/>
    <w:rsid w:val="008034C9"/>
    <w:rsid w:val="00804633"/>
    <w:rsid w:val="00804BAB"/>
    <w:rsid w:val="008059ED"/>
    <w:rsid w:val="008066F5"/>
    <w:rsid w:val="00811329"/>
    <w:rsid w:val="00812CC3"/>
    <w:rsid w:val="00814517"/>
    <w:rsid w:val="0081492E"/>
    <w:rsid w:val="00814AED"/>
    <w:rsid w:val="00814F06"/>
    <w:rsid w:val="00815D21"/>
    <w:rsid w:val="00816136"/>
    <w:rsid w:val="00817488"/>
    <w:rsid w:val="00817EDB"/>
    <w:rsid w:val="00820364"/>
    <w:rsid w:val="0082109B"/>
    <w:rsid w:val="0082124F"/>
    <w:rsid w:val="00821808"/>
    <w:rsid w:val="0082205F"/>
    <w:rsid w:val="00822470"/>
    <w:rsid w:val="008258E0"/>
    <w:rsid w:val="00830C6E"/>
    <w:rsid w:val="00830D0D"/>
    <w:rsid w:val="00830EE4"/>
    <w:rsid w:val="008326C1"/>
    <w:rsid w:val="00832B8C"/>
    <w:rsid w:val="00832C72"/>
    <w:rsid w:val="00832C9A"/>
    <w:rsid w:val="0083551F"/>
    <w:rsid w:val="008362B2"/>
    <w:rsid w:val="00837854"/>
    <w:rsid w:val="00837C7F"/>
    <w:rsid w:val="00844223"/>
    <w:rsid w:val="00844B0A"/>
    <w:rsid w:val="00847323"/>
    <w:rsid w:val="00850264"/>
    <w:rsid w:val="00851987"/>
    <w:rsid w:val="00852E37"/>
    <w:rsid w:val="00853972"/>
    <w:rsid w:val="00853AB0"/>
    <w:rsid w:val="008571F7"/>
    <w:rsid w:val="008614ED"/>
    <w:rsid w:val="008652A4"/>
    <w:rsid w:val="00866534"/>
    <w:rsid w:val="00866DBD"/>
    <w:rsid w:val="00870BD3"/>
    <w:rsid w:val="00872999"/>
    <w:rsid w:val="00874CCB"/>
    <w:rsid w:val="00876710"/>
    <w:rsid w:val="00876CEE"/>
    <w:rsid w:val="0087701F"/>
    <w:rsid w:val="0087753C"/>
    <w:rsid w:val="0087784B"/>
    <w:rsid w:val="00877F6B"/>
    <w:rsid w:val="00881AF1"/>
    <w:rsid w:val="00881C81"/>
    <w:rsid w:val="00883E2A"/>
    <w:rsid w:val="00884758"/>
    <w:rsid w:val="008868A4"/>
    <w:rsid w:val="00887393"/>
    <w:rsid w:val="00890110"/>
    <w:rsid w:val="00891680"/>
    <w:rsid w:val="008927A9"/>
    <w:rsid w:val="008A29FF"/>
    <w:rsid w:val="008A3BC1"/>
    <w:rsid w:val="008A4FA7"/>
    <w:rsid w:val="008A5F66"/>
    <w:rsid w:val="008A75A7"/>
    <w:rsid w:val="008B0899"/>
    <w:rsid w:val="008B1C0B"/>
    <w:rsid w:val="008B32E4"/>
    <w:rsid w:val="008B360A"/>
    <w:rsid w:val="008B55CB"/>
    <w:rsid w:val="008B6C09"/>
    <w:rsid w:val="008B7C6E"/>
    <w:rsid w:val="008C3C62"/>
    <w:rsid w:val="008C546C"/>
    <w:rsid w:val="008C5B2B"/>
    <w:rsid w:val="008C6BDD"/>
    <w:rsid w:val="008D11A3"/>
    <w:rsid w:val="008D1402"/>
    <w:rsid w:val="008D1881"/>
    <w:rsid w:val="008D2205"/>
    <w:rsid w:val="008D3723"/>
    <w:rsid w:val="008D489D"/>
    <w:rsid w:val="008D4E45"/>
    <w:rsid w:val="008D7A76"/>
    <w:rsid w:val="008E03A3"/>
    <w:rsid w:val="008E05A2"/>
    <w:rsid w:val="008E0CA0"/>
    <w:rsid w:val="008E1975"/>
    <w:rsid w:val="008E31E4"/>
    <w:rsid w:val="008E3795"/>
    <w:rsid w:val="008E50BA"/>
    <w:rsid w:val="008E5B8C"/>
    <w:rsid w:val="008E6351"/>
    <w:rsid w:val="008F0C6F"/>
    <w:rsid w:val="008F4540"/>
    <w:rsid w:val="008F4D84"/>
    <w:rsid w:val="008F4E00"/>
    <w:rsid w:val="008F57BB"/>
    <w:rsid w:val="008F6EDA"/>
    <w:rsid w:val="008F7DA4"/>
    <w:rsid w:val="00902FEA"/>
    <w:rsid w:val="009031E2"/>
    <w:rsid w:val="009036EE"/>
    <w:rsid w:val="0090415A"/>
    <w:rsid w:val="00904C6C"/>
    <w:rsid w:val="009057C8"/>
    <w:rsid w:val="00907984"/>
    <w:rsid w:val="00907B3F"/>
    <w:rsid w:val="00907BF0"/>
    <w:rsid w:val="00907C8A"/>
    <w:rsid w:val="00907CCA"/>
    <w:rsid w:val="00907E7B"/>
    <w:rsid w:val="009100C2"/>
    <w:rsid w:val="00910103"/>
    <w:rsid w:val="0091020F"/>
    <w:rsid w:val="00910B73"/>
    <w:rsid w:val="00911D18"/>
    <w:rsid w:val="00912BC2"/>
    <w:rsid w:val="00912E80"/>
    <w:rsid w:val="00912F7F"/>
    <w:rsid w:val="009146A6"/>
    <w:rsid w:val="00915E8F"/>
    <w:rsid w:val="00916A8C"/>
    <w:rsid w:val="009219BF"/>
    <w:rsid w:val="0092416D"/>
    <w:rsid w:val="009279AB"/>
    <w:rsid w:val="009300E4"/>
    <w:rsid w:val="00932840"/>
    <w:rsid w:val="009328A4"/>
    <w:rsid w:val="00932B58"/>
    <w:rsid w:val="00933EAD"/>
    <w:rsid w:val="0093430A"/>
    <w:rsid w:val="0093633D"/>
    <w:rsid w:val="00937863"/>
    <w:rsid w:val="00940094"/>
    <w:rsid w:val="00940D17"/>
    <w:rsid w:val="00942D22"/>
    <w:rsid w:val="00943B9B"/>
    <w:rsid w:val="00944702"/>
    <w:rsid w:val="009451BE"/>
    <w:rsid w:val="00946D40"/>
    <w:rsid w:val="00947333"/>
    <w:rsid w:val="009506E4"/>
    <w:rsid w:val="00950E92"/>
    <w:rsid w:val="00952D5C"/>
    <w:rsid w:val="00953291"/>
    <w:rsid w:val="00953C1F"/>
    <w:rsid w:val="0095598A"/>
    <w:rsid w:val="00956D40"/>
    <w:rsid w:val="0095765D"/>
    <w:rsid w:val="00957721"/>
    <w:rsid w:val="009578FC"/>
    <w:rsid w:val="009629EB"/>
    <w:rsid w:val="0096350E"/>
    <w:rsid w:val="009645FD"/>
    <w:rsid w:val="00966DA3"/>
    <w:rsid w:val="00966DBD"/>
    <w:rsid w:val="00967898"/>
    <w:rsid w:val="00970724"/>
    <w:rsid w:val="00970739"/>
    <w:rsid w:val="00970CB4"/>
    <w:rsid w:val="00970E16"/>
    <w:rsid w:val="00972A11"/>
    <w:rsid w:val="00973C7C"/>
    <w:rsid w:val="00974980"/>
    <w:rsid w:val="00976BFC"/>
    <w:rsid w:val="009771B8"/>
    <w:rsid w:val="00980D2A"/>
    <w:rsid w:val="00982A53"/>
    <w:rsid w:val="0098317B"/>
    <w:rsid w:val="009839DA"/>
    <w:rsid w:val="0098476B"/>
    <w:rsid w:val="00984BB5"/>
    <w:rsid w:val="00986811"/>
    <w:rsid w:val="00990506"/>
    <w:rsid w:val="00990B17"/>
    <w:rsid w:val="009911C9"/>
    <w:rsid w:val="009912E5"/>
    <w:rsid w:val="00991471"/>
    <w:rsid w:val="00993AE5"/>
    <w:rsid w:val="009941E1"/>
    <w:rsid w:val="009960F8"/>
    <w:rsid w:val="009967BB"/>
    <w:rsid w:val="00996A61"/>
    <w:rsid w:val="00997D37"/>
    <w:rsid w:val="009A0B44"/>
    <w:rsid w:val="009A10AE"/>
    <w:rsid w:val="009A140F"/>
    <w:rsid w:val="009A2921"/>
    <w:rsid w:val="009A5043"/>
    <w:rsid w:val="009A5A6F"/>
    <w:rsid w:val="009A70AF"/>
    <w:rsid w:val="009B004C"/>
    <w:rsid w:val="009B36D4"/>
    <w:rsid w:val="009B3A14"/>
    <w:rsid w:val="009B406A"/>
    <w:rsid w:val="009B488C"/>
    <w:rsid w:val="009B5357"/>
    <w:rsid w:val="009B7516"/>
    <w:rsid w:val="009C03EE"/>
    <w:rsid w:val="009C0E69"/>
    <w:rsid w:val="009C27C9"/>
    <w:rsid w:val="009C2BF5"/>
    <w:rsid w:val="009C3CF2"/>
    <w:rsid w:val="009C3D9C"/>
    <w:rsid w:val="009C46FE"/>
    <w:rsid w:val="009C4920"/>
    <w:rsid w:val="009C7448"/>
    <w:rsid w:val="009D2192"/>
    <w:rsid w:val="009D235E"/>
    <w:rsid w:val="009D2E5C"/>
    <w:rsid w:val="009D3D4F"/>
    <w:rsid w:val="009D3F08"/>
    <w:rsid w:val="009D46B4"/>
    <w:rsid w:val="009D49E8"/>
    <w:rsid w:val="009D60C2"/>
    <w:rsid w:val="009D6AAF"/>
    <w:rsid w:val="009D7550"/>
    <w:rsid w:val="009E0031"/>
    <w:rsid w:val="009E29EC"/>
    <w:rsid w:val="009E2B50"/>
    <w:rsid w:val="009E3140"/>
    <w:rsid w:val="009E3AF7"/>
    <w:rsid w:val="009E3F6C"/>
    <w:rsid w:val="009E70C6"/>
    <w:rsid w:val="009E7476"/>
    <w:rsid w:val="009E7CC0"/>
    <w:rsid w:val="009F0564"/>
    <w:rsid w:val="009F1735"/>
    <w:rsid w:val="009F1E50"/>
    <w:rsid w:val="009F3895"/>
    <w:rsid w:val="009F46B4"/>
    <w:rsid w:val="009F4888"/>
    <w:rsid w:val="009F5AED"/>
    <w:rsid w:val="009F5D54"/>
    <w:rsid w:val="009F5DB7"/>
    <w:rsid w:val="009F6FFC"/>
    <w:rsid w:val="00A01035"/>
    <w:rsid w:val="00A013F7"/>
    <w:rsid w:val="00A028F0"/>
    <w:rsid w:val="00A03C4D"/>
    <w:rsid w:val="00A04F7D"/>
    <w:rsid w:val="00A05369"/>
    <w:rsid w:val="00A0572E"/>
    <w:rsid w:val="00A063DE"/>
    <w:rsid w:val="00A071DD"/>
    <w:rsid w:val="00A1097E"/>
    <w:rsid w:val="00A11082"/>
    <w:rsid w:val="00A1224A"/>
    <w:rsid w:val="00A129F5"/>
    <w:rsid w:val="00A17558"/>
    <w:rsid w:val="00A177ED"/>
    <w:rsid w:val="00A17E46"/>
    <w:rsid w:val="00A20D20"/>
    <w:rsid w:val="00A21759"/>
    <w:rsid w:val="00A223DA"/>
    <w:rsid w:val="00A23C09"/>
    <w:rsid w:val="00A245D8"/>
    <w:rsid w:val="00A25E15"/>
    <w:rsid w:val="00A26FDB"/>
    <w:rsid w:val="00A27B61"/>
    <w:rsid w:val="00A31CE2"/>
    <w:rsid w:val="00A3224F"/>
    <w:rsid w:val="00A3414B"/>
    <w:rsid w:val="00A355E5"/>
    <w:rsid w:val="00A3773A"/>
    <w:rsid w:val="00A400FB"/>
    <w:rsid w:val="00A41E07"/>
    <w:rsid w:val="00A420A8"/>
    <w:rsid w:val="00A42728"/>
    <w:rsid w:val="00A4387E"/>
    <w:rsid w:val="00A44797"/>
    <w:rsid w:val="00A45255"/>
    <w:rsid w:val="00A466D9"/>
    <w:rsid w:val="00A46ECD"/>
    <w:rsid w:val="00A50AA8"/>
    <w:rsid w:val="00A51FE2"/>
    <w:rsid w:val="00A53B1C"/>
    <w:rsid w:val="00A54373"/>
    <w:rsid w:val="00A549FF"/>
    <w:rsid w:val="00A555CB"/>
    <w:rsid w:val="00A55813"/>
    <w:rsid w:val="00A57663"/>
    <w:rsid w:val="00A57DD8"/>
    <w:rsid w:val="00A60637"/>
    <w:rsid w:val="00A61252"/>
    <w:rsid w:val="00A613AD"/>
    <w:rsid w:val="00A61EE2"/>
    <w:rsid w:val="00A6226F"/>
    <w:rsid w:val="00A6236A"/>
    <w:rsid w:val="00A623C0"/>
    <w:rsid w:val="00A63972"/>
    <w:rsid w:val="00A63E13"/>
    <w:rsid w:val="00A64F9C"/>
    <w:rsid w:val="00A657DB"/>
    <w:rsid w:val="00A65F29"/>
    <w:rsid w:val="00A701CA"/>
    <w:rsid w:val="00A70EAE"/>
    <w:rsid w:val="00A7124A"/>
    <w:rsid w:val="00A74E45"/>
    <w:rsid w:val="00A75512"/>
    <w:rsid w:val="00A75E11"/>
    <w:rsid w:val="00A7603A"/>
    <w:rsid w:val="00A77FDE"/>
    <w:rsid w:val="00A8033C"/>
    <w:rsid w:val="00A803A2"/>
    <w:rsid w:val="00A807CD"/>
    <w:rsid w:val="00A80805"/>
    <w:rsid w:val="00A8237D"/>
    <w:rsid w:val="00A8267C"/>
    <w:rsid w:val="00A83FC8"/>
    <w:rsid w:val="00A848B2"/>
    <w:rsid w:val="00A84C03"/>
    <w:rsid w:val="00A8500F"/>
    <w:rsid w:val="00A85CE6"/>
    <w:rsid w:val="00A85F3F"/>
    <w:rsid w:val="00A863C7"/>
    <w:rsid w:val="00A87327"/>
    <w:rsid w:val="00A901D9"/>
    <w:rsid w:val="00A90E61"/>
    <w:rsid w:val="00A910BB"/>
    <w:rsid w:val="00A926F7"/>
    <w:rsid w:val="00A936AF"/>
    <w:rsid w:val="00A93C34"/>
    <w:rsid w:val="00A93DEB"/>
    <w:rsid w:val="00A94505"/>
    <w:rsid w:val="00A9451A"/>
    <w:rsid w:val="00A95AD0"/>
    <w:rsid w:val="00A95C2C"/>
    <w:rsid w:val="00A97548"/>
    <w:rsid w:val="00A975AB"/>
    <w:rsid w:val="00A9761F"/>
    <w:rsid w:val="00A9794D"/>
    <w:rsid w:val="00A97A94"/>
    <w:rsid w:val="00AA1894"/>
    <w:rsid w:val="00AA1C20"/>
    <w:rsid w:val="00AA1DC1"/>
    <w:rsid w:val="00AA2583"/>
    <w:rsid w:val="00AA2A29"/>
    <w:rsid w:val="00AA37B0"/>
    <w:rsid w:val="00AA38AC"/>
    <w:rsid w:val="00AA3937"/>
    <w:rsid w:val="00AA4579"/>
    <w:rsid w:val="00AA46D3"/>
    <w:rsid w:val="00AA4A2C"/>
    <w:rsid w:val="00AA4B17"/>
    <w:rsid w:val="00AA6B62"/>
    <w:rsid w:val="00AB20FC"/>
    <w:rsid w:val="00AB39F8"/>
    <w:rsid w:val="00AB4855"/>
    <w:rsid w:val="00AB707E"/>
    <w:rsid w:val="00AC0F51"/>
    <w:rsid w:val="00AC1599"/>
    <w:rsid w:val="00AC2433"/>
    <w:rsid w:val="00AC404E"/>
    <w:rsid w:val="00AC423D"/>
    <w:rsid w:val="00AC52B9"/>
    <w:rsid w:val="00AC561E"/>
    <w:rsid w:val="00AC5EA5"/>
    <w:rsid w:val="00AC5EAC"/>
    <w:rsid w:val="00AC6DD4"/>
    <w:rsid w:val="00AC7817"/>
    <w:rsid w:val="00AC782C"/>
    <w:rsid w:val="00AC7FD0"/>
    <w:rsid w:val="00AD008C"/>
    <w:rsid w:val="00AD1071"/>
    <w:rsid w:val="00AD24E1"/>
    <w:rsid w:val="00AD4EBF"/>
    <w:rsid w:val="00AD51B0"/>
    <w:rsid w:val="00AD5DDA"/>
    <w:rsid w:val="00AD6360"/>
    <w:rsid w:val="00AD6A43"/>
    <w:rsid w:val="00AD6F48"/>
    <w:rsid w:val="00AE0BA2"/>
    <w:rsid w:val="00AE1745"/>
    <w:rsid w:val="00AE1D84"/>
    <w:rsid w:val="00AE3E14"/>
    <w:rsid w:val="00AE4320"/>
    <w:rsid w:val="00AE48DA"/>
    <w:rsid w:val="00AE68BD"/>
    <w:rsid w:val="00AE76E7"/>
    <w:rsid w:val="00AE7D66"/>
    <w:rsid w:val="00AE7E21"/>
    <w:rsid w:val="00AF09D0"/>
    <w:rsid w:val="00AF20B9"/>
    <w:rsid w:val="00AF4A74"/>
    <w:rsid w:val="00AF4F2A"/>
    <w:rsid w:val="00AF4F5D"/>
    <w:rsid w:val="00AF7CB3"/>
    <w:rsid w:val="00B02088"/>
    <w:rsid w:val="00B02DFA"/>
    <w:rsid w:val="00B03548"/>
    <w:rsid w:val="00B04587"/>
    <w:rsid w:val="00B04887"/>
    <w:rsid w:val="00B05907"/>
    <w:rsid w:val="00B05961"/>
    <w:rsid w:val="00B05F62"/>
    <w:rsid w:val="00B06994"/>
    <w:rsid w:val="00B069B9"/>
    <w:rsid w:val="00B06D21"/>
    <w:rsid w:val="00B075E4"/>
    <w:rsid w:val="00B11CE2"/>
    <w:rsid w:val="00B15602"/>
    <w:rsid w:val="00B16414"/>
    <w:rsid w:val="00B207C1"/>
    <w:rsid w:val="00B20A62"/>
    <w:rsid w:val="00B20D05"/>
    <w:rsid w:val="00B23100"/>
    <w:rsid w:val="00B23E76"/>
    <w:rsid w:val="00B255BB"/>
    <w:rsid w:val="00B25EBE"/>
    <w:rsid w:val="00B25F9C"/>
    <w:rsid w:val="00B2600D"/>
    <w:rsid w:val="00B27A11"/>
    <w:rsid w:val="00B27BD1"/>
    <w:rsid w:val="00B27F46"/>
    <w:rsid w:val="00B301E6"/>
    <w:rsid w:val="00B31536"/>
    <w:rsid w:val="00B3198A"/>
    <w:rsid w:val="00B33642"/>
    <w:rsid w:val="00B35D03"/>
    <w:rsid w:val="00B360B2"/>
    <w:rsid w:val="00B36C9C"/>
    <w:rsid w:val="00B36DC9"/>
    <w:rsid w:val="00B4182A"/>
    <w:rsid w:val="00B42722"/>
    <w:rsid w:val="00B44A82"/>
    <w:rsid w:val="00B44D4A"/>
    <w:rsid w:val="00B4587A"/>
    <w:rsid w:val="00B45B35"/>
    <w:rsid w:val="00B45DAB"/>
    <w:rsid w:val="00B4709D"/>
    <w:rsid w:val="00B47992"/>
    <w:rsid w:val="00B5188B"/>
    <w:rsid w:val="00B51EA3"/>
    <w:rsid w:val="00B52649"/>
    <w:rsid w:val="00B53261"/>
    <w:rsid w:val="00B5390B"/>
    <w:rsid w:val="00B55611"/>
    <w:rsid w:val="00B5602D"/>
    <w:rsid w:val="00B57088"/>
    <w:rsid w:val="00B62616"/>
    <w:rsid w:val="00B62E3E"/>
    <w:rsid w:val="00B6351A"/>
    <w:rsid w:val="00B63E24"/>
    <w:rsid w:val="00B63ECF"/>
    <w:rsid w:val="00B6667F"/>
    <w:rsid w:val="00B70CA0"/>
    <w:rsid w:val="00B717D4"/>
    <w:rsid w:val="00B737D9"/>
    <w:rsid w:val="00B73F8F"/>
    <w:rsid w:val="00B75698"/>
    <w:rsid w:val="00B756B3"/>
    <w:rsid w:val="00B76ECE"/>
    <w:rsid w:val="00B80929"/>
    <w:rsid w:val="00B80CBD"/>
    <w:rsid w:val="00B81AFF"/>
    <w:rsid w:val="00B82085"/>
    <w:rsid w:val="00B82474"/>
    <w:rsid w:val="00B82533"/>
    <w:rsid w:val="00B83B73"/>
    <w:rsid w:val="00B850E9"/>
    <w:rsid w:val="00B87A83"/>
    <w:rsid w:val="00B90868"/>
    <w:rsid w:val="00B91043"/>
    <w:rsid w:val="00B91FAB"/>
    <w:rsid w:val="00B933B3"/>
    <w:rsid w:val="00B9400A"/>
    <w:rsid w:val="00B9518A"/>
    <w:rsid w:val="00B9791D"/>
    <w:rsid w:val="00BA0170"/>
    <w:rsid w:val="00BA01CF"/>
    <w:rsid w:val="00BA05CB"/>
    <w:rsid w:val="00BA1750"/>
    <w:rsid w:val="00BA1E9D"/>
    <w:rsid w:val="00BA24C0"/>
    <w:rsid w:val="00BA26C6"/>
    <w:rsid w:val="00BA462B"/>
    <w:rsid w:val="00BA47C6"/>
    <w:rsid w:val="00BA4E27"/>
    <w:rsid w:val="00BA61C1"/>
    <w:rsid w:val="00BA62C8"/>
    <w:rsid w:val="00BA6FA9"/>
    <w:rsid w:val="00BA7419"/>
    <w:rsid w:val="00BA7BD3"/>
    <w:rsid w:val="00BA7E35"/>
    <w:rsid w:val="00BA7F1D"/>
    <w:rsid w:val="00BB07EA"/>
    <w:rsid w:val="00BB1415"/>
    <w:rsid w:val="00BB230E"/>
    <w:rsid w:val="00BB2908"/>
    <w:rsid w:val="00BB2A92"/>
    <w:rsid w:val="00BB5192"/>
    <w:rsid w:val="00BB6143"/>
    <w:rsid w:val="00BB75D3"/>
    <w:rsid w:val="00BC2B3A"/>
    <w:rsid w:val="00BC2E95"/>
    <w:rsid w:val="00BC47E4"/>
    <w:rsid w:val="00BC590B"/>
    <w:rsid w:val="00BC5A13"/>
    <w:rsid w:val="00BD1218"/>
    <w:rsid w:val="00BD1480"/>
    <w:rsid w:val="00BD1669"/>
    <w:rsid w:val="00BD1A62"/>
    <w:rsid w:val="00BD3480"/>
    <w:rsid w:val="00BD36DA"/>
    <w:rsid w:val="00BD43AE"/>
    <w:rsid w:val="00BD4750"/>
    <w:rsid w:val="00BD48F4"/>
    <w:rsid w:val="00BD5413"/>
    <w:rsid w:val="00BD5578"/>
    <w:rsid w:val="00BE2ADA"/>
    <w:rsid w:val="00BE2C57"/>
    <w:rsid w:val="00BE2D6C"/>
    <w:rsid w:val="00BE3AAF"/>
    <w:rsid w:val="00BE45C0"/>
    <w:rsid w:val="00BE5367"/>
    <w:rsid w:val="00BF0C46"/>
    <w:rsid w:val="00BF0C4A"/>
    <w:rsid w:val="00BF122D"/>
    <w:rsid w:val="00BF27A1"/>
    <w:rsid w:val="00BF29BF"/>
    <w:rsid w:val="00BF428F"/>
    <w:rsid w:val="00BF6A8C"/>
    <w:rsid w:val="00BF7195"/>
    <w:rsid w:val="00C0278A"/>
    <w:rsid w:val="00C02EE3"/>
    <w:rsid w:val="00C03D86"/>
    <w:rsid w:val="00C03FF4"/>
    <w:rsid w:val="00C04272"/>
    <w:rsid w:val="00C0436F"/>
    <w:rsid w:val="00C04831"/>
    <w:rsid w:val="00C128C3"/>
    <w:rsid w:val="00C13A47"/>
    <w:rsid w:val="00C15680"/>
    <w:rsid w:val="00C16774"/>
    <w:rsid w:val="00C16A3A"/>
    <w:rsid w:val="00C1773C"/>
    <w:rsid w:val="00C20C06"/>
    <w:rsid w:val="00C2205F"/>
    <w:rsid w:val="00C254AA"/>
    <w:rsid w:val="00C30AA8"/>
    <w:rsid w:val="00C31471"/>
    <w:rsid w:val="00C32BBA"/>
    <w:rsid w:val="00C330A0"/>
    <w:rsid w:val="00C340E1"/>
    <w:rsid w:val="00C343F8"/>
    <w:rsid w:val="00C34671"/>
    <w:rsid w:val="00C35105"/>
    <w:rsid w:val="00C359A2"/>
    <w:rsid w:val="00C3635F"/>
    <w:rsid w:val="00C36812"/>
    <w:rsid w:val="00C371DC"/>
    <w:rsid w:val="00C37DFB"/>
    <w:rsid w:val="00C402F4"/>
    <w:rsid w:val="00C43470"/>
    <w:rsid w:val="00C438D6"/>
    <w:rsid w:val="00C43F8F"/>
    <w:rsid w:val="00C45CFE"/>
    <w:rsid w:val="00C47CB0"/>
    <w:rsid w:val="00C5195F"/>
    <w:rsid w:val="00C52415"/>
    <w:rsid w:val="00C52C94"/>
    <w:rsid w:val="00C539E6"/>
    <w:rsid w:val="00C5528F"/>
    <w:rsid w:val="00C56174"/>
    <w:rsid w:val="00C567DD"/>
    <w:rsid w:val="00C56C70"/>
    <w:rsid w:val="00C57226"/>
    <w:rsid w:val="00C575B1"/>
    <w:rsid w:val="00C60673"/>
    <w:rsid w:val="00C60CE6"/>
    <w:rsid w:val="00C610E6"/>
    <w:rsid w:val="00C63457"/>
    <w:rsid w:val="00C642AC"/>
    <w:rsid w:val="00C6656F"/>
    <w:rsid w:val="00C667F4"/>
    <w:rsid w:val="00C67029"/>
    <w:rsid w:val="00C6714D"/>
    <w:rsid w:val="00C67505"/>
    <w:rsid w:val="00C67D3C"/>
    <w:rsid w:val="00C704E7"/>
    <w:rsid w:val="00C708BF"/>
    <w:rsid w:val="00C71AF5"/>
    <w:rsid w:val="00C745D5"/>
    <w:rsid w:val="00C74F39"/>
    <w:rsid w:val="00C76126"/>
    <w:rsid w:val="00C76186"/>
    <w:rsid w:val="00C76CF3"/>
    <w:rsid w:val="00C80915"/>
    <w:rsid w:val="00C82578"/>
    <w:rsid w:val="00C862BF"/>
    <w:rsid w:val="00C86B87"/>
    <w:rsid w:val="00C8708C"/>
    <w:rsid w:val="00C870D1"/>
    <w:rsid w:val="00C873A2"/>
    <w:rsid w:val="00C93B27"/>
    <w:rsid w:val="00C95862"/>
    <w:rsid w:val="00C97051"/>
    <w:rsid w:val="00CA2530"/>
    <w:rsid w:val="00CA2E69"/>
    <w:rsid w:val="00CA44CD"/>
    <w:rsid w:val="00CA553A"/>
    <w:rsid w:val="00CA5E8A"/>
    <w:rsid w:val="00CA634D"/>
    <w:rsid w:val="00CA775E"/>
    <w:rsid w:val="00CA79C4"/>
    <w:rsid w:val="00CB0592"/>
    <w:rsid w:val="00CB16FB"/>
    <w:rsid w:val="00CB24E3"/>
    <w:rsid w:val="00CB4169"/>
    <w:rsid w:val="00CB495C"/>
    <w:rsid w:val="00CB67D7"/>
    <w:rsid w:val="00CC02E3"/>
    <w:rsid w:val="00CC16D0"/>
    <w:rsid w:val="00CC581A"/>
    <w:rsid w:val="00CC7ABF"/>
    <w:rsid w:val="00CD15BD"/>
    <w:rsid w:val="00CD1FF7"/>
    <w:rsid w:val="00CD43F5"/>
    <w:rsid w:val="00CD6C59"/>
    <w:rsid w:val="00CD6D62"/>
    <w:rsid w:val="00CD6F56"/>
    <w:rsid w:val="00CE03E8"/>
    <w:rsid w:val="00CE0966"/>
    <w:rsid w:val="00CE15E0"/>
    <w:rsid w:val="00CE23FA"/>
    <w:rsid w:val="00CE3231"/>
    <w:rsid w:val="00CE3D40"/>
    <w:rsid w:val="00CE4983"/>
    <w:rsid w:val="00CE5B0C"/>
    <w:rsid w:val="00CE71FF"/>
    <w:rsid w:val="00CE7910"/>
    <w:rsid w:val="00CE7DEB"/>
    <w:rsid w:val="00CF103F"/>
    <w:rsid w:val="00CF4220"/>
    <w:rsid w:val="00CF4AA1"/>
    <w:rsid w:val="00CF501A"/>
    <w:rsid w:val="00CF507E"/>
    <w:rsid w:val="00CF61F6"/>
    <w:rsid w:val="00CF7830"/>
    <w:rsid w:val="00CF78BE"/>
    <w:rsid w:val="00D0149D"/>
    <w:rsid w:val="00D01BCD"/>
    <w:rsid w:val="00D0412A"/>
    <w:rsid w:val="00D04294"/>
    <w:rsid w:val="00D05065"/>
    <w:rsid w:val="00D05DE4"/>
    <w:rsid w:val="00D069EA"/>
    <w:rsid w:val="00D06D3D"/>
    <w:rsid w:val="00D0734E"/>
    <w:rsid w:val="00D1100A"/>
    <w:rsid w:val="00D1119F"/>
    <w:rsid w:val="00D116D7"/>
    <w:rsid w:val="00D1230C"/>
    <w:rsid w:val="00D12340"/>
    <w:rsid w:val="00D12B6C"/>
    <w:rsid w:val="00D1620E"/>
    <w:rsid w:val="00D20BCA"/>
    <w:rsid w:val="00D219AA"/>
    <w:rsid w:val="00D22FE7"/>
    <w:rsid w:val="00D27118"/>
    <w:rsid w:val="00D27D95"/>
    <w:rsid w:val="00D31542"/>
    <w:rsid w:val="00D31786"/>
    <w:rsid w:val="00D32CC8"/>
    <w:rsid w:val="00D35A73"/>
    <w:rsid w:val="00D35EC6"/>
    <w:rsid w:val="00D3685E"/>
    <w:rsid w:val="00D37584"/>
    <w:rsid w:val="00D41AD7"/>
    <w:rsid w:val="00D424D8"/>
    <w:rsid w:val="00D42AF2"/>
    <w:rsid w:val="00D43D5A"/>
    <w:rsid w:val="00D441FB"/>
    <w:rsid w:val="00D446CE"/>
    <w:rsid w:val="00D4566E"/>
    <w:rsid w:val="00D459FF"/>
    <w:rsid w:val="00D50A9F"/>
    <w:rsid w:val="00D516BB"/>
    <w:rsid w:val="00D51A32"/>
    <w:rsid w:val="00D51A5D"/>
    <w:rsid w:val="00D557CC"/>
    <w:rsid w:val="00D55D79"/>
    <w:rsid w:val="00D57E74"/>
    <w:rsid w:val="00D64B7F"/>
    <w:rsid w:val="00D64E10"/>
    <w:rsid w:val="00D64E59"/>
    <w:rsid w:val="00D6564F"/>
    <w:rsid w:val="00D70FFF"/>
    <w:rsid w:val="00D738C4"/>
    <w:rsid w:val="00D74908"/>
    <w:rsid w:val="00D76BF4"/>
    <w:rsid w:val="00D76CEE"/>
    <w:rsid w:val="00D80470"/>
    <w:rsid w:val="00D80CC2"/>
    <w:rsid w:val="00D81F64"/>
    <w:rsid w:val="00D828ED"/>
    <w:rsid w:val="00D82C98"/>
    <w:rsid w:val="00D85544"/>
    <w:rsid w:val="00D87457"/>
    <w:rsid w:val="00D909B0"/>
    <w:rsid w:val="00D91191"/>
    <w:rsid w:val="00D91832"/>
    <w:rsid w:val="00D9206C"/>
    <w:rsid w:val="00D92F47"/>
    <w:rsid w:val="00D9384B"/>
    <w:rsid w:val="00D93D23"/>
    <w:rsid w:val="00D93D8A"/>
    <w:rsid w:val="00D944F9"/>
    <w:rsid w:val="00D95353"/>
    <w:rsid w:val="00D96861"/>
    <w:rsid w:val="00D97D27"/>
    <w:rsid w:val="00DA0211"/>
    <w:rsid w:val="00DA1C1A"/>
    <w:rsid w:val="00DA1CE8"/>
    <w:rsid w:val="00DA39A8"/>
    <w:rsid w:val="00DA3F1F"/>
    <w:rsid w:val="00DA61A6"/>
    <w:rsid w:val="00DA6327"/>
    <w:rsid w:val="00DA6750"/>
    <w:rsid w:val="00DA6BFF"/>
    <w:rsid w:val="00DA7967"/>
    <w:rsid w:val="00DA7A31"/>
    <w:rsid w:val="00DB37F0"/>
    <w:rsid w:val="00DB4E92"/>
    <w:rsid w:val="00DC07C6"/>
    <w:rsid w:val="00DC0813"/>
    <w:rsid w:val="00DC1AB9"/>
    <w:rsid w:val="00DC1B58"/>
    <w:rsid w:val="00DC37E6"/>
    <w:rsid w:val="00DC402C"/>
    <w:rsid w:val="00DC6926"/>
    <w:rsid w:val="00DC744A"/>
    <w:rsid w:val="00DD05EF"/>
    <w:rsid w:val="00DD2241"/>
    <w:rsid w:val="00DD3043"/>
    <w:rsid w:val="00DD4F99"/>
    <w:rsid w:val="00DD5160"/>
    <w:rsid w:val="00DD7F99"/>
    <w:rsid w:val="00DE22A8"/>
    <w:rsid w:val="00DE254D"/>
    <w:rsid w:val="00DE4C95"/>
    <w:rsid w:val="00DE69B3"/>
    <w:rsid w:val="00DF04C6"/>
    <w:rsid w:val="00DF1735"/>
    <w:rsid w:val="00DF2CDB"/>
    <w:rsid w:val="00DF2DC5"/>
    <w:rsid w:val="00DF38D0"/>
    <w:rsid w:val="00DF5222"/>
    <w:rsid w:val="00DF74C8"/>
    <w:rsid w:val="00E01B0F"/>
    <w:rsid w:val="00E02A52"/>
    <w:rsid w:val="00E037C3"/>
    <w:rsid w:val="00E03DAB"/>
    <w:rsid w:val="00E0425D"/>
    <w:rsid w:val="00E072D4"/>
    <w:rsid w:val="00E07E92"/>
    <w:rsid w:val="00E101FE"/>
    <w:rsid w:val="00E10F24"/>
    <w:rsid w:val="00E116C4"/>
    <w:rsid w:val="00E119DA"/>
    <w:rsid w:val="00E120E5"/>
    <w:rsid w:val="00E12B98"/>
    <w:rsid w:val="00E1460F"/>
    <w:rsid w:val="00E14BDF"/>
    <w:rsid w:val="00E17B63"/>
    <w:rsid w:val="00E17B87"/>
    <w:rsid w:val="00E2055C"/>
    <w:rsid w:val="00E20AEC"/>
    <w:rsid w:val="00E20F42"/>
    <w:rsid w:val="00E21E5A"/>
    <w:rsid w:val="00E22574"/>
    <w:rsid w:val="00E22A19"/>
    <w:rsid w:val="00E22B37"/>
    <w:rsid w:val="00E23895"/>
    <w:rsid w:val="00E249AC"/>
    <w:rsid w:val="00E24D27"/>
    <w:rsid w:val="00E25668"/>
    <w:rsid w:val="00E25CD2"/>
    <w:rsid w:val="00E26D58"/>
    <w:rsid w:val="00E27CFF"/>
    <w:rsid w:val="00E30186"/>
    <w:rsid w:val="00E34A56"/>
    <w:rsid w:val="00E34D2E"/>
    <w:rsid w:val="00E34E20"/>
    <w:rsid w:val="00E35C85"/>
    <w:rsid w:val="00E36F78"/>
    <w:rsid w:val="00E3788B"/>
    <w:rsid w:val="00E37CE8"/>
    <w:rsid w:val="00E37D31"/>
    <w:rsid w:val="00E40C48"/>
    <w:rsid w:val="00E413C9"/>
    <w:rsid w:val="00E4710E"/>
    <w:rsid w:val="00E47854"/>
    <w:rsid w:val="00E52BCF"/>
    <w:rsid w:val="00E53039"/>
    <w:rsid w:val="00E54E42"/>
    <w:rsid w:val="00E5635A"/>
    <w:rsid w:val="00E56774"/>
    <w:rsid w:val="00E56A3F"/>
    <w:rsid w:val="00E604A0"/>
    <w:rsid w:val="00E6071C"/>
    <w:rsid w:val="00E6342C"/>
    <w:rsid w:val="00E63B74"/>
    <w:rsid w:val="00E6403F"/>
    <w:rsid w:val="00E64A26"/>
    <w:rsid w:val="00E66D09"/>
    <w:rsid w:val="00E70730"/>
    <w:rsid w:val="00E719EA"/>
    <w:rsid w:val="00E71CB1"/>
    <w:rsid w:val="00E73321"/>
    <w:rsid w:val="00E740BA"/>
    <w:rsid w:val="00E74177"/>
    <w:rsid w:val="00E77293"/>
    <w:rsid w:val="00E8237F"/>
    <w:rsid w:val="00E82A34"/>
    <w:rsid w:val="00E82A74"/>
    <w:rsid w:val="00E82D55"/>
    <w:rsid w:val="00E83227"/>
    <w:rsid w:val="00E8578F"/>
    <w:rsid w:val="00E85EEA"/>
    <w:rsid w:val="00E92297"/>
    <w:rsid w:val="00E929F9"/>
    <w:rsid w:val="00E93B9E"/>
    <w:rsid w:val="00E971EE"/>
    <w:rsid w:val="00EA10FC"/>
    <w:rsid w:val="00EA274E"/>
    <w:rsid w:val="00EA33EF"/>
    <w:rsid w:val="00EA399A"/>
    <w:rsid w:val="00EA3C24"/>
    <w:rsid w:val="00EA46B2"/>
    <w:rsid w:val="00EA639F"/>
    <w:rsid w:val="00EA63CD"/>
    <w:rsid w:val="00EA783B"/>
    <w:rsid w:val="00EB19DE"/>
    <w:rsid w:val="00EB1AEF"/>
    <w:rsid w:val="00EB31FA"/>
    <w:rsid w:val="00EB4378"/>
    <w:rsid w:val="00EB4C41"/>
    <w:rsid w:val="00EB7139"/>
    <w:rsid w:val="00EB7E27"/>
    <w:rsid w:val="00EC068B"/>
    <w:rsid w:val="00EC0C29"/>
    <w:rsid w:val="00EC117C"/>
    <w:rsid w:val="00EC505E"/>
    <w:rsid w:val="00EC52AA"/>
    <w:rsid w:val="00EC6080"/>
    <w:rsid w:val="00EC626B"/>
    <w:rsid w:val="00EC68F9"/>
    <w:rsid w:val="00EC7201"/>
    <w:rsid w:val="00ED0CE0"/>
    <w:rsid w:val="00ED0FB7"/>
    <w:rsid w:val="00ED10A0"/>
    <w:rsid w:val="00ED10FE"/>
    <w:rsid w:val="00ED1839"/>
    <w:rsid w:val="00ED1C78"/>
    <w:rsid w:val="00ED36C6"/>
    <w:rsid w:val="00ED64AC"/>
    <w:rsid w:val="00EE0609"/>
    <w:rsid w:val="00EE0678"/>
    <w:rsid w:val="00EE209A"/>
    <w:rsid w:val="00EE2744"/>
    <w:rsid w:val="00EE2DEF"/>
    <w:rsid w:val="00EE31DA"/>
    <w:rsid w:val="00EE36BF"/>
    <w:rsid w:val="00EE3E3E"/>
    <w:rsid w:val="00EF055E"/>
    <w:rsid w:val="00EF0A57"/>
    <w:rsid w:val="00EF190F"/>
    <w:rsid w:val="00EF2DDE"/>
    <w:rsid w:val="00EF3A1E"/>
    <w:rsid w:val="00EF53B5"/>
    <w:rsid w:val="00EF59B5"/>
    <w:rsid w:val="00EF5FFA"/>
    <w:rsid w:val="00F006DC"/>
    <w:rsid w:val="00F02915"/>
    <w:rsid w:val="00F0339C"/>
    <w:rsid w:val="00F047F1"/>
    <w:rsid w:val="00F05D08"/>
    <w:rsid w:val="00F0777B"/>
    <w:rsid w:val="00F07DEC"/>
    <w:rsid w:val="00F10AC0"/>
    <w:rsid w:val="00F11DF7"/>
    <w:rsid w:val="00F12A06"/>
    <w:rsid w:val="00F13089"/>
    <w:rsid w:val="00F136E2"/>
    <w:rsid w:val="00F15A87"/>
    <w:rsid w:val="00F170B4"/>
    <w:rsid w:val="00F22538"/>
    <w:rsid w:val="00F22895"/>
    <w:rsid w:val="00F22951"/>
    <w:rsid w:val="00F22DE9"/>
    <w:rsid w:val="00F2367C"/>
    <w:rsid w:val="00F242FC"/>
    <w:rsid w:val="00F265B0"/>
    <w:rsid w:val="00F27CA5"/>
    <w:rsid w:val="00F31ACE"/>
    <w:rsid w:val="00F3237B"/>
    <w:rsid w:val="00F355A1"/>
    <w:rsid w:val="00F37B58"/>
    <w:rsid w:val="00F41355"/>
    <w:rsid w:val="00F422F2"/>
    <w:rsid w:val="00F42FF5"/>
    <w:rsid w:val="00F4475C"/>
    <w:rsid w:val="00F461ED"/>
    <w:rsid w:val="00F46821"/>
    <w:rsid w:val="00F46862"/>
    <w:rsid w:val="00F50D0D"/>
    <w:rsid w:val="00F5101B"/>
    <w:rsid w:val="00F52894"/>
    <w:rsid w:val="00F52BD2"/>
    <w:rsid w:val="00F52E0B"/>
    <w:rsid w:val="00F52EEC"/>
    <w:rsid w:val="00F5375D"/>
    <w:rsid w:val="00F54C08"/>
    <w:rsid w:val="00F54D39"/>
    <w:rsid w:val="00F55779"/>
    <w:rsid w:val="00F55A73"/>
    <w:rsid w:val="00F56AC5"/>
    <w:rsid w:val="00F57D96"/>
    <w:rsid w:val="00F57E03"/>
    <w:rsid w:val="00F6270E"/>
    <w:rsid w:val="00F62C79"/>
    <w:rsid w:val="00F64C8F"/>
    <w:rsid w:val="00F6507B"/>
    <w:rsid w:val="00F65298"/>
    <w:rsid w:val="00F65AE0"/>
    <w:rsid w:val="00F65DF3"/>
    <w:rsid w:val="00F668D2"/>
    <w:rsid w:val="00F66DC1"/>
    <w:rsid w:val="00F70478"/>
    <w:rsid w:val="00F74A11"/>
    <w:rsid w:val="00F74AC3"/>
    <w:rsid w:val="00F74B64"/>
    <w:rsid w:val="00F74D69"/>
    <w:rsid w:val="00F77914"/>
    <w:rsid w:val="00F80336"/>
    <w:rsid w:val="00F81008"/>
    <w:rsid w:val="00F823C8"/>
    <w:rsid w:val="00F82DC7"/>
    <w:rsid w:val="00F82F05"/>
    <w:rsid w:val="00F82FCE"/>
    <w:rsid w:val="00F84380"/>
    <w:rsid w:val="00F850F9"/>
    <w:rsid w:val="00F871C1"/>
    <w:rsid w:val="00F90891"/>
    <w:rsid w:val="00F90A43"/>
    <w:rsid w:val="00F914A6"/>
    <w:rsid w:val="00F9295D"/>
    <w:rsid w:val="00F92CAC"/>
    <w:rsid w:val="00F93381"/>
    <w:rsid w:val="00F93DB3"/>
    <w:rsid w:val="00F9489D"/>
    <w:rsid w:val="00F956AD"/>
    <w:rsid w:val="00F95ED9"/>
    <w:rsid w:val="00F95F43"/>
    <w:rsid w:val="00F9632B"/>
    <w:rsid w:val="00F96966"/>
    <w:rsid w:val="00F9766A"/>
    <w:rsid w:val="00F97B87"/>
    <w:rsid w:val="00FA0353"/>
    <w:rsid w:val="00FA324A"/>
    <w:rsid w:val="00FA358D"/>
    <w:rsid w:val="00FA42E7"/>
    <w:rsid w:val="00FA63E7"/>
    <w:rsid w:val="00FA7243"/>
    <w:rsid w:val="00FB1077"/>
    <w:rsid w:val="00FB18D3"/>
    <w:rsid w:val="00FB2459"/>
    <w:rsid w:val="00FB479C"/>
    <w:rsid w:val="00FB5810"/>
    <w:rsid w:val="00FB5834"/>
    <w:rsid w:val="00FB60F2"/>
    <w:rsid w:val="00FC0B81"/>
    <w:rsid w:val="00FC2A81"/>
    <w:rsid w:val="00FC44BF"/>
    <w:rsid w:val="00FC6E3D"/>
    <w:rsid w:val="00FC78B3"/>
    <w:rsid w:val="00FC7AD0"/>
    <w:rsid w:val="00FC7F8A"/>
    <w:rsid w:val="00FD2E59"/>
    <w:rsid w:val="00FD3B3D"/>
    <w:rsid w:val="00FD454F"/>
    <w:rsid w:val="00FD79F4"/>
    <w:rsid w:val="00FD7BF6"/>
    <w:rsid w:val="00FD7E67"/>
    <w:rsid w:val="00FE1D22"/>
    <w:rsid w:val="00FE3563"/>
    <w:rsid w:val="00FE4152"/>
    <w:rsid w:val="00FE53BB"/>
    <w:rsid w:val="00FE7145"/>
    <w:rsid w:val="00FE7742"/>
    <w:rsid w:val="00FF1494"/>
    <w:rsid w:val="00FF1D9F"/>
    <w:rsid w:val="00FF42E5"/>
    <w:rsid w:val="00FF5BEA"/>
    <w:rsid w:val="00FF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246E4"/>
  <w15:docId w15:val="{FA7F96C7-7EC2-4408-845E-745B893F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D6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lang w:val="en-US"/>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color w:val="auto"/>
      <w:sz w:val="24"/>
      <w:szCs w:val="24"/>
      <w:lang w:val="en-US"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textAlignment w:val="auto"/>
    </w:pPr>
    <w:rPr>
      <w:rFonts w:eastAsia="Times New Roman"/>
      <w:color w:val="auto"/>
      <w:sz w:val="24"/>
      <w:szCs w:val="24"/>
      <w:lang w:val="en-US"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character" w:customStyle="1" w:styleId="CommentTextChar">
    <w:name w:val="Comment Text Char"/>
    <w:link w:val="CommentText"/>
    <w:rsid w:val="00E27CFF"/>
    <w:rPr>
      <w:color w:val="000000"/>
      <w:lang w:val="en-GB" w:eastAsia="ja-JP"/>
    </w:rPr>
  </w:style>
  <w:style w:type="paragraph" w:styleId="Caption">
    <w:name w:val="caption"/>
    <w:aliases w:val="cap,cap Char,Caption Char,Caption Char1 Char,cap Char Char1,Caption Char Char1 Char,cap Char2,条目"/>
    <w:basedOn w:val="Normal"/>
    <w:next w:val="Normal"/>
    <w:link w:val="CaptionChar1"/>
    <w:uiPriority w:val="99"/>
    <w:unhideWhenUsed/>
    <w:qFormat/>
    <w:rsid w:val="003D4C34"/>
    <w:rPr>
      <w:b/>
      <w:bCs/>
    </w:rPr>
  </w:style>
  <w:style w:type="character" w:customStyle="1" w:styleId="FooterChar">
    <w:name w:val="Footer Char"/>
    <w:link w:val="Footer"/>
    <w:uiPriority w:val="99"/>
    <w:rsid w:val="003D410F"/>
    <w:rPr>
      <w:color w:val="000000"/>
      <w:lang w:val="en-GB" w:eastAsia="ja-JP"/>
    </w:rPr>
  </w:style>
  <w:style w:type="table" w:styleId="TableGrid">
    <w:name w:val="Table Grid"/>
    <w:basedOn w:val="TableNormal"/>
    <w:rsid w:val="00C1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목록 단락,Lista1,列出段落1,中等深浅网格 1 - 着色 21,¥¡¡¡¡ì¬º¥¹¥È¶ÎÂä,ÁÐ³ö¶ÎÂä,列表段落1,—ño’i—Ž,¥ê¥¹¥È¶ÎÂä,1st level - Bullet List Paragraph,Lettre d'introduction,Paragrafo elenco,Normal bullet 2,Bullet list,목록단락,列表段落,列表段落11"/>
    <w:basedOn w:val="Normal"/>
    <w:link w:val="ListParagraphChar"/>
    <w:uiPriority w:val="34"/>
    <w:qFormat/>
    <w:rsid w:val="00562D63"/>
    <w:pPr>
      <w:ind w:left="720"/>
      <w:contextualSpacing/>
    </w:pPr>
    <w:rPr>
      <w:rFonts w:eastAsia="MS Mincho"/>
      <w:color w:val="auto"/>
      <w:lang w:eastAsia="en-US"/>
    </w:rPr>
  </w:style>
  <w:style w:type="character" w:customStyle="1" w:styleId="ng-binding">
    <w:name w:val="ng-binding"/>
    <w:rsid w:val="004E2FD4"/>
  </w:style>
  <w:style w:type="paragraph" w:customStyle="1" w:styleId="a">
    <w:name w:val="插图题注"/>
    <w:basedOn w:val="Normal"/>
    <w:rsid w:val="002E25D7"/>
    <w:pPr>
      <w:overflowPunct/>
      <w:autoSpaceDE/>
      <w:autoSpaceDN/>
      <w:adjustRightInd/>
      <w:textAlignment w:val="auto"/>
    </w:pPr>
    <w:rPr>
      <w:color w:val="auto"/>
      <w:lang w:eastAsia="en-US"/>
    </w:rPr>
  </w:style>
  <w:style w:type="paragraph" w:customStyle="1" w:styleId="a0">
    <w:name w:val="表格题注"/>
    <w:basedOn w:val="Normal"/>
    <w:rsid w:val="002E25D7"/>
    <w:pPr>
      <w:overflowPunct/>
      <w:autoSpaceDE/>
      <w:autoSpaceDN/>
      <w:adjustRightInd/>
      <w:textAlignment w:val="auto"/>
    </w:pPr>
    <w:rPr>
      <w:color w:val="auto"/>
      <w:lang w:eastAsia="en-US"/>
    </w:rPr>
  </w:style>
  <w:style w:type="character" w:styleId="Hyperlink">
    <w:name w:val="Hyperlink"/>
    <w:uiPriority w:val="99"/>
    <w:rsid w:val="000F273C"/>
    <w:rPr>
      <w:color w:val="0000FF"/>
      <w:u w:val="single"/>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CB16FB"/>
    <w:rPr>
      <w:b/>
      <w:bCs/>
      <w:color w:val="000000"/>
      <w:lang w:val="en-GB" w:eastAsia="ja-JP"/>
    </w:rPr>
  </w:style>
  <w:style w:type="character" w:customStyle="1" w:styleId="ListParagraphChar">
    <w:name w:val="List Paragraph Char"/>
    <w:aliases w:val="- Bullets Char,リスト段落 Char,?? ?? Char,????? Char,???? Char,목록 단락 Char,Lista1 Char,列出段落1 Char,中等深浅网格 1 - 着色 21 Char,¥¡¡¡¡ì¬º¥¹¥È¶ÎÂä Char,ÁÐ³ö¶ÎÂä Char,列表段落1 Char,—ño’i—Ž Char,¥ê¥¹¥È¶ÎÂä Char,1st level - Bullet List Paragraph Char"/>
    <w:link w:val="ListParagraph"/>
    <w:uiPriority w:val="34"/>
    <w:qFormat/>
    <w:locked/>
    <w:rsid w:val="00B04887"/>
    <w:rPr>
      <w:rFonts w:eastAsia="MS Mincho"/>
      <w:lang w:val="en-GB"/>
    </w:rPr>
  </w:style>
  <w:style w:type="paragraph" w:customStyle="1" w:styleId="Doc-text2">
    <w:name w:val="Doc-text2"/>
    <w:basedOn w:val="Normal"/>
    <w:link w:val="Doc-text2Char"/>
    <w:qFormat/>
    <w:rsid w:val="00126D97"/>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126D97"/>
    <w:rPr>
      <w:rFonts w:ascii="Arial" w:eastAsia="MS Mincho" w:hAnsi="Arial"/>
      <w:szCs w:val="24"/>
      <w:lang w:val="en-GB" w:eastAsia="en-GB"/>
    </w:rPr>
  </w:style>
  <w:style w:type="character" w:customStyle="1" w:styleId="TALCar">
    <w:name w:val="TAL Car"/>
    <w:qFormat/>
    <w:rsid w:val="00AA4B17"/>
    <w:rPr>
      <w:rFonts w:ascii="Arial" w:hAnsi="Arial"/>
      <w:sz w:val="18"/>
      <w:lang w:val="en-GB" w:eastAsia="en-US"/>
    </w:rPr>
  </w:style>
  <w:style w:type="paragraph" w:customStyle="1" w:styleId="Agreement">
    <w:name w:val="Agreement"/>
    <w:basedOn w:val="Normal"/>
    <w:rsid w:val="00804633"/>
    <w:pPr>
      <w:numPr>
        <w:numId w:val="25"/>
      </w:numPr>
      <w:overflowPunct/>
      <w:autoSpaceDE/>
      <w:autoSpaceDN/>
      <w:adjustRightInd/>
      <w:spacing w:before="60" w:after="0"/>
      <w:textAlignment w:val="auto"/>
    </w:pPr>
    <w:rPr>
      <w:rFonts w:ascii="Arial" w:eastAsiaTheme="minorHAnsi" w:hAnsi="Arial" w:cs="Arial"/>
      <w:b/>
      <w:bCs/>
      <w:color w:val="auto"/>
      <w:lang w:val="en-US" w:eastAsia="en-GB"/>
    </w:rPr>
  </w:style>
  <w:style w:type="character" w:customStyle="1" w:styleId="maintextChar">
    <w:name w:val="main text Char"/>
    <w:basedOn w:val="DefaultParagraphFont"/>
    <w:link w:val="maintext"/>
    <w:locked/>
    <w:rsid w:val="00804633"/>
    <w:rPr>
      <w:rFonts w:ascii="Malgun Gothic" w:eastAsia="Malgun Gothic" w:hAnsi="Malgun Gothic"/>
      <w:lang w:eastAsia="ko-KR"/>
    </w:rPr>
  </w:style>
  <w:style w:type="paragraph" w:customStyle="1" w:styleId="maintext">
    <w:name w:val="main text"/>
    <w:basedOn w:val="Normal"/>
    <w:link w:val="maintextChar"/>
    <w:rsid w:val="00804633"/>
    <w:pPr>
      <w:overflowPunct/>
      <w:autoSpaceDE/>
      <w:autoSpaceDN/>
      <w:adjustRightInd/>
      <w:spacing w:before="60" w:after="60" w:line="288" w:lineRule="auto"/>
      <w:ind w:firstLine="200"/>
      <w:jc w:val="both"/>
      <w:textAlignment w:val="auto"/>
    </w:pPr>
    <w:rPr>
      <w:rFonts w:ascii="Malgun Gothic" w:eastAsia="Malgun Gothic" w:hAnsi="Malgun Gothic"/>
      <w:color w:val="auto"/>
      <w:lang w:val="en-US" w:eastAsia="ko-KR"/>
    </w:rPr>
  </w:style>
  <w:style w:type="character" w:styleId="Strong">
    <w:name w:val="Strong"/>
    <w:basedOn w:val="DefaultParagraphFont"/>
    <w:uiPriority w:val="22"/>
    <w:qFormat/>
    <w:rsid w:val="00804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185">
      <w:bodyDiv w:val="1"/>
      <w:marLeft w:val="0"/>
      <w:marRight w:val="0"/>
      <w:marTop w:val="0"/>
      <w:marBottom w:val="0"/>
      <w:divBdr>
        <w:top w:val="none" w:sz="0" w:space="0" w:color="auto"/>
        <w:left w:val="none" w:sz="0" w:space="0" w:color="auto"/>
        <w:bottom w:val="none" w:sz="0" w:space="0" w:color="auto"/>
        <w:right w:val="none" w:sz="0" w:space="0" w:color="auto"/>
      </w:divBdr>
    </w:div>
    <w:div w:id="69931132">
      <w:bodyDiv w:val="1"/>
      <w:marLeft w:val="0"/>
      <w:marRight w:val="0"/>
      <w:marTop w:val="0"/>
      <w:marBottom w:val="0"/>
      <w:divBdr>
        <w:top w:val="none" w:sz="0" w:space="0" w:color="auto"/>
        <w:left w:val="none" w:sz="0" w:space="0" w:color="auto"/>
        <w:bottom w:val="none" w:sz="0" w:space="0" w:color="auto"/>
        <w:right w:val="none" w:sz="0" w:space="0" w:color="auto"/>
      </w:divBdr>
      <w:divsChild>
        <w:div w:id="1506359987">
          <w:marLeft w:val="1166"/>
          <w:marRight w:val="0"/>
          <w:marTop w:val="86"/>
          <w:marBottom w:val="0"/>
          <w:divBdr>
            <w:top w:val="none" w:sz="0" w:space="0" w:color="auto"/>
            <w:left w:val="none" w:sz="0" w:space="0" w:color="auto"/>
            <w:bottom w:val="none" w:sz="0" w:space="0" w:color="auto"/>
            <w:right w:val="none" w:sz="0" w:space="0" w:color="auto"/>
          </w:divBdr>
        </w:div>
      </w:divsChild>
    </w:div>
    <w:div w:id="101073532">
      <w:bodyDiv w:val="1"/>
      <w:marLeft w:val="0"/>
      <w:marRight w:val="0"/>
      <w:marTop w:val="0"/>
      <w:marBottom w:val="0"/>
      <w:divBdr>
        <w:top w:val="none" w:sz="0" w:space="0" w:color="auto"/>
        <w:left w:val="none" w:sz="0" w:space="0" w:color="auto"/>
        <w:bottom w:val="none" w:sz="0" w:space="0" w:color="auto"/>
        <w:right w:val="none" w:sz="0" w:space="0" w:color="auto"/>
      </w:divBdr>
    </w:div>
    <w:div w:id="102071920">
      <w:bodyDiv w:val="1"/>
      <w:marLeft w:val="0"/>
      <w:marRight w:val="0"/>
      <w:marTop w:val="0"/>
      <w:marBottom w:val="0"/>
      <w:divBdr>
        <w:top w:val="none" w:sz="0" w:space="0" w:color="auto"/>
        <w:left w:val="none" w:sz="0" w:space="0" w:color="auto"/>
        <w:bottom w:val="none" w:sz="0" w:space="0" w:color="auto"/>
        <w:right w:val="none" w:sz="0" w:space="0" w:color="auto"/>
      </w:divBdr>
    </w:div>
    <w:div w:id="173886709">
      <w:bodyDiv w:val="1"/>
      <w:marLeft w:val="0"/>
      <w:marRight w:val="0"/>
      <w:marTop w:val="0"/>
      <w:marBottom w:val="0"/>
      <w:divBdr>
        <w:top w:val="none" w:sz="0" w:space="0" w:color="auto"/>
        <w:left w:val="none" w:sz="0" w:space="0" w:color="auto"/>
        <w:bottom w:val="none" w:sz="0" w:space="0" w:color="auto"/>
        <w:right w:val="none" w:sz="0" w:space="0" w:color="auto"/>
      </w:divBdr>
      <w:divsChild>
        <w:div w:id="711616125">
          <w:marLeft w:val="547"/>
          <w:marRight w:val="0"/>
          <w:marTop w:val="120"/>
          <w:marBottom w:val="0"/>
          <w:divBdr>
            <w:top w:val="none" w:sz="0" w:space="0" w:color="auto"/>
            <w:left w:val="none" w:sz="0" w:space="0" w:color="auto"/>
            <w:bottom w:val="none" w:sz="0" w:space="0" w:color="auto"/>
            <w:right w:val="none" w:sz="0" w:space="0" w:color="auto"/>
          </w:divBdr>
        </w:div>
        <w:div w:id="1739591221">
          <w:marLeft w:val="1166"/>
          <w:marRight w:val="0"/>
          <w:marTop w:val="106"/>
          <w:marBottom w:val="0"/>
          <w:divBdr>
            <w:top w:val="none" w:sz="0" w:space="0" w:color="auto"/>
            <w:left w:val="none" w:sz="0" w:space="0" w:color="auto"/>
            <w:bottom w:val="none" w:sz="0" w:space="0" w:color="auto"/>
            <w:right w:val="none" w:sz="0" w:space="0" w:color="auto"/>
          </w:divBdr>
        </w:div>
        <w:div w:id="690256667">
          <w:marLeft w:val="1166"/>
          <w:marRight w:val="0"/>
          <w:marTop w:val="106"/>
          <w:marBottom w:val="0"/>
          <w:divBdr>
            <w:top w:val="none" w:sz="0" w:space="0" w:color="auto"/>
            <w:left w:val="none" w:sz="0" w:space="0" w:color="auto"/>
            <w:bottom w:val="none" w:sz="0" w:space="0" w:color="auto"/>
            <w:right w:val="none" w:sz="0" w:space="0" w:color="auto"/>
          </w:divBdr>
        </w:div>
        <w:div w:id="848525154">
          <w:marLeft w:val="1800"/>
          <w:marRight w:val="0"/>
          <w:marTop w:val="91"/>
          <w:marBottom w:val="0"/>
          <w:divBdr>
            <w:top w:val="none" w:sz="0" w:space="0" w:color="auto"/>
            <w:left w:val="none" w:sz="0" w:space="0" w:color="auto"/>
            <w:bottom w:val="none" w:sz="0" w:space="0" w:color="auto"/>
            <w:right w:val="none" w:sz="0" w:space="0" w:color="auto"/>
          </w:divBdr>
        </w:div>
      </w:divsChild>
    </w:div>
    <w:div w:id="237902615">
      <w:bodyDiv w:val="1"/>
      <w:marLeft w:val="0"/>
      <w:marRight w:val="0"/>
      <w:marTop w:val="0"/>
      <w:marBottom w:val="0"/>
      <w:divBdr>
        <w:top w:val="none" w:sz="0" w:space="0" w:color="auto"/>
        <w:left w:val="none" w:sz="0" w:space="0" w:color="auto"/>
        <w:bottom w:val="none" w:sz="0" w:space="0" w:color="auto"/>
        <w:right w:val="none" w:sz="0" w:space="0" w:color="auto"/>
      </w:divBdr>
    </w:div>
    <w:div w:id="247615867">
      <w:bodyDiv w:val="1"/>
      <w:marLeft w:val="0"/>
      <w:marRight w:val="0"/>
      <w:marTop w:val="0"/>
      <w:marBottom w:val="0"/>
      <w:divBdr>
        <w:top w:val="none" w:sz="0" w:space="0" w:color="auto"/>
        <w:left w:val="none" w:sz="0" w:space="0" w:color="auto"/>
        <w:bottom w:val="none" w:sz="0" w:space="0" w:color="auto"/>
        <w:right w:val="none" w:sz="0" w:space="0" w:color="auto"/>
      </w:divBdr>
      <w:divsChild>
        <w:div w:id="84621528">
          <w:marLeft w:val="0"/>
          <w:marRight w:val="0"/>
          <w:marTop w:val="0"/>
          <w:marBottom w:val="0"/>
          <w:divBdr>
            <w:top w:val="none" w:sz="0" w:space="0" w:color="auto"/>
            <w:left w:val="none" w:sz="0" w:space="0" w:color="auto"/>
            <w:bottom w:val="single" w:sz="6" w:space="11" w:color="DDDDDD"/>
            <w:right w:val="none" w:sz="0" w:space="0" w:color="auto"/>
          </w:divBdr>
          <w:divsChild>
            <w:div w:id="2006853892">
              <w:marLeft w:val="0"/>
              <w:marRight w:val="0"/>
              <w:marTop w:val="0"/>
              <w:marBottom w:val="0"/>
              <w:divBdr>
                <w:top w:val="none" w:sz="0" w:space="0" w:color="auto"/>
                <w:left w:val="none" w:sz="0" w:space="0" w:color="auto"/>
                <w:bottom w:val="none" w:sz="0" w:space="0" w:color="auto"/>
                <w:right w:val="none" w:sz="0" w:space="0" w:color="auto"/>
              </w:divBdr>
              <w:divsChild>
                <w:div w:id="666442640">
                  <w:marLeft w:val="0"/>
                  <w:marRight w:val="0"/>
                  <w:marTop w:val="0"/>
                  <w:marBottom w:val="0"/>
                  <w:divBdr>
                    <w:top w:val="none" w:sz="0" w:space="0" w:color="auto"/>
                    <w:left w:val="none" w:sz="0" w:space="0" w:color="auto"/>
                    <w:bottom w:val="none" w:sz="0" w:space="0" w:color="auto"/>
                    <w:right w:val="none" w:sz="0" w:space="0" w:color="auto"/>
                  </w:divBdr>
                  <w:divsChild>
                    <w:div w:id="20488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393">
          <w:marLeft w:val="0"/>
          <w:marRight w:val="0"/>
          <w:marTop w:val="0"/>
          <w:marBottom w:val="0"/>
          <w:divBdr>
            <w:top w:val="none" w:sz="0" w:space="0" w:color="auto"/>
            <w:left w:val="none" w:sz="0" w:space="0" w:color="auto"/>
            <w:bottom w:val="none" w:sz="0" w:space="0" w:color="auto"/>
            <w:right w:val="none" w:sz="0" w:space="0" w:color="auto"/>
          </w:divBdr>
          <w:divsChild>
            <w:div w:id="2000191120">
              <w:marLeft w:val="0"/>
              <w:marRight w:val="0"/>
              <w:marTop w:val="0"/>
              <w:marBottom w:val="0"/>
              <w:divBdr>
                <w:top w:val="none" w:sz="0" w:space="0" w:color="auto"/>
                <w:left w:val="none" w:sz="0" w:space="0" w:color="auto"/>
                <w:bottom w:val="none" w:sz="0" w:space="0" w:color="auto"/>
                <w:right w:val="none" w:sz="0" w:space="0" w:color="auto"/>
              </w:divBdr>
              <w:divsChild>
                <w:div w:id="679161796">
                  <w:marLeft w:val="0"/>
                  <w:marRight w:val="0"/>
                  <w:marTop w:val="0"/>
                  <w:marBottom w:val="0"/>
                  <w:divBdr>
                    <w:top w:val="none" w:sz="0" w:space="0" w:color="auto"/>
                    <w:left w:val="none" w:sz="0" w:space="0" w:color="auto"/>
                    <w:bottom w:val="none" w:sz="0" w:space="0" w:color="auto"/>
                    <w:right w:val="none" w:sz="0" w:space="0" w:color="auto"/>
                  </w:divBdr>
                  <w:divsChild>
                    <w:div w:id="1451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21008">
      <w:bodyDiv w:val="1"/>
      <w:marLeft w:val="0"/>
      <w:marRight w:val="0"/>
      <w:marTop w:val="0"/>
      <w:marBottom w:val="0"/>
      <w:divBdr>
        <w:top w:val="none" w:sz="0" w:space="0" w:color="auto"/>
        <w:left w:val="none" w:sz="0" w:space="0" w:color="auto"/>
        <w:bottom w:val="none" w:sz="0" w:space="0" w:color="auto"/>
        <w:right w:val="none" w:sz="0" w:space="0" w:color="auto"/>
      </w:divBdr>
    </w:div>
    <w:div w:id="347948111">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75630572">
      <w:bodyDiv w:val="1"/>
      <w:marLeft w:val="0"/>
      <w:marRight w:val="0"/>
      <w:marTop w:val="0"/>
      <w:marBottom w:val="0"/>
      <w:divBdr>
        <w:top w:val="none" w:sz="0" w:space="0" w:color="auto"/>
        <w:left w:val="none" w:sz="0" w:space="0" w:color="auto"/>
        <w:bottom w:val="none" w:sz="0" w:space="0" w:color="auto"/>
        <w:right w:val="none" w:sz="0" w:space="0" w:color="auto"/>
      </w:divBdr>
      <w:divsChild>
        <w:div w:id="1798259933">
          <w:marLeft w:val="547"/>
          <w:marRight w:val="0"/>
          <w:marTop w:val="120"/>
          <w:marBottom w:val="0"/>
          <w:divBdr>
            <w:top w:val="none" w:sz="0" w:space="0" w:color="auto"/>
            <w:left w:val="none" w:sz="0" w:space="0" w:color="auto"/>
            <w:bottom w:val="none" w:sz="0" w:space="0" w:color="auto"/>
            <w:right w:val="none" w:sz="0" w:space="0" w:color="auto"/>
          </w:divBdr>
        </w:div>
        <w:div w:id="713386200">
          <w:marLeft w:val="1166"/>
          <w:marRight w:val="0"/>
          <w:marTop w:val="106"/>
          <w:marBottom w:val="0"/>
          <w:divBdr>
            <w:top w:val="none" w:sz="0" w:space="0" w:color="auto"/>
            <w:left w:val="none" w:sz="0" w:space="0" w:color="auto"/>
            <w:bottom w:val="none" w:sz="0" w:space="0" w:color="auto"/>
            <w:right w:val="none" w:sz="0" w:space="0" w:color="auto"/>
          </w:divBdr>
        </w:div>
        <w:div w:id="524371571">
          <w:marLeft w:val="1166"/>
          <w:marRight w:val="0"/>
          <w:marTop w:val="106"/>
          <w:marBottom w:val="0"/>
          <w:divBdr>
            <w:top w:val="none" w:sz="0" w:space="0" w:color="auto"/>
            <w:left w:val="none" w:sz="0" w:space="0" w:color="auto"/>
            <w:bottom w:val="none" w:sz="0" w:space="0" w:color="auto"/>
            <w:right w:val="none" w:sz="0" w:space="0" w:color="auto"/>
          </w:divBdr>
        </w:div>
        <w:div w:id="482813705">
          <w:marLeft w:val="1800"/>
          <w:marRight w:val="0"/>
          <w:marTop w:val="91"/>
          <w:marBottom w:val="0"/>
          <w:divBdr>
            <w:top w:val="none" w:sz="0" w:space="0" w:color="auto"/>
            <w:left w:val="none" w:sz="0" w:space="0" w:color="auto"/>
            <w:bottom w:val="none" w:sz="0" w:space="0" w:color="auto"/>
            <w:right w:val="none" w:sz="0" w:space="0" w:color="auto"/>
          </w:divBdr>
        </w:div>
      </w:divsChild>
    </w:div>
    <w:div w:id="634410234">
      <w:bodyDiv w:val="1"/>
      <w:marLeft w:val="0"/>
      <w:marRight w:val="0"/>
      <w:marTop w:val="0"/>
      <w:marBottom w:val="0"/>
      <w:divBdr>
        <w:top w:val="none" w:sz="0" w:space="0" w:color="auto"/>
        <w:left w:val="none" w:sz="0" w:space="0" w:color="auto"/>
        <w:bottom w:val="none" w:sz="0" w:space="0" w:color="auto"/>
        <w:right w:val="none" w:sz="0" w:space="0" w:color="auto"/>
      </w:divBdr>
    </w:div>
    <w:div w:id="674653021">
      <w:bodyDiv w:val="1"/>
      <w:marLeft w:val="0"/>
      <w:marRight w:val="0"/>
      <w:marTop w:val="0"/>
      <w:marBottom w:val="0"/>
      <w:divBdr>
        <w:top w:val="none" w:sz="0" w:space="0" w:color="auto"/>
        <w:left w:val="none" w:sz="0" w:space="0" w:color="auto"/>
        <w:bottom w:val="none" w:sz="0" w:space="0" w:color="auto"/>
        <w:right w:val="none" w:sz="0" w:space="0" w:color="auto"/>
      </w:divBdr>
    </w:div>
    <w:div w:id="729571108">
      <w:bodyDiv w:val="1"/>
      <w:marLeft w:val="0"/>
      <w:marRight w:val="0"/>
      <w:marTop w:val="0"/>
      <w:marBottom w:val="0"/>
      <w:divBdr>
        <w:top w:val="none" w:sz="0" w:space="0" w:color="auto"/>
        <w:left w:val="none" w:sz="0" w:space="0" w:color="auto"/>
        <w:bottom w:val="none" w:sz="0" w:space="0" w:color="auto"/>
        <w:right w:val="none" w:sz="0" w:space="0" w:color="auto"/>
      </w:divBdr>
    </w:div>
    <w:div w:id="836460998">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9362927">
      <w:bodyDiv w:val="1"/>
      <w:marLeft w:val="0"/>
      <w:marRight w:val="0"/>
      <w:marTop w:val="0"/>
      <w:marBottom w:val="0"/>
      <w:divBdr>
        <w:top w:val="none" w:sz="0" w:space="0" w:color="auto"/>
        <w:left w:val="none" w:sz="0" w:space="0" w:color="auto"/>
        <w:bottom w:val="none" w:sz="0" w:space="0" w:color="auto"/>
        <w:right w:val="none" w:sz="0" w:space="0" w:color="auto"/>
      </w:divBdr>
    </w:div>
    <w:div w:id="1037389845">
      <w:bodyDiv w:val="1"/>
      <w:marLeft w:val="0"/>
      <w:marRight w:val="0"/>
      <w:marTop w:val="0"/>
      <w:marBottom w:val="0"/>
      <w:divBdr>
        <w:top w:val="none" w:sz="0" w:space="0" w:color="auto"/>
        <w:left w:val="none" w:sz="0" w:space="0" w:color="auto"/>
        <w:bottom w:val="none" w:sz="0" w:space="0" w:color="auto"/>
        <w:right w:val="none" w:sz="0" w:space="0" w:color="auto"/>
      </w:divBdr>
      <w:divsChild>
        <w:div w:id="1058675822">
          <w:marLeft w:val="547"/>
          <w:marRight w:val="0"/>
          <w:marTop w:val="96"/>
          <w:marBottom w:val="0"/>
          <w:divBdr>
            <w:top w:val="none" w:sz="0" w:space="0" w:color="auto"/>
            <w:left w:val="none" w:sz="0" w:space="0" w:color="auto"/>
            <w:bottom w:val="none" w:sz="0" w:space="0" w:color="auto"/>
            <w:right w:val="none" w:sz="0" w:space="0" w:color="auto"/>
          </w:divBdr>
        </w:div>
        <w:div w:id="226570443">
          <w:marLeft w:val="547"/>
          <w:marRight w:val="0"/>
          <w:marTop w:val="96"/>
          <w:marBottom w:val="0"/>
          <w:divBdr>
            <w:top w:val="none" w:sz="0" w:space="0" w:color="auto"/>
            <w:left w:val="none" w:sz="0" w:space="0" w:color="auto"/>
            <w:bottom w:val="none" w:sz="0" w:space="0" w:color="auto"/>
            <w:right w:val="none" w:sz="0" w:space="0" w:color="auto"/>
          </w:divBdr>
        </w:div>
        <w:div w:id="1855419132">
          <w:marLeft w:val="1166"/>
          <w:marRight w:val="0"/>
          <w:marTop w:val="86"/>
          <w:marBottom w:val="0"/>
          <w:divBdr>
            <w:top w:val="none" w:sz="0" w:space="0" w:color="auto"/>
            <w:left w:val="none" w:sz="0" w:space="0" w:color="auto"/>
            <w:bottom w:val="none" w:sz="0" w:space="0" w:color="auto"/>
            <w:right w:val="none" w:sz="0" w:space="0" w:color="auto"/>
          </w:divBdr>
        </w:div>
        <w:div w:id="1771386315">
          <w:marLeft w:val="1166"/>
          <w:marRight w:val="0"/>
          <w:marTop w:val="86"/>
          <w:marBottom w:val="0"/>
          <w:divBdr>
            <w:top w:val="none" w:sz="0" w:space="0" w:color="auto"/>
            <w:left w:val="none" w:sz="0" w:space="0" w:color="auto"/>
            <w:bottom w:val="none" w:sz="0" w:space="0" w:color="auto"/>
            <w:right w:val="none" w:sz="0" w:space="0" w:color="auto"/>
          </w:divBdr>
        </w:div>
        <w:div w:id="727148704">
          <w:marLeft w:val="1800"/>
          <w:marRight w:val="0"/>
          <w:marTop w:val="67"/>
          <w:marBottom w:val="0"/>
          <w:divBdr>
            <w:top w:val="none" w:sz="0" w:space="0" w:color="auto"/>
            <w:left w:val="none" w:sz="0" w:space="0" w:color="auto"/>
            <w:bottom w:val="none" w:sz="0" w:space="0" w:color="auto"/>
            <w:right w:val="none" w:sz="0" w:space="0" w:color="auto"/>
          </w:divBdr>
        </w:div>
        <w:div w:id="1373309335">
          <w:marLeft w:val="1800"/>
          <w:marRight w:val="0"/>
          <w:marTop w:val="67"/>
          <w:marBottom w:val="0"/>
          <w:divBdr>
            <w:top w:val="none" w:sz="0" w:space="0" w:color="auto"/>
            <w:left w:val="none" w:sz="0" w:space="0" w:color="auto"/>
            <w:bottom w:val="none" w:sz="0" w:space="0" w:color="auto"/>
            <w:right w:val="none" w:sz="0" w:space="0" w:color="auto"/>
          </w:divBdr>
        </w:div>
        <w:div w:id="285089892">
          <w:marLeft w:val="1800"/>
          <w:marRight w:val="0"/>
          <w:marTop w:val="67"/>
          <w:marBottom w:val="0"/>
          <w:divBdr>
            <w:top w:val="none" w:sz="0" w:space="0" w:color="auto"/>
            <w:left w:val="none" w:sz="0" w:space="0" w:color="auto"/>
            <w:bottom w:val="none" w:sz="0" w:space="0" w:color="auto"/>
            <w:right w:val="none" w:sz="0" w:space="0" w:color="auto"/>
          </w:divBdr>
        </w:div>
        <w:div w:id="930624136">
          <w:marLeft w:val="1166"/>
          <w:marRight w:val="0"/>
          <w:marTop w:val="86"/>
          <w:marBottom w:val="0"/>
          <w:divBdr>
            <w:top w:val="none" w:sz="0" w:space="0" w:color="auto"/>
            <w:left w:val="none" w:sz="0" w:space="0" w:color="auto"/>
            <w:bottom w:val="none" w:sz="0" w:space="0" w:color="auto"/>
            <w:right w:val="none" w:sz="0" w:space="0" w:color="auto"/>
          </w:divBdr>
        </w:div>
        <w:div w:id="2100442000">
          <w:marLeft w:val="1166"/>
          <w:marRight w:val="0"/>
          <w:marTop w:val="86"/>
          <w:marBottom w:val="0"/>
          <w:divBdr>
            <w:top w:val="none" w:sz="0" w:space="0" w:color="auto"/>
            <w:left w:val="none" w:sz="0" w:space="0" w:color="auto"/>
            <w:bottom w:val="none" w:sz="0" w:space="0" w:color="auto"/>
            <w:right w:val="none" w:sz="0" w:space="0" w:color="auto"/>
          </w:divBdr>
        </w:div>
        <w:div w:id="1040980396">
          <w:marLeft w:val="1166"/>
          <w:marRight w:val="0"/>
          <w:marTop w:val="86"/>
          <w:marBottom w:val="0"/>
          <w:divBdr>
            <w:top w:val="none" w:sz="0" w:space="0" w:color="auto"/>
            <w:left w:val="none" w:sz="0" w:space="0" w:color="auto"/>
            <w:bottom w:val="none" w:sz="0" w:space="0" w:color="auto"/>
            <w:right w:val="none" w:sz="0" w:space="0" w:color="auto"/>
          </w:divBdr>
        </w:div>
        <w:div w:id="1953319772">
          <w:marLeft w:val="1166"/>
          <w:marRight w:val="0"/>
          <w:marTop w:val="86"/>
          <w:marBottom w:val="0"/>
          <w:divBdr>
            <w:top w:val="none" w:sz="0" w:space="0" w:color="auto"/>
            <w:left w:val="none" w:sz="0" w:space="0" w:color="auto"/>
            <w:bottom w:val="none" w:sz="0" w:space="0" w:color="auto"/>
            <w:right w:val="none" w:sz="0" w:space="0" w:color="auto"/>
          </w:divBdr>
        </w:div>
        <w:div w:id="1236740271">
          <w:marLeft w:val="547"/>
          <w:marRight w:val="0"/>
          <w:marTop w:val="96"/>
          <w:marBottom w:val="0"/>
          <w:divBdr>
            <w:top w:val="none" w:sz="0" w:space="0" w:color="auto"/>
            <w:left w:val="none" w:sz="0" w:space="0" w:color="auto"/>
            <w:bottom w:val="none" w:sz="0" w:space="0" w:color="auto"/>
            <w:right w:val="none" w:sz="0" w:space="0" w:color="auto"/>
          </w:divBdr>
        </w:div>
        <w:div w:id="1117871255">
          <w:marLeft w:val="547"/>
          <w:marRight w:val="0"/>
          <w:marTop w:val="96"/>
          <w:marBottom w:val="0"/>
          <w:divBdr>
            <w:top w:val="none" w:sz="0" w:space="0" w:color="auto"/>
            <w:left w:val="none" w:sz="0" w:space="0" w:color="auto"/>
            <w:bottom w:val="none" w:sz="0" w:space="0" w:color="auto"/>
            <w:right w:val="none" w:sz="0" w:space="0" w:color="auto"/>
          </w:divBdr>
        </w:div>
      </w:divsChild>
    </w:div>
    <w:div w:id="1056128542">
      <w:bodyDiv w:val="1"/>
      <w:marLeft w:val="0"/>
      <w:marRight w:val="0"/>
      <w:marTop w:val="0"/>
      <w:marBottom w:val="0"/>
      <w:divBdr>
        <w:top w:val="none" w:sz="0" w:space="0" w:color="auto"/>
        <w:left w:val="none" w:sz="0" w:space="0" w:color="auto"/>
        <w:bottom w:val="none" w:sz="0" w:space="0" w:color="auto"/>
        <w:right w:val="none" w:sz="0" w:space="0" w:color="auto"/>
      </w:divBdr>
      <w:divsChild>
        <w:div w:id="1640450693">
          <w:marLeft w:val="1080"/>
          <w:marRight w:val="0"/>
          <w:marTop w:val="96"/>
          <w:marBottom w:val="0"/>
          <w:divBdr>
            <w:top w:val="none" w:sz="0" w:space="0" w:color="auto"/>
            <w:left w:val="none" w:sz="0" w:space="0" w:color="auto"/>
            <w:bottom w:val="none" w:sz="0" w:space="0" w:color="auto"/>
            <w:right w:val="none" w:sz="0" w:space="0" w:color="auto"/>
          </w:divBdr>
        </w:div>
        <w:div w:id="1317690615">
          <w:marLeft w:val="1800"/>
          <w:marRight w:val="0"/>
          <w:marTop w:val="86"/>
          <w:marBottom w:val="0"/>
          <w:divBdr>
            <w:top w:val="none" w:sz="0" w:space="0" w:color="auto"/>
            <w:left w:val="none" w:sz="0" w:space="0" w:color="auto"/>
            <w:bottom w:val="none" w:sz="0" w:space="0" w:color="auto"/>
            <w:right w:val="none" w:sz="0" w:space="0" w:color="auto"/>
          </w:divBdr>
        </w:div>
        <w:div w:id="27874000">
          <w:marLeft w:val="1800"/>
          <w:marRight w:val="0"/>
          <w:marTop w:val="86"/>
          <w:marBottom w:val="0"/>
          <w:divBdr>
            <w:top w:val="none" w:sz="0" w:space="0" w:color="auto"/>
            <w:left w:val="none" w:sz="0" w:space="0" w:color="auto"/>
            <w:bottom w:val="none" w:sz="0" w:space="0" w:color="auto"/>
            <w:right w:val="none" w:sz="0" w:space="0" w:color="auto"/>
          </w:divBdr>
        </w:div>
        <w:div w:id="1817600353">
          <w:marLeft w:val="1800"/>
          <w:marRight w:val="0"/>
          <w:marTop w:val="86"/>
          <w:marBottom w:val="0"/>
          <w:divBdr>
            <w:top w:val="none" w:sz="0" w:space="0" w:color="auto"/>
            <w:left w:val="none" w:sz="0" w:space="0" w:color="auto"/>
            <w:bottom w:val="none" w:sz="0" w:space="0" w:color="auto"/>
            <w:right w:val="none" w:sz="0" w:space="0" w:color="auto"/>
          </w:divBdr>
        </w:div>
        <w:div w:id="1794715225">
          <w:marLeft w:val="1800"/>
          <w:marRight w:val="0"/>
          <w:marTop w:val="86"/>
          <w:marBottom w:val="0"/>
          <w:divBdr>
            <w:top w:val="none" w:sz="0" w:space="0" w:color="auto"/>
            <w:left w:val="none" w:sz="0" w:space="0" w:color="auto"/>
            <w:bottom w:val="none" w:sz="0" w:space="0" w:color="auto"/>
            <w:right w:val="none" w:sz="0" w:space="0" w:color="auto"/>
          </w:divBdr>
        </w:div>
        <w:div w:id="268048287">
          <w:marLeft w:val="1800"/>
          <w:marRight w:val="0"/>
          <w:marTop w:val="86"/>
          <w:marBottom w:val="0"/>
          <w:divBdr>
            <w:top w:val="none" w:sz="0" w:space="0" w:color="auto"/>
            <w:left w:val="none" w:sz="0" w:space="0" w:color="auto"/>
            <w:bottom w:val="none" w:sz="0" w:space="0" w:color="auto"/>
            <w:right w:val="none" w:sz="0" w:space="0" w:color="auto"/>
          </w:divBdr>
        </w:div>
      </w:divsChild>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218711833">
      <w:bodyDiv w:val="1"/>
      <w:marLeft w:val="0"/>
      <w:marRight w:val="0"/>
      <w:marTop w:val="0"/>
      <w:marBottom w:val="0"/>
      <w:divBdr>
        <w:top w:val="none" w:sz="0" w:space="0" w:color="auto"/>
        <w:left w:val="none" w:sz="0" w:space="0" w:color="auto"/>
        <w:bottom w:val="none" w:sz="0" w:space="0" w:color="auto"/>
        <w:right w:val="none" w:sz="0" w:space="0" w:color="auto"/>
      </w:divBdr>
    </w:div>
    <w:div w:id="1273515128">
      <w:bodyDiv w:val="1"/>
      <w:marLeft w:val="0"/>
      <w:marRight w:val="0"/>
      <w:marTop w:val="0"/>
      <w:marBottom w:val="0"/>
      <w:divBdr>
        <w:top w:val="none" w:sz="0" w:space="0" w:color="auto"/>
        <w:left w:val="none" w:sz="0" w:space="0" w:color="auto"/>
        <w:bottom w:val="none" w:sz="0" w:space="0" w:color="auto"/>
        <w:right w:val="none" w:sz="0" w:space="0" w:color="auto"/>
      </w:divBdr>
    </w:div>
    <w:div w:id="1278221691">
      <w:bodyDiv w:val="1"/>
      <w:marLeft w:val="0"/>
      <w:marRight w:val="0"/>
      <w:marTop w:val="0"/>
      <w:marBottom w:val="0"/>
      <w:divBdr>
        <w:top w:val="none" w:sz="0" w:space="0" w:color="auto"/>
        <w:left w:val="none" w:sz="0" w:space="0" w:color="auto"/>
        <w:bottom w:val="none" w:sz="0" w:space="0" w:color="auto"/>
        <w:right w:val="none" w:sz="0" w:space="0" w:color="auto"/>
      </w:divBdr>
    </w:div>
    <w:div w:id="1428965674">
      <w:bodyDiv w:val="1"/>
      <w:marLeft w:val="0"/>
      <w:marRight w:val="0"/>
      <w:marTop w:val="0"/>
      <w:marBottom w:val="0"/>
      <w:divBdr>
        <w:top w:val="none" w:sz="0" w:space="0" w:color="auto"/>
        <w:left w:val="none" w:sz="0" w:space="0" w:color="auto"/>
        <w:bottom w:val="none" w:sz="0" w:space="0" w:color="auto"/>
        <w:right w:val="none" w:sz="0" w:space="0" w:color="auto"/>
      </w:divBdr>
    </w:div>
    <w:div w:id="1473599118">
      <w:bodyDiv w:val="1"/>
      <w:marLeft w:val="0"/>
      <w:marRight w:val="0"/>
      <w:marTop w:val="0"/>
      <w:marBottom w:val="0"/>
      <w:divBdr>
        <w:top w:val="none" w:sz="0" w:space="0" w:color="auto"/>
        <w:left w:val="none" w:sz="0" w:space="0" w:color="auto"/>
        <w:bottom w:val="none" w:sz="0" w:space="0" w:color="auto"/>
        <w:right w:val="none" w:sz="0" w:space="0" w:color="auto"/>
      </w:divBdr>
    </w:div>
    <w:div w:id="1671057860">
      <w:bodyDiv w:val="1"/>
      <w:marLeft w:val="0"/>
      <w:marRight w:val="0"/>
      <w:marTop w:val="0"/>
      <w:marBottom w:val="0"/>
      <w:divBdr>
        <w:top w:val="none" w:sz="0" w:space="0" w:color="auto"/>
        <w:left w:val="none" w:sz="0" w:space="0" w:color="auto"/>
        <w:bottom w:val="none" w:sz="0" w:space="0" w:color="auto"/>
        <w:right w:val="none" w:sz="0" w:space="0" w:color="auto"/>
      </w:divBdr>
      <w:divsChild>
        <w:div w:id="1073888312">
          <w:marLeft w:val="547"/>
          <w:marRight w:val="0"/>
          <w:marTop w:val="115"/>
          <w:marBottom w:val="0"/>
          <w:divBdr>
            <w:top w:val="none" w:sz="0" w:space="0" w:color="auto"/>
            <w:left w:val="none" w:sz="0" w:space="0" w:color="auto"/>
            <w:bottom w:val="none" w:sz="0" w:space="0" w:color="auto"/>
            <w:right w:val="none" w:sz="0" w:space="0" w:color="auto"/>
          </w:divBdr>
        </w:div>
        <w:div w:id="146669606">
          <w:marLeft w:val="1080"/>
          <w:marRight w:val="0"/>
          <w:marTop w:val="96"/>
          <w:marBottom w:val="0"/>
          <w:divBdr>
            <w:top w:val="none" w:sz="0" w:space="0" w:color="auto"/>
            <w:left w:val="none" w:sz="0" w:space="0" w:color="auto"/>
            <w:bottom w:val="none" w:sz="0" w:space="0" w:color="auto"/>
            <w:right w:val="none" w:sz="0" w:space="0" w:color="auto"/>
          </w:divBdr>
        </w:div>
        <w:div w:id="1210803751">
          <w:marLeft w:val="1800"/>
          <w:marRight w:val="0"/>
          <w:marTop w:val="86"/>
          <w:marBottom w:val="0"/>
          <w:divBdr>
            <w:top w:val="none" w:sz="0" w:space="0" w:color="auto"/>
            <w:left w:val="none" w:sz="0" w:space="0" w:color="auto"/>
            <w:bottom w:val="none" w:sz="0" w:space="0" w:color="auto"/>
            <w:right w:val="none" w:sz="0" w:space="0" w:color="auto"/>
          </w:divBdr>
        </w:div>
        <w:div w:id="1494450122">
          <w:marLeft w:val="1800"/>
          <w:marRight w:val="0"/>
          <w:marTop w:val="86"/>
          <w:marBottom w:val="0"/>
          <w:divBdr>
            <w:top w:val="none" w:sz="0" w:space="0" w:color="auto"/>
            <w:left w:val="none" w:sz="0" w:space="0" w:color="auto"/>
            <w:bottom w:val="none" w:sz="0" w:space="0" w:color="auto"/>
            <w:right w:val="none" w:sz="0" w:space="0" w:color="auto"/>
          </w:divBdr>
        </w:div>
        <w:div w:id="2075395629">
          <w:marLeft w:val="1800"/>
          <w:marRight w:val="0"/>
          <w:marTop w:val="86"/>
          <w:marBottom w:val="0"/>
          <w:divBdr>
            <w:top w:val="none" w:sz="0" w:space="0" w:color="auto"/>
            <w:left w:val="none" w:sz="0" w:space="0" w:color="auto"/>
            <w:bottom w:val="none" w:sz="0" w:space="0" w:color="auto"/>
            <w:right w:val="none" w:sz="0" w:space="0" w:color="auto"/>
          </w:divBdr>
        </w:div>
        <w:div w:id="1560899752">
          <w:marLeft w:val="1800"/>
          <w:marRight w:val="0"/>
          <w:marTop w:val="86"/>
          <w:marBottom w:val="0"/>
          <w:divBdr>
            <w:top w:val="none" w:sz="0" w:space="0" w:color="auto"/>
            <w:left w:val="none" w:sz="0" w:space="0" w:color="auto"/>
            <w:bottom w:val="none" w:sz="0" w:space="0" w:color="auto"/>
            <w:right w:val="none" w:sz="0" w:space="0" w:color="auto"/>
          </w:divBdr>
        </w:div>
        <w:div w:id="394398562">
          <w:marLeft w:val="1080"/>
          <w:marRight w:val="0"/>
          <w:marTop w:val="96"/>
          <w:marBottom w:val="0"/>
          <w:divBdr>
            <w:top w:val="none" w:sz="0" w:space="0" w:color="auto"/>
            <w:left w:val="none" w:sz="0" w:space="0" w:color="auto"/>
            <w:bottom w:val="none" w:sz="0" w:space="0" w:color="auto"/>
            <w:right w:val="none" w:sz="0" w:space="0" w:color="auto"/>
          </w:divBdr>
        </w:div>
        <w:div w:id="1488742560">
          <w:marLeft w:val="547"/>
          <w:marRight w:val="0"/>
          <w:marTop w:val="115"/>
          <w:marBottom w:val="0"/>
          <w:divBdr>
            <w:top w:val="none" w:sz="0" w:space="0" w:color="auto"/>
            <w:left w:val="none" w:sz="0" w:space="0" w:color="auto"/>
            <w:bottom w:val="none" w:sz="0" w:space="0" w:color="auto"/>
            <w:right w:val="none" w:sz="0" w:space="0" w:color="auto"/>
          </w:divBdr>
        </w:div>
        <w:div w:id="2127769522">
          <w:marLeft w:val="1080"/>
          <w:marRight w:val="0"/>
          <w:marTop w:val="96"/>
          <w:marBottom w:val="0"/>
          <w:divBdr>
            <w:top w:val="none" w:sz="0" w:space="0" w:color="auto"/>
            <w:left w:val="none" w:sz="0" w:space="0" w:color="auto"/>
            <w:bottom w:val="none" w:sz="0" w:space="0" w:color="auto"/>
            <w:right w:val="none" w:sz="0" w:space="0" w:color="auto"/>
          </w:divBdr>
        </w:div>
        <w:div w:id="1166287154">
          <w:marLeft w:val="1800"/>
          <w:marRight w:val="0"/>
          <w:marTop w:val="86"/>
          <w:marBottom w:val="0"/>
          <w:divBdr>
            <w:top w:val="none" w:sz="0" w:space="0" w:color="auto"/>
            <w:left w:val="none" w:sz="0" w:space="0" w:color="auto"/>
            <w:bottom w:val="none" w:sz="0" w:space="0" w:color="auto"/>
            <w:right w:val="none" w:sz="0" w:space="0" w:color="auto"/>
          </w:divBdr>
        </w:div>
        <w:div w:id="632060716">
          <w:marLeft w:val="1800"/>
          <w:marRight w:val="0"/>
          <w:marTop w:val="86"/>
          <w:marBottom w:val="0"/>
          <w:divBdr>
            <w:top w:val="none" w:sz="0" w:space="0" w:color="auto"/>
            <w:left w:val="none" w:sz="0" w:space="0" w:color="auto"/>
            <w:bottom w:val="none" w:sz="0" w:space="0" w:color="auto"/>
            <w:right w:val="none" w:sz="0" w:space="0" w:color="auto"/>
          </w:divBdr>
        </w:div>
        <w:div w:id="1876307766">
          <w:marLeft w:val="1800"/>
          <w:marRight w:val="0"/>
          <w:marTop w:val="86"/>
          <w:marBottom w:val="0"/>
          <w:divBdr>
            <w:top w:val="none" w:sz="0" w:space="0" w:color="auto"/>
            <w:left w:val="none" w:sz="0" w:space="0" w:color="auto"/>
            <w:bottom w:val="none" w:sz="0" w:space="0" w:color="auto"/>
            <w:right w:val="none" w:sz="0" w:space="0" w:color="auto"/>
          </w:divBdr>
        </w:div>
        <w:div w:id="1668635360">
          <w:marLeft w:val="1800"/>
          <w:marRight w:val="0"/>
          <w:marTop w:val="86"/>
          <w:marBottom w:val="0"/>
          <w:divBdr>
            <w:top w:val="none" w:sz="0" w:space="0" w:color="auto"/>
            <w:left w:val="none" w:sz="0" w:space="0" w:color="auto"/>
            <w:bottom w:val="none" w:sz="0" w:space="0" w:color="auto"/>
            <w:right w:val="none" w:sz="0" w:space="0" w:color="auto"/>
          </w:divBdr>
        </w:div>
      </w:divsChild>
    </w:div>
    <w:div w:id="1683438125">
      <w:bodyDiv w:val="1"/>
      <w:marLeft w:val="0"/>
      <w:marRight w:val="0"/>
      <w:marTop w:val="0"/>
      <w:marBottom w:val="0"/>
      <w:divBdr>
        <w:top w:val="none" w:sz="0" w:space="0" w:color="auto"/>
        <w:left w:val="none" w:sz="0" w:space="0" w:color="auto"/>
        <w:bottom w:val="none" w:sz="0" w:space="0" w:color="auto"/>
        <w:right w:val="none" w:sz="0" w:space="0" w:color="auto"/>
      </w:divBdr>
      <w:divsChild>
        <w:div w:id="669647418">
          <w:marLeft w:val="547"/>
          <w:marRight w:val="0"/>
          <w:marTop w:val="115"/>
          <w:marBottom w:val="0"/>
          <w:divBdr>
            <w:top w:val="none" w:sz="0" w:space="0" w:color="auto"/>
            <w:left w:val="none" w:sz="0" w:space="0" w:color="auto"/>
            <w:bottom w:val="none" w:sz="0" w:space="0" w:color="auto"/>
            <w:right w:val="none" w:sz="0" w:space="0" w:color="auto"/>
          </w:divBdr>
        </w:div>
        <w:div w:id="659891055">
          <w:marLeft w:val="1080"/>
          <w:marRight w:val="0"/>
          <w:marTop w:val="96"/>
          <w:marBottom w:val="0"/>
          <w:divBdr>
            <w:top w:val="none" w:sz="0" w:space="0" w:color="auto"/>
            <w:left w:val="none" w:sz="0" w:space="0" w:color="auto"/>
            <w:bottom w:val="none" w:sz="0" w:space="0" w:color="auto"/>
            <w:right w:val="none" w:sz="0" w:space="0" w:color="auto"/>
          </w:divBdr>
        </w:div>
        <w:div w:id="1186478532">
          <w:marLeft w:val="1800"/>
          <w:marRight w:val="0"/>
          <w:marTop w:val="86"/>
          <w:marBottom w:val="0"/>
          <w:divBdr>
            <w:top w:val="none" w:sz="0" w:space="0" w:color="auto"/>
            <w:left w:val="none" w:sz="0" w:space="0" w:color="auto"/>
            <w:bottom w:val="none" w:sz="0" w:space="0" w:color="auto"/>
            <w:right w:val="none" w:sz="0" w:space="0" w:color="auto"/>
          </w:divBdr>
        </w:div>
        <w:div w:id="1578440114">
          <w:marLeft w:val="547"/>
          <w:marRight w:val="0"/>
          <w:marTop w:val="115"/>
          <w:marBottom w:val="0"/>
          <w:divBdr>
            <w:top w:val="none" w:sz="0" w:space="0" w:color="auto"/>
            <w:left w:val="none" w:sz="0" w:space="0" w:color="auto"/>
            <w:bottom w:val="none" w:sz="0" w:space="0" w:color="auto"/>
            <w:right w:val="none" w:sz="0" w:space="0" w:color="auto"/>
          </w:divBdr>
        </w:div>
        <w:div w:id="875626726">
          <w:marLeft w:val="1080"/>
          <w:marRight w:val="0"/>
          <w:marTop w:val="96"/>
          <w:marBottom w:val="0"/>
          <w:divBdr>
            <w:top w:val="none" w:sz="0" w:space="0" w:color="auto"/>
            <w:left w:val="none" w:sz="0" w:space="0" w:color="auto"/>
            <w:bottom w:val="none" w:sz="0" w:space="0" w:color="auto"/>
            <w:right w:val="none" w:sz="0" w:space="0" w:color="auto"/>
          </w:divBdr>
        </w:div>
        <w:div w:id="1655139056">
          <w:marLeft w:val="1800"/>
          <w:marRight w:val="0"/>
          <w:marTop w:val="86"/>
          <w:marBottom w:val="0"/>
          <w:divBdr>
            <w:top w:val="none" w:sz="0" w:space="0" w:color="auto"/>
            <w:left w:val="none" w:sz="0" w:space="0" w:color="auto"/>
            <w:bottom w:val="none" w:sz="0" w:space="0" w:color="auto"/>
            <w:right w:val="none" w:sz="0" w:space="0" w:color="auto"/>
          </w:divBdr>
        </w:div>
        <w:div w:id="449249434">
          <w:marLeft w:val="547"/>
          <w:marRight w:val="0"/>
          <w:marTop w:val="115"/>
          <w:marBottom w:val="0"/>
          <w:divBdr>
            <w:top w:val="none" w:sz="0" w:space="0" w:color="auto"/>
            <w:left w:val="none" w:sz="0" w:space="0" w:color="auto"/>
            <w:bottom w:val="none" w:sz="0" w:space="0" w:color="auto"/>
            <w:right w:val="none" w:sz="0" w:space="0" w:color="auto"/>
          </w:divBdr>
        </w:div>
        <w:div w:id="465508470">
          <w:marLeft w:val="1080"/>
          <w:marRight w:val="0"/>
          <w:marTop w:val="96"/>
          <w:marBottom w:val="0"/>
          <w:divBdr>
            <w:top w:val="none" w:sz="0" w:space="0" w:color="auto"/>
            <w:left w:val="none" w:sz="0" w:space="0" w:color="auto"/>
            <w:bottom w:val="none" w:sz="0" w:space="0" w:color="auto"/>
            <w:right w:val="none" w:sz="0" w:space="0" w:color="auto"/>
          </w:divBdr>
        </w:div>
        <w:div w:id="47191447">
          <w:marLeft w:val="1800"/>
          <w:marRight w:val="0"/>
          <w:marTop w:val="86"/>
          <w:marBottom w:val="0"/>
          <w:divBdr>
            <w:top w:val="none" w:sz="0" w:space="0" w:color="auto"/>
            <w:left w:val="none" w:sz="0" w:space="0" w:color="auto"/>
            <w:bottom w:val="none" w:sz="0" w:space="0" w:color="auto"/>
            <w:right w:val="none" w:sz="0" w:space="0" w:color="auto"/>
          </w:divBdr>
        </w:div>
        <w:div w:id="528957090">
          <w:marLeft w:val="1800"/>
          <w:marRight w:val="0"/>
          <w:marTop w:val="86"/>
          <w:marBottom w:val="0"/>
          <w:divBdr>
            <w:top w:val="none" w:sz="0" w:space="0" w:color="auto"/>
            <w:left w:val="none" w:sz="0" w:space="0" w:color="auto"/>
            <w:bottom w:val="none" w:sz="0" w:space="0" w:color="auto"/>
            <w:right w:val="none" w:sz="0" w:space="0" w:color="auto"/>
          </w:divBdr>
        </w:div>
      </w:divsChild>
    </w:div>
    <w:div w:id="1737557030">
      <w:bodyDiv w:val="1"/>
      <w:marLeft w:val="0"/>
      <w:marRight w:val="0"/>
      <w:marTop w:val="0"/>
      <w:marBottom w:val="0"/>
      <w:divBdr>
        <w:top w:val="none" w:sz="0" w:space="0" w:color="auto"/>
        <w:left w:val="none" w:sz="0" w:space="0" w:color="auto"/>
        <w:bottom w:val="none" w:sz="0" w:space="0" w:color="auto"/>
        <w:right w:val="none" w:sz="0" w:space="0" w:color="auto"/>
      </w:divBdr>
    </w:div>
    <w:div w:id="1741252596">
      <w:bodyDiv w:val="1"/>
      <w:marLeft w:val="0"/>
      <w:marRight w:val="0"/>
      <w:marTop w:val="0"/>
      <w:marBottom w:val="0"/>
      <w:divBdr>
        <w:top w:val="none" w:sz="0" w:space="0" w:color="auto"/>
        <w:left w:val="none" w:sz="0" w:space="0" w:color="auto"/>
        <w:bottom w:val="none" w:sz="0" w:space="0" w:color="auto"/>
        <w:right w:val="none" w:sz="0" w:space="0" w:color="auto"/>
      </w:divBdr>
      <w:divsChild>
        <w:div w:id="453062668">
          <w:marLeft w:val="547"/>
          <w:marRight w:val="0"/>
          <w:marTop w:val="144"/>
          <w:marBottom w:val="0"/>
          <w:divBdr>
            <w:top w:val="none" w:sz="0" w:space="0" w:color="auto"/>
            <w:left w:val="none" w:sz="0" w:space="0" w:color="auto"/>
            <w:bottom w:val="none" w:sz="0" w:space="0" w:color="auto"/>
            <w:right w:val="none" w:sz="0" w:space="0" w:color="auto"/>
          </w:divBdr>
        </w:div>
        <w:div w:id="938834712">
          <w:marLeft w:val="1166"/>
          <w:marRight w:val="0"/>
          <w:marTop w:val="125"/>
          <w:marBottom w:val="0"/>
          <w:divBdr>
            <w:top w:val="none" w:sz="0" w:space="0" w:color="auto"/>
            <w:left w:val="none" w:sz="0" w:space="0" w:color="auto"/>
            <w:bottom w:val="none" w:sz="0" w:space="0" w:color="auto"/>
            <w:right w:val="none" w:sz="0" w:space="0" w:color="auto"/>
          </w:divBdr>
        </w:div>
        <w:div w:id="538712960">
          <w:marLeft w:val="1166"/>
          <w:marRight w:val="0"/>
          <w:marTop w:val="125"/>
          <w:marBottom w:val="0"/>
          <w:divBdr>
            <w:top w:val="none" w:sz="0" w:space="0" w:color="auto"/>
            <w:left w:val="none" w:sz="0" w:space="0" w:color="auto"/>
            <w:bottom w:val="none" w:sz="0" w:space="0" w:color="auto"/>
            <w:right w:val="none" w:sz="0" w:space="0" w:color="auto"/>
          </w:divBdr>
        </w:div>
        <w:div w:id="5327154">
          <w:marLeft w:val="1166"/>
          <w:marRight w:val="0"/>
          <w:marTop w:val="125"/>
          <w:marBottom w:val="0"/>
          <w:divBdr>
            <w:top w:val="none" w:sz="0" w:space="0" w:color="auto"/>
            <w:left w:val="none" w:sz="0" w:space="0" w:color="auto"/>
            <w:bottom w:val="none" w:sz="0" w:space="0" w:color="auto"/>
            <w:right w:val="none" w:sz="0" w:space="0" w:color="auto"/>
          </w:divBdr>
        </w:div>
        <w:div w:id="948321911">
          <w:marLeft w:val="1166"/>
          <w:marRight w:val="0"/>
          <w:marTop w:val="125"/>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14830370">
      <w:bodyDiv w:val="1"/>
      <w:marLeft w:val="0"/>
      <w:marRight w:val="0"/>
      <w:marTop w:val="0"/>
      <w:marBottom w:val="0"/>
      <w:divBdr>
        <w:top w:val="none" w:sz="0" w:space="0" w:color="auto"/>
        <w:left w:val="none" w:sz="0" w:space="0" w:color="auto"/>
        <w:bottom w:val="none" w:sz="0" w:space="0" w:color="auto"/>
        <w:right w:val="none" w:sz="0" w:space="0" w:color="auto"/>
      </w:divBdr>
    </w:div>
    <w:div w:id="184701632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8098101">
      <w:bodyDiv w:val="1"/>
      <w:marLeft w:val="0"/>
      <w:marRight w:val="0"/>
      <w:marTop w:val="0"/>
      <w:marBottom w:val="0"/>
      <w:divBdr>
        <w:top w:val="none" w:sz="0" w:space="0" w:color="auto"/>
        <w:left w:val="none" w:sz="0" w:space="0" w:color="auto"/>
        <w:bottom w:val="none" w:sz="0" w:space="0" w:color="auto"/>
        <w:right w:val="none" w:sz="0" w:space="0" w:color="auto"/>
      </w:divBdr>
    </w:div>
    <w:div w:id="1965766138">
      <w:bodyDiv w:val="1"/>
      <w:marLeft w:val="0"/>
      <w:marRight w:val="0"/>
      <w:marTop w:val="0"/>
      <w:marBottom w:val="0"/>
      <w:divBdr>
        <w:top w:val="none" w:sz="0" w:space="0" w:color="auto"/>
        <w:left w:val="none" w:sz="0" w:space="0" w:color="auto"/>
        <w:bottom w:val="none" w:sz="0" w:space="0" w:color="auto"/>
        <w:right w:val="none" w:sz="0" w:space="0" w:color="auto"/>
      </w:divBdr>
    </w:div>
    <w:div w:id="1991859065">
      <w:bodyDiv w:val="1"/>
      <w:marLeft w:val="0"/>
      <w:marRight w:val="0"/>
      <w:marTop w:val="0"/>
      <w:marBottom w:val="0"/>
      <w:divBdr>
        <w:top w:val="none" w:sz="0" w:space="0" w:color="auto"/>
        <w:left w:val="none" w:sz="0" w:space="0" w:color="auto"/>
        <w:bottom w:val="none" w:sz="0" w:space="0" w:color="auto"/>
        <w:right w:val="none" w:sz="0" w:space="0" w:color="auto"/>
      </w:divBdr>
      <w:divsChild>
        <w:div w:id="1470249968">
          <w:marLeft w:val="360"/>
          <w:marRight w:val="0"/>
          <w:marTop w:val="200"/>
          <w:marBottom w:val="0"/>
          <w:divBdr>
            <w:top w:val="none" w:sz="0" w:space="0" w:color="auto"/>
            <w:left w:val="none" w:sz="0" w:space="0" w:color="auto"/>
            <w:bottom w:val="none" w:sz="0" w:space="0" w:color="auto"/>
            <w:right w:val="none" w:sz="0" w:space="0" w:color="auto"/>
          </w:divBdr>
        </w:div>
      </w:divsChild>
    </w:div>
    <w:div w:id="2040817692">
      <w:bodyDiv w:val="1"/>
      <w:marLeft w:val="0"/>
      <w:marRight w:val="0"/>
      <w:marTop w:val="0"/>
      <w:marBottom w:val="0"/>
      <w:divBdr>
        <w:top w:val="none" w:sz="0" w:space="0" w:color="auto"/>
        <w:left w:val="none" w:sz="0" w:space="0" w:color="auto"/>
        <w:bottom w:val="none" w:sz="0" w:space="0" w:color="auto"/>
        <w:right w:val="none" w:sz="0" w:space="0" w:color="auto"/>
      </w:divBdr>
      <w:divsChild>
        <w:div w:id="585773796">
          <w:marLeft w:val="547"/>
          <w:marRight w:val="0"/>
          <w:marTop w:val="144"/>
          <w:marBottom w:val="0"/>
          <w:divBdr>
            <w:top w:val="none" w:sz="0" w:space="0" w:color="auto"/>
            <w:left w:val="none" w:sz="0" w:space="0" w:color="auto"/>
            <w:bottom w:val="none" w:sz="0" w:space="0" w:color="auto"/>
            <w:right w:val="none" w:sz="0" w:space="0" w:color="auto"/>
          </w:divBdr>
        </w:div>
        <w:div w:id="301232862">
          <w:marLeft w:val="1166"/>
          <w:marRight w:val="0"/>
          <w:marTop w:val="125"/>
          <w:marBottom w:val="0"/>
          <w:divBdr>
            <w:top w:val="none" w:sz="0" w:space="0" w:color="auto"/>
            <w:left w:val="none" w:sz="0" w:space="0" w:color="auto"/>
            <w:bottom w:val="none" w:sz="0" w:space="0" w:color="auto"/>
            <w:right w:val="none" w:sz="0" w:space="0" w:color="auto"/>
          </w:divBdr>
        </w:div>
        <w:div w:id="1350182699">
          <w:marLeft w:val="1166"/>
          <w:marRight w:val="0"/>
          <w:marTop w:val="125"/>
          <w:marBottom w:val="0"/>
          <w:divBdr>
            <w:top w:val="none" w:sz="0" w:space="0" w:color="auto"/>
            <w:left w:val="none" w:sz="0" w:space="0" w:color="auto"/>
            <w:bottom w:val="none" w:sz="0" w:space="0" w:color="auto"/>
            <w:right w:val="none" w:sz="0" w:space="0" w:color="auto"/>
          </w:divBdr>
        </w:div>
        <w:div w:id="685407838">
          <w:marLeft w:val="1166"/>
          <w:marRight w:val="0"/>
          <w:marTop w:val="125"/>
          <w:marBottom w:val="0"/>
          <w:divBdr>
            <w:top w:val="none" w:sz="0" w:space="0" w:color="auto"/>
            <w:left w:val="none" w:sz="0" w:space="0" w:color="auto"/>
            <w:bottom w:val="none" w:sz="0" w:space="0" w:color="auto"/>
            <w:right w:val="none" w:sz="0" w:space="0" w:color="auto"/>
          </w:divBdr>
        </w:div>
        <w:div w:id="1933467284">
          <w:marLeft w:val="1166"/>
          <w:marRight w:val="0"/>
          <w:marTop w:val="125"/>
          <w:marBottom w:val="0"/>
          <w:divBdr>
            <w:top w:val="none" w:sz="0" w:space="0" w:color="auto"/>
            <w:left w:val="none" w:sz="0" w:space="0" w:color="auto"/>
            <w:bottom w:val="none" w:sz="0" w:space="0" w:color="auto"/>
            <w:right w:val="none" w:sz="0" w:space="0" w:color="auto"/>
          </w:divBdr>
        </w:div>
      </w:divsChild>
    </w:div>
    <w:div w:id="2052916494">
      <w:bodyDiv w:val="1"/>
      <w:marLeft w:val="0"/>
      <w:marRight w:val="0"/>
      <w:marTop w:val="0"/>
      <w:marBottom w:val="0"/>
      <w:divBdr>
        <w:top w:val="none" w:sz="0" w:space="0" w:color="auto"/>
        <w:left w:val="none" w:sz="0" w:space="0" w:color="auto"/>
        <w:bottom w:val="none" w:sz="0" w:space="0" w:color="auto"/>
        <w:right w:val="none" w:sz="0" w:space="0" w:color="auto"/>
      </w:divBdr>
      <w:divsChild>
        <w:div w:id="1957250712">
          <w:marLeft w:val="547"/>
          <w:marRight w:val="0"/>
          <w:marTop w:val="115"/>
          <w:marBottom w:val="0"/>
          <w:divBdr>
            <w:top w:val="none" w:sz="0" w:space="0" w:color="auto"/>
            <w:left w:val="none" w:sz="0" w:space="0" w:color="auto"/>
            <w:bottom w:val="none" w:sz="0" w:space="0" w:color="auto"/>
            <w:right w:val="none" w:sz="0" w:space="0" w:color="auto"/>
          </w:divBdr>
        </w:div>
        <w:div w:id="832179798">
          <w:marLeft w:val="1080"/>
          <w:marRight w:val="0"/>
          <w:marTop w:val="96"/>
          <w:marBottom w:val="0"/>
          <w:divBdr>
            <w:top w:val="none" w:sz="0" w:space="0" w:color="auto"/>
            <w:left w:val="none" w:sz="0" w:space="0" w:color="auto"/>
            <w:bottom w:val="none" w:sz="0" w:space="0" w:color="auto"/>
            <w:right w:val="none" w:sz="0" w:space="0" w:color="auto"/>
          </w:divBdr>
        </w:div>
        <w:div w:id="1119102825">
          <w:marLeft w:val="1800"/>
          <w:marRight w:val="0"/>
          <w:marTop w:val="86"/>
          <w:marBottom w:val="0"/>
          <w:divBdr>
            <w:top w:val="none" w:sz="0" w:space="0" w:color="auto"/>
            <w:left w:val="none" w:sz="0" w:space="0" w:color="auto"/>
            <w:bottom w:val="none" w:sz="0" w:space="0" w:color="auto"/>
            <w:right w:val="none" w:sz="0" w:space="0" w:color="auto"/>
          </w:divBdr>
        </w:div>
        <w:div w:id="773787564">
          <w:marLeft w:val="1800"/>
          <w:marRight w:val="0"/>
          <w:marTop w:val="86"/>
          <w:marBottom w:val="0"/>
          <w:divBdr>
            <w:top w:val="none" w:sz="0" w:space="0" w:color="auto"/>
            <w:left w:val="none" w:sz="0" w:space="0" w:color="auto"/>
            <w:bottom w:val="none" w:sz="0" w:space="0" w:color="auto"/>
            <w:right w:val="none" w:sz="0" w:space="0" w:color="auto"/>
          </w:divBdr>
        </w:div>
        <w:div w:id="138815541">
          <w:marLeft w:val="1800"/>
          <w:marRight w:val="0"/>
          <w:marTop w:val="86"/>
          <w:marBottom w:val="0"/>
          <w:divBdr>
            <w:top w:val="none" w:sz="0" w:space="0" w:color="auto"/>
            <w:left w:val="none" w:sz="0" w:space="0" w:color="auto"/>
            <w:bottom w:val="none" w:sz="0" w:space="0" w:color="auto"/>
            <w:right w:val="none" w:sz="0" w:space="0" w:color="auto"/>
          </w:divBdr>
        </w:div>
        <w:div w:id="124011286">
          <w:marLeft w:val="1800"/>
          <w:marRight w:val="0"/>
          <w:marTop w:val="86"/>
          <w:marBottom w:val="0"/>
          <w:divBdr>
            <w:top w:val="none" w:sz="0" w:space="0" w:color="auto"/>
            <w:left w:val="none" w:sz="0" w:space="0" w:color="auto"/>
            <w:bottom w:val="none" w:sz="0" w:space="0" w:color="auto"/>
            <w:right w:val="none" w:sz="0" w:space="0" w:color="auto"/>
          </w:divBdr>
        </w:div>
        <w:div w:id="1313370555">
          <w:marLeft w:val="1080"/>
          <w:marRight w:val="0"/>
          <w:marTop w:val="96"/>
          <w:marBottom w:val="0"/>
          <w:divBdr>
            <w:top w:val="none" w:sz="0" w:space="0" w:color="auto"/>
            <w:left w:val="none" w:sz="0" w:space="0" w:color="auto"/>
            <w:bottom w:val="none" w:sz="0" w:space="0" w:color="auto"/>
            <w:right w:val="none" w:sz="0" w:space="0" w:color="auto"/>
          </w:divBdr>
        </w:div>
        <w:div w:id="306908705">
          <w:marLeft w:val="547"/>
          <w:marRight w:val="0"/>
          <w:marTop w:val="115"/>
          <w:marBottom w:val="0"/>
          <w:divBdr>
            <w:top w:val="none" w:sz="0" w:space="0" w:color="auto"/>
            <w:left w:val="none" w:sz="0" w:space="0" w:color="auto"/>
            <w:bottom w:val="none" w:sz="0" w:space="0" w:color="auto"/>
            <w:right w:val="none" w:sz="0" w:space="0" w:color="auto"/>
          </w:divBdr>
        </w:div>
        <w:div w:id="460273900">
          <w:marLeft w:val="1080"/>
          <w:marRight w:val="0"/>
          <w:marTop w:val="96"/>
          <w:marBottom w:val="0"/>
          <w:divBdr>
            <w:top w:val="none" w:sz="0" w:space="0" w:color="auto"/>
            <w:left w:val="none" w:sz="0" w:space="0" w:color="auto"/>
            <w:bottom w:val="none" w:sz="0" w:space="0" w:color="auto"/>
            <w:right w:val="none" w:sz="0" w:space="0" w:color="auto"/>
          </w:divBdr>
        </w:div>
        <w:div w:id="26176495">
          <w:marLeft w:val="1800"/>
          <w:marRight w:val="0"/>
          <w:marTop w:val="86"/>
          <w:marBottom w:val="0"/>
          <w:divBdr>
            <w:top w:val="none" w:sz="0" w:space="0" w:color="auto"/>
            <w:left w:val="none" w:sz="0" w:space="0" w:color="auto"/>
            <w:bottom w:val="none" w:sz="0" w:space="0" w:color="auto"/>
            <w:right w:val="none" w:sz="0" w:space="0" w:color="auto"/>
          </w:divBdr>
        </w:div>
        <w:div w:id="1722168889">
          <w:marLeft w:val="1800"/>
          <w:marRight w:val="0"/>
          <w:marTop w:val="86"/>
          <w:marBottom w:val="0"/>
          <w:divBdr>
            <w:top w:val="none" w:sz="0" w:space="0" w:color="auto"/>
            <w:left w:val="none" w:sz="0" w:space="0" w:color="auto"/>
            <w:bottom w:val="none" w:sz="0" w:space="0" w:color="auto"/>
            <w:right w:val="none" w:sz="0" w:space="0" w:color="auto"/>
          </w:divBdr>
        </w:div>
        <w:div w:id="1423793344">
          <w:marLeft w:val="1800"/>
          <w:marRight w:val="0"/>
          <w:marTop w:val="86"/>
          <w:marBottom w:val="0"/>
          <w:divBdr>
            <w:top w:val="none" w:sz="0" w:space="0" w:color="auto"/>
            <w:left w:val="none" w:sz="0" w:space="0" w:color="auto"/>
            <w:bottom w:val="none" w:sz="0" w:space="0" w:color="auto"/>
            <w:right w:val="none" w:sz="0" w:space="0" w:color="auto"/>
          </w:divBdr>
        </w:div>
        <w:div w:id="1865711077">
          <w:marLeft w:val="180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HR33RHYHUWRF-4-5841</_dlc_DocId>
    <_dlc_DocIdUrl xmlns="c06861ca-3f08-4d07-bff7-bb15bac121f4">
      <Url>https://projects.qualcomm.com/sites/pentari/_layouts/15/DocIdRedir.aspx?ID=HR33RHYHUWRF-4-5841</Url>
      <Description>HR33RHYHUWRF-4-5841</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F19-D18E-4506-AEE2-404A3B0D2449}">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89CF7EE8-F7E7-4464-B3E4-4D3AD71B0380}">
  <ds:schemaRefs>
    <ds:schemaRef ds:uri="http://schemas.microsoft.com/office/2006/metadata/longProperties"/>
  </ds:schemaRefs>
</ds:datastoreItem>
</file>

<file path=customXml/itemProps3.xml><?xml version="1.0" encoding="utf-8"?>
<ds:datastoreItem xmlns:ds="http://schemas.openxmlformats.org/officeDocument/2006/customXml" ds:itemID="{C20CC1D5-A47A-464C-90CA-60735D964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D6BD1-64DE-4CC2-A872-51438F45D565}">
  <ds:schemaRefs>
    <ds:schemaRef ds:uri="http://schemas.microsoft.com/sharepoint/v3/contenttype/forms"/>
  </ds:schemaRefs>
</ds:datastoreItem>
</file>

<file path=customXml/itemProps5.xml><?xml version="1.0" encoding="utf-8"?>
<ds:datastoreItem xmlns:ds="http://schemas.openxmlformats.org/officeDocument/2006/customXml" ds:itemID="{FF401776-6ECB-4143-91DF-EA0C5BCF50D3}">
  <ds:schemaRefs>
    <ds:schemaRef ds:uri="http://schemas.microsoft.com/sharepoint/events"/>
  </ds:schemaRefs>
</ds:datastoreItem>
</file>

<file path=customXml/itemProps6.xml><?xml version="1.0" encoding="utf-8"?>
<ds:datastoreItem xmlns:ds="http://schemas.openxmlformats.org/officeDocument/2006/customXml" ds:itemID="{0A269BEB-D5D5-42D5-9FF6-DCA3B988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2144</Words>
  <Characters>12227</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ETSI/MCC</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Template: M Pope</dc:creator>
  <cp:lastModifiedBy>CHANDER, SHARAT S</cp:lastModifiedBy>
  <cp:revision>9</cp:revision>
  <cp:lastPrinted>2003-09-26T18:29:00Z</cp:lastPrinted>
  <dcterms:created xsi:type="dcterms:W3CDTF">2020-06-30T14:15:00Z</dcterms:created>
  <dcterms:modified xsi:type="dcterms:W3CDTF">2020-06-30T14:58:00Z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HR33RHYHUWRF-4-5680</vt:lpwstr>
  </property>
  <property fmtid="{D5CDD505-2E9C-101B-9397-08002B2CF9AE}" pid="4" name="_dlc_DocIdItemGuid">
    <vt:lpwstr>3caa4457-a991-444f-a67b-b149fbc53d4a</vt:lpwstr>
  </property>
  <property fmtid="{D5CDD505-2E9C-101B-9397-08002B2CF9AE}" pid="5" name="_dlc_DocIdUrl">
    <vt:lpwstr>https://projects.qualcomm.com/sites/pentari/_layouts/15/DocIdRedir.aspx?ID=HR33RHYHUWRF-4-5680, HR33RHYHUWRF-4-5680</vt:lpwstr>
  </property>
  <property fmtid="{D5CDD505-2E9C-101B-9397-08002B2CF9AE}" pid="6" name="EmailTo">
    <vt:lpwstr/>
  </property>
  <property fmtid="{D5CDD505-2E9C-101B-9397-08002B2CF9AE}" pid="7" name="EmailHeaders">
    <vt:lpwstr/>
  </property>
  <property fmtid="{D5CDD505-2E9C-101B-9397-08002B2CF9AE}" pid="8" name="IconOverlay">
    <vt:lpwstr/>
  </property>
  <property fmtid="{D5CDD505-2E9C-101B-9397-08002B2CF9AE}" pid="9" name="EmailSender">
    <vt:lpwstr/>
  </property>
  <property fmtid="{D5CDD505-2E9C-101B-9397-08002B2CF9AE}" pid="10" name="EmailFrom">
    <vt:lpwstr/>
  </property>
  <property fmtid="{D5CDD505-2E9C-101B-9397-08002B2CF9AE}" pid="11" name="EmailSubject">
    <vt:lpwstr/>
  </property>
  <property fmtid="{D5CDD505-2E9C-101B-9397-08002B2CF9AE}" pid="12" name="EmailCc">
    <vt:lpwstr/>
  </property>
  <property fmtid="{D5CDD505-2E9C-101B-9397-08002B2CF9AE}" pid="13" name="ContentTypeId">
    <vt:lpwstr>0x010100BC29BFD66497B943AA3B102F0C7B1355</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1567673807</vt:lpwstr>
  </property>
  <property fmtid="{D5CDD505-2E9C-101B-9397-08002B2CF9AE}" pid="18" name="MSIP_Label_0359f705-2ba0-454b-9cfc-6ce5bcaac040_Enabled">
    <vt:lpwstr>True</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Owner">
    <vt:lpwstr>tim.frost@vodafone.com</vt:lpwstr>
  </property>
  <property fmtid="{D5CDD505-2E9C-101B-9397-08002B2CF9AE}" pid="21" name="MSIP_Label_0359f705-2ba0-454b-9cfc-6ce5bcaac040_SetDate">
    <vt:lpwstr>2019-09-05T12:31:14.7976383Z</vt:lpwstr>
  </property>
  <property fmtid="{D5CDD505-2E9C-101B-9397-08002B2CF9AE}" pid="22" name="MSIP_Label_0359f705-2ba0-454b-9cfc-6ce5bcaac040_Name">
    <vt:lpwstr>C2 General</vt:lpwstr>
  </property>
  <property fmtid="{D5CDD505-2E9C-101B-9397-08002B2CF9AE}" pid="23" name="MSIP_Label_0359f705-2ba0-454b-9cfc-6ce5bcaac040_Application">
    <vt:lpwstr>Microsoft Azure Information Protection</vt:lpwstr>
  </property>
  <property fmtid="{D5CDD505-2E9C-101B-9397-08002B2CF9AE}" pid="24" name="MSIP_Label_0359f705-2ba0-454b-9cfc-6ce5bcaac040_Extended_MSFT_Method">
    <vt:lpwstr>Automatic</vt:lpwstr>
  </property>
  <property fmtid="{D5CDD505-2E9C-101B-9397-08002B2CF9AE}" pid="25" name="Sensitivity">
    <vt:lpwstr>C2 General</vt:lpwstr>
  </property>
</Properties>
</file>