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D445A" w14:textId="77777777" w:rsidR="00E73D96" w:rsidRDefault="00947C92">
      <w:pPr>
        <w:spacing w:after="0"/>
        <w:ind w:left="1988" w:hanging="1988"/>
        <w:jc w:val="both"/>
        <w:rPr>
          <w:rFonts w:ascii="Arial" w:hAnsi="Arial" w:cs="Arial"/>
          <w:b/>
          <w:sz w:val="24"/>
          <w:lang w:val="en-GB"/>
        </w:rPr>
      </w:pPr>
      <w:r>
        <w:rPr>
          <w:rFonts w:ascii="Arial" w:hAnsi="Arial" w:cs="Arial"/>
          <w:b/>
          <w:sz w:val="24"/>
          <w:lang w:val="en-GB"/>
        </w:rPr>
        <w:t xml:space="preserve">3GPP TSG RAN Meeting </w:t>
      </w:r>
      <w:sdt>
        <w:sdtPr>
          <w:rPr>
            <w:rFonts w:ascii="Arial" w:hAnsi="Arial" w:cs="Arial"/>
            <w:b/>
            <w:sz w:val="24"/>
            <w:lang w:val="en-GB"/>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lang w:val="en-GB"/>
            </w:rPr>
            <w:t>#8</w:t>
          </w:r>
          <w:r>
            <w:rPr>
              <w:rFonts w:ascii="Arial" w:hAnsi="Arial" w:cs="Arial" w:hint="eastAsia"/>
              <w:b/>
              <w:sz w:val="24"/>
              <w:lang w:val="en-GB" w:eastAsia="zh-CN"/>
            </w:rPr>
            <w:t>3</w:t>
          </w:r>
        </w:sdtContent>
      </w:sdt>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sdt>
        <w:sdtPr>
          <w:rPr>
            <w:rFonts w:ascii="Arial" w:hAnsi="Arial" w:cs="Arial"/>
            <w:b/>
            <w:sz w:val="24"/>
            <w:lang w:val="en-GB"/>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lang w:val="en-GB"/>
            </w:rPr>
            <w:t>RP-1</w:t>
          </w:r>
          <w:r>
            <w:rPr>
              <w:rFonts w:ascii="Arial" w:hAnsi="Arial" w:cs="Arial" w:hint="eastAsia"/>
              <w:b/>
              <w:sz w:val="24"/>
              <w:lang w:val="en-GB" w:eastAsia="zh-CN"/>
            </w:rPr>
            <w:t>90216</w:t>
          </w:r>
        </w:sdtContent>
      </w:sdt>
    </w:p>
    <w:sdt>
      <w:sdtPr>
        <w:rPr>
          <w:rFonts w:ascii="Arial" w:hAnsi="Arial" w:cs="Arial"/>
          <w:b/>
          <w:sz w:val="24"/>
          <w:lang w:val="en-GB"/>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4A421AF" w14:textId="7996429C" w:rsidR="00E73D96" w:rsidRDefault="00947C92">
          <w:pPr>
            <w:spacing w:after="0"/>
            <w:ind w:left="1988" w:hanging="1988"/>
            <w:jc w:val="both"/>
            <w:rPr>
              <w:rFonts w:ascii="Arial" w:hAnsi="Arial" w:cs="Arial"/>
              <w:b/>
              <w:sz w:val="24"/>
              <w:lang w:val="en-GB"/>
            </w:rPr>
          </w:pPr>
          <w:r>
            <w:rPr>
              <w:rFonts w:ascii="Arial" w:hAnsi="Arial" w:cs="Arial" w:hint="eastAsia"/>
              <w:b/>
              <w:sz w:val="24"/>
              <w:lang w:val="en-GB" w:eastAsia="zh-CN"/>
            </w:rPr>
            <w:t>Shenzhen</w:t>
          </w:r>
          <w:r>
            <w:rPr>
              <w:rFonts w:ascii="Arial" w:hAnsi="Arial" w:cs="Arial"/>
              <w:b/>
              <w:sz w:val="24"/>
              <w:lang w:val="en-GB"/>
            </w:rPr>
            <w:t xml:space="preserve">, </w:t>
          </w:r>
          <w:r>
            <w:rPr>
              <w:rFonts w:ascii="Arial" w:hAnsi="Arial" w:cs="Arial" w:hint="eastAsia"/>
              <w:b/>
              <w:sz w:val="24"/>
              <w:lang w:val="en-GB" w:eastAsia="zh-CN"/>
            </w:rPr>
            <w:t>China</w:t>
          </w:r>
          <w:r>
            <w:rPr>
              <w:rFonts w:ascii="Arial" w:hAnsi="Arial" w:cs="Arial"/>
              <w:b/>
              <w:sz w:val="24"/>
              <w:lang w:val="en-GB"/>
            </w:rPr>
            <w:t xml:space="preserve">, </w:t>
          </w:r>
          <w:r>
            <w:rPr>
              <w:rFonts w:ascii="Arial" w:hAnsi="Arial" w:cs="Arial" w:hint="eastAsia"/>
              <w:b/>
              <w:sz w:val="24"/>
              <w:lang w:val="en-GB" w:eastAsia="zh-CN"/>
            </w:rPr>
            <w:t>March</w:t>
          </w:r>
          <w:r>
            <w:rPr>
              <w:rFonts w:ascii="Arial" w:hAnsi="Arial" w:cs="Arial"/>
              <w:b/>
              <w:sz w:val="24"/>
              <w:lang w:val="en-GB"/>
            </w:rPr>
            <w:t xml:space="preserve"> 1</w:t>
          </w:r>
          <w:r>
            <w:rPr>
              <w:rFonts w:ascii="Arial" w:hAnsi="Arial" w:cs="Arial" w:hint="eastAsia"/>
              <w:b/>
              <w:sz w:val="24"/>
              <w:lang w:val="en-GB" w:eastAsia="zh-CN"/>
            </w:rPr>
            <w:t>8</w:t>
          </w:r>
          <w:r>
            <w:rPr>
              <w:rFonts w:ascii="Arial" w:hAnsi="Arial" w:cs="Arial"/>
              <w:b/>
              <w:sz w:val="24"/>
              <w:lang w:val="en-GB"/>
            </w:rPr>
            <w:t xml:space="preserve"> - </w:t>
          </w:r>
          <w:r>
            <w:rPr>
              <w:rFonts w:ascii="Arial" w:hAnsi="Arial" w:cs="Arial" w:hint="eastAsia"/>
              <w:b/>
              <w:sz w:val="24"/>
              <w:lang w:val="en-GB" w:eastAsia="zh-CN"/>
            </w:rPr>
            <w:t>21</w:t>
          </w:r>
          <w:r>
            <w:rPr>
              <w:rFonts w:ascii="Arial" w:hAnsi="Arial" w:cs="Arial"/>
              <w:b/>
              <w:sz w:val="24"/>
              <w:lang w:val="en-GB"/>
            </w:rPr>
            <w:t>, 201</w:t>
          </w:r>
          <w:r>
            <w:rPr>
              <w:rFonts w:ascii="Arial" w:hAnsi="Arial" w:cs="Arial" w:hint="eastAsia"/>
              <w:b/>
              <w:sz w:val="24"/>
              <w:lang w:val="en-GB" w:eastAsia="zh-CN"/>
            </w:rPr>
            <w:t>9</w:t>
          </w:r>
        </w:p>
      </w:sdtContent>
    </w:sdt>
    <w:p w14:paraId="07AD337C" w14:textId="77777777" w:rsidR="00E73D96" w:rsidRDefault="00E73D96">
      <w:pPr>
        <w:spacing w:after="0"/>
        <w:ind w:left="1988" w:hanging="1988"/>
        <w:jc w:val="both"/>
        <w:rPr>
          <w:rFonts w:ascii="Arial" w:hAnsi="Arial" w:cs="Arial"/>
          <w:b/>
          <w:sz w:val="24"/>
          <w:lang w:val="en-GB"/>
        </w:rPr>
      </w:pPr>
    </w:p>
    <w:p w14:paraId="1A9CC7A8" w14:textId="6BC0BBCB" w:rsidR="00E73D96" w:rsidRDefault="00947C92">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r w:rsidR="003D0B63">
        <w:rPr>
          <w:rFonts w:ascii="Arial" w:hAnsi="Arial" w:cs="Arial"/>
          <w:b/>
          <w:sz w:val="24"/>
          <w:lang w:val="en-GB" w:eastAsia="zh-CN"/>
        </w:rPr>
        <w:t>, Sanechips</w:t>
      </w:r>
      <w:r>
        <w:rPr>
          <w:rFonts w:ascii="Arial" w:hAnsi="Arial" w:cs="Arial"/>
          <w:b/>
          <w:sz w:val="24"/>
          <w:lang w:val="en-GB"/>
        </w:rPr>
        <w:t xml:space="preserve"> </w:t>
      </w:r>
    </w:p>
    <w:p w14:paraId="0BA446EF" w14:textId="77777777" w:rsidR="00E73D96" w:rsidRDefault="00947C92">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b/>
            <w:sz w:val="24"/>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lang w:val="en-GB" w:eastAsia="zh-CN"/>
            </w:rPr>
            <w:t>Discussion on working scope of V2X</w:t>
          </w:r>
        </w:sdtContent>
      </w:sdt>
    </w:p>
    <w:p w14:paraId="3841FC91" w14:textId="77777777" w:rsidR="00E73D96" w:rsidRDefault="00947C92">
      <w:pPr>
        <w:spacing w:after="0"/>
        <w:ind w:left="1988" w:hanging="1988"/>
        <w:jc w:val="both"/>
        <w:rPr>
          <w:rFonts w:ascii="Arial" w:hAnsi="Arial" w:cs="Arial"/>
          <w:b/>
          <w:sz w:val="24"/>
          <w:lang w:val="en-GB"/>
        </w:rPr>
      </w:pPr>
      <w:r>
        <w:rPr>
          <w:rFonts w:ascii="Arial" w:hAnsi="Arial" w:cs="Arial"/>
          <w:b/>
          <w:sz w:val="24"/>
          <w:lang w:val="en-GB"/>
        </w:rPr>
        <w:t>Agenda item:</w:t>
      </w:r>
      <w:r>
        <w:rPr>
          <w:rFonts w:ascii="Arial" w:hAnsi="Arial" w:cs="Arial"/>
          <w:b/>
          <w:sz w:val="24"/>
          <w:lang w:val="en-GB"/>
        </w:rPr>
        <w:tab/>
        <w:t>9.3.</w:t>
      </w:r>
      <w:r>
        <w:rPr>
          <w:rFonts w:ascii="Arial" w:hAnsi="Arial" w:cs="Arial" w:hint="eastAsia"/>
          <w:b/>
          <w:sz w:val="24"/>
          <w:lang w:val="en-GB" w:eastAsia="zh-CN"/>
        </w:rPr>
        <w:t>4</w:t>
      </w:r>
    </w:p>
    <w:p w14:paraId="568313ED" w14:textId="07F0C742" w:rsidR="00E73D96" w:rsidRDefault="00947C92">
      <w:pPr>
        <w:spacing w:after="0"/>
        <w:ind w:left="1988" w:hanging="1988"/>
        <w:jc w:val="both"/>
        <w:rPr>
          <w:rFonts w:ascii="Arial" w:hAnsi="Arial" w:cs="Arial"/>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b/>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4375F2">
            <w:rPr>
              <w:rFonts w:ascii="Arial" w:hAnsi="Arial" w:cs="Arial"/>
              <w:b/>
              <w:sz w:val="24"/>
              <w:lang w:val="en-GB"/>
            </w:rPr>
            <w:t>Discussion</w:t>
          </w:r>
        </w:sdtContent>
      </w:sdt>
    </w:p>
    <w:p w14:paraId="7DA04F59" w14:textId="77777777" w:rsidR="00E73D96" w:rsidRDefault="00E73D96">
      <w:pPr>
        <w:spacing w:after="0"/>
        <w:ind w:left="2388" w:hangingChars="995" w:hanging="2388"/>
        <w:jc w:val="both"/>
        <w:rPr>
          <w:sz w:val="24"/>
          <w:lang w:val="en-GB"/>
        </w:rPr>
      </w:pPr>
    </w:p>
    <w:p w14:paraId="0A110AE3" w14:textId="77777777" w:rsidR="00E73D96" w:rsidRDefault="00947C92">
      <w:pPr>
        <w:pStyle w:val="Heading1"/>
        <w:numPr>
          <w:ilvl w:val="0"/>
          <w:numId w:val="3"/>
        </w:numPr>
        <w:ind w:left="360"/>
        <w:rPr>
          <w:rFonts w:cs="Arial"/>
          <w:sz w:val="32"/>
          <w:szCs w:val="32"/>
        </w:rPr>
      </w:pPr>
      <w:r>
        <w:rPr>
          <w:rFonts w:cs="Arial"/>
          <w:sz w:val="32"/>
          <w:szCs w:val="32"/>
        </w:rPr>
        <w:t>Introduction</w:t>
      </w:r>
    </w:p>
    <w:p w14:paraId="4ADB5C30" w14:textId="0771FC0E" w:rsidR="00E73D96" w:rsidRDefault="00947C92">
      <w:pPr>
        <w:overflowPunct/>
        <w:autoSpaceDE/>
        <w:autoSpaceDN/>
        <w:adjustRightInd/>
        <w:spacing w:after="0"/>
        <w:textAlignment w:val="auto"/>
        <w:rPr>
          <w:sz w:val="22"/>
          <w:szCs w:val="22"/>
          <w:lang w:val="en-GB" w:eastAsia="zh-CN"/>
        </w:rPr>
      </w:pPr>
      <w:r>
        <w:rPr>
          <w:sz w:val="22"/>
          <w:szCs w:val="22"/>
          <w:lang w:val="en-GB" w:eastAsia="zh-CN"/>
        </w:rPr>
        <w:t xml:space="preserve">The completion of NR V2X study item </w:t>
      </w:r>
      <w:r>
        <w:rPr>
          <w:sz w:val="22"/>
          <w:szCs w:val="22"/>
          <w:lang w:val="en-GB" w:eastAsia="zh-CN"/>
        </w:rPr>
        <w:fldChar w:fldCharType="begin"/>
      </w:r>
      <w:r>
        <w:rPr>
          <w:sz w:val="22"/>
          <w:szCs w:val="22"/>
          <w:lang w:val="en-GB" w:eastAsia="zh-CN"/>
        </w:rPr>
        <w:instrText xml:space="preserve"> REF _Ref2950810 \r \h </w:instrText>
      </w:r>
      <w:r>
        <w:rPr>
          <w:sz w:val="22"/>
          <w:szCs w:val="22"/>
          <w:lang w:val="en-GB" w:eastAsia="zh-CN"/>
        </w:rPr>
      </w:r>
      <w:r>
        <w:rPr>
          <w:sz w:val="22"/>
          <w:szCs w:val="22"/>
          <w:lang w:val="en-GB" w:eastAsia="zh-CN"/>
        </w:rPr>
        <w:fldChar w:fldCharType="separate"/>
      </w:r>
      <w:r>
        <w:rPr>
          <w:sz w:val="22"/>
          <w:szCs w:val="22"/>
          <w:lang w:val="en-GB" w:eastAsia="zh-CN"/>
        </w:rPr>
        <w:t>[1]</w:t>
      </w:r>
      <w:r>
        <w:rPr>
          <w:sz w:val="22"/>
          <w:szCs w:val="22"/>
          <w:lang w:val="en-GB" w:eastAsia="zh-CN"/>
        </w:rPr>
        <w:fldChar w:fldCharType="end"/>
      </w:r>
      <w:r>
        <w:rPr>
          <w:sz w:val="22"/>
          <w:szCs w:val="22"/>
          <w:lang w:val="en-GB" w:eastAsia="zh-CN"/>
        </w:rPr>
        <w:t xml:space="preserve"> is expected to be approved in RAN #83</w:t>
      </w:r>
      <w:r>
        <w:rPr>
          <w:rFonts w:hint="eastAsia"/>
          <w:sz w:val="22"/>
          <w:szCs w:val="22"/>
          <w:lang w:val="en-GB" w:eastAsia="zh-CN"/>
        </w:rPr>
        <w:t>,</w:t>
      </w:r>
      <w:r>
        <w:rPr>
          <w:sz w:val="22"/>
          <w:szCs w:val="22"/>
          <w:lang w:val="en-GB" w:eastAsia="zh-CN"/>
        </w:rPr>
        <w:t xml:space="preserve"> followed by a starting of normative work item, for which the time units are already allo</w:t>
      </w:r>
      <w:r w:rsidR="006071F1">
        <w:rPr>
          <w:sz w:val="22"/>
          <w:szCs w:val="22"/>
          <w:lang w:val="en-GB" w:eastAsia="zh-CN"/>
        </w:rPr>
        <w:t>cated. Given the</w:t>
      </w:r>
      <w:r>
        <w:rPr>
          <w:sz w:val="22"/>
          <w:szCs w:val="22"/>
          <w:lang w:val="en-GB" w:eastAsia="zh-CN"/>
        </w:rPr>
        <w:t xml:space="preserve"> work load for work item and available TUs, concerns are raised against the relatively large WI scope. This paper shows our views on potential narrow-down of WI scoping. In addition, the paper discusses several issues left from wo</w:t>
      </w:r>
      <w:r w:rsidR="006071F1">
        <w:rPr>
          <w:sz w:val="22"/>
          <w:szCs w:val="22"/>
          <w:lang w:val="en-GB" w:eastAsia="zh-CN"/>
        </w:rPr>
        <w:t>rking group studies</w:t>
      </w:r>
      <w:r>
        <w:rPr>
          <w:sz w:val="22"/>
          <w:szCs w:val="22"/>
          <w:lang w:val="en-GB" w:eastAsia="zh-CN"/>
        </w:rPr>
        <w:t xml:space="preserve"> in SI phase.    </w:t>
      </w:r>
    </w:p>
    <w:p w14:paraId="5C6C8057" w14:textId="04BF4DEA" w:rsidR="00E73D96" w:rsidRDefault="00832D3C">
      <w:pPr>
        <w:pStyle w:val="Heading1"/>
        <w:numPr>
          <w:ilvl w:val="0"/>
          <w:numId w:val="3"/>
        </w:numPr>
        <w:ind w:left="360"/>
        <w:rPr>
          <w:rFonts w:cs="Arial"/>
          <w:sz w:val="32"/>
          <w:szCs w:val="32"/>
        </w:rPr>
      </w:pPr>
      <w:r>
        <w:rPr>
          <w:rFonts w:cs="Arial"/>
          <w:sz w:val="32"/>
          <w:szCs w:val="32"/>
        </w:rPr>
        <w:t>V2X WI</w:t>
      </w:r>
      <w:r w:rsidR="00947C92">
        <w:rPr>
          <w:rFonts w:cs="Arial"/>
          <w:sz w:val="32"/>
          <w:szCs w:val="32"/>
        </w:rPr>
        <w:t xml:space="preserve"> scope</w:t>
      </w:r>
    </w:p>
    <w:p w14:paraId="498480D1" w14:textId="5FD47BAB" w:rsidR="00E73D96" w:rsidRDefault="00947C92" w:rsidP="004375F2">
      <w:pPr>
        <w:spacing w:before="120" w:after="120"/>
        <w:rPr>
          <w:sz w:val="22"/>
          <w:szCs w:val="22"/>
          <w:lang w:val="en-GB"/>
        </w:rPr>
      </w:pPr>
      <w:r>
        <w:rPr>
          <w:sz w:val="22"/>
          <w:szCs w:val="22"/>
          <w:lang w:val="en-GB"/>
        </w:rPr>
        <w:t xml:space="preserve">It is commonly recognized that the NR V2X study item has a quite large scope. For example, the RAN1 study not only starts </w:t>
      </w:r>
      <w:r w:rsidR="00484048">
        <w:rPr>
          <w:sz w:val="22"/>
          <w:szCs w:val="22"/>
          <w:lang w:val="en-GB"/>
        </w:rPr>
        <w:t>with the conventional</w:t>
      </w:r>
      <w:r>
        <w:rPr>
          <w:sz w:val="22"/>
          <w:szCs w:val="22"/>
          <w:lang w:val="en-GB"/>
        </w:rPr>
        <w:t xml:space="preserve"> </w:t>
      </w:r>
      <w:r w:rsidR="00484048">
        <w:rPr>
          <w:sz w:val="22"/>
          <w:szCs w:val="22"/>
          <w:lang w:val="en-GB"/>
        </w:rPr>
        <w:t xml:space="preserve">and basic </w:t>
      </w:r>
      <w:r>
        <w:rPr>
          <w:sz w:val="22"/>
          <w:szCs w:val="22"/>
          <w:lang w:val="en-GB"/>
        </w:rPr>
        <w:t>wireless communication elements, such as waveform, numerology, synchronization signals, control channel, data channel with HARQ support and etc</w:t>
      </w:r>
      <w:r w:rsidR="00630CFC">
        <w:rPr>
          <w:sz w:val="22"/>
          <w:szCs w:val="22"/>
          <w:lang w:val="en-GB"/>
        </w:rPr>
        <w:t>.</w:t>
      </w:r>
      <w:r>
        <w:rPr>
          <w:sz w:val="22"/>
          <w:szCs w:val="22"/>
          <w:lang w:val="en-GB"/>
        </w:rPr>
        <w:t>, b</w:t>
      </w:r>
      <w:r w:rsidR="00B031C5">
        <w:rPr>
          <w:sz w:val="22"/>
          <w:szCs w:val="22"/>
          <w:lang w:val="en-GB"/>
        </w:rPr>
        <w:t xml:space="preserve">ut also includes the </w:t>
      </w:r>
      <w:r>
        <w:rPr>
          <w:sz w:val="22"/>
          <w:szCs w:val="22"/>
          <w:lang w:val="en-GB"/>
        </w:rPr>
        <w:t xml:space="preserve">features such </w:t>
      </w:r>
      <w:r w:rsidRPr="00832D3C">
        <w:rPr>
          <w:sz w:val="22"/>
          <w:szCs w:val="22"/>
          <w:lang w:val="en-GB"/>
        </w:rPr>
        <w:t>as NR Uu controlling NR sidelink, cross</w:t>
      </w:r>
      <w:r>
        <w:rPr>
          <w:sz w:val="22"/>
          <w:szCs w:val="22"/>
          <w:lang w:val="en-GB"/>
        </w:rPr>
        <w:t xml:space="preserve">-RAT Uu controlling sidelink (i.e., NR Uu controlling LTE sidelink and LTE Uu controlling NR sidelink) and in-device NR-LTE sidelink coexistence. The mixed coexistence of unicast, groupcast and broadcast from both network perspective and UE perspective makes the NR sidelink fundamentally fresh comparing to existing NR Uu link and LTE sidelink.  In order to cover such a large range of features and functionalities, RAN1 took extraordinarily big efforts throughout the study item phase. </w:t>
      </w:r>
      <w:r w:rsidR="004375F2">
        <w:rPr>
          <w:sz w:val="22"/>
          <w:szCs w:val="22"/>
          <w:lang w:val="en-GB"/>
        </w:rPr>
        <w:fldChar w:fldCharType="begin"/>
      </w:r>
      <w:r w:rsidR="004375F2">
        <w:rPr>
          <w:sz w:val="22"/>
          <w:szCs w:val="22"/>
          <w:lang w:val="en-GB"/>
        </w:rPr>
        <w:instrText xml:space="preserve"> REF _Ref3035127 \h </w:instrText>
      </w:r>
      <w:r w:rsidR="004375F2">
        <w:rPr>
          <w:sz w:val="22"/>
          <w:szCs w:val="22"/>
          <w:lang w:val="en-GB"/>
        </w:rPr>
      </w:r>
      <w:r w:rsidR="004375F2">
        <w:rPr>
          <w:sz w:val="22"/>
          <w:szCs w:val="22"/>
          <w:lang w:val="en-GB"/>
        </w:rPr>
        <w:fldChar w:fldCharType="separate"/>
      </w:r>
      <w:r w:rsidR="004375F2" w:rsidRPr="004375F2">
        <w:rPr>
          <w:sz w:val="22"/>
          <w:szCs w:val="22"/>
        </w:rPr>
        <w:t xml:space="preserve">Table </w:t>
      </w:r>
      <w:r w:rsidR="004375F2">
        <w:rPr>
          <w:noProof/>
          <w:sz w:val="22"/>
          <w:szCs w:val="22"/>
        </w:rPr>
        <w:t>1</w:t>
      </w:r>
      <w:r w:rsidR="004375F2">
        <w:rPr>
          <w:sz w:val="22"/>
          <w:szCs w:val="22"/>
          <w:lang w:val="en-GB"/>
        </w:rPr>
        <w:fldChar w:fldCharType="end"/>
      </w:r>
      <w:r>
        <w:rPr>
          <w:sz w:val="22"/>
          <w:szCs w:val="22"/>
          <w:lang w:val="en-GB"/>
        </w:rPr>
        <w:t xml:space="preserve"> shows the </w:t>
      </w:r>
      <w:r w:rsidR="006071F1">
        <w:rPr>
          <w:sz w:val="22"/>
          <w:szCs w:val="22"/>
          <w:lang w:val="en-GB"/>
        </w:rPr>
        <w:t>records</w:t>
      </w:r>
      <w:r>
        <w:rPr>
          <w:sz w:val="22"/>
          <w:szCs w:val="22"/>
          <w:lang w:val="en-GB"/>
        </w:rPr>
        <w:t xml:space="preserve"> of RAN1 contribution weights and the consumed RAN1 discussion time on V2X. It </w:t>
      </w:r>
      <w:r w:rsidR="00484048">
        <w:rPr>
          <w:sz w:val="22"/>
          <w:szCs w:val="22"/>
          <w:lang w:val="en-GB"/>
        </w:rPr>
        <w:t>can be seen</w:t>
      </w:r>
      <w:r>
        <w:rPr>
          <w:sz w:val="22"/>
          <w:szCs w:val="22"/>
          <w:lang w:val="en-GB"/>
        </w:rPr>
        <w:t xml:space="preserve"> that </w:t>
      </w:r>
    </w:p>
    <w:p w14:paraId="0F450C64" w14:textId="7F3D6237" w:rsidR="00E73D96" w:rsidRDefault="00947C92" w:rsidP="004375F2">
      <w:pPr>
        <w:pStyle w:val="ListParagraph"/>
        <w:numPr>
          <w:ilvl w:val="0"/>
          <w:numId w:val="4"/>
        </w:numPr>
        <w:spacing w:before="120" w:after="120"/>
        <w:rPr>
          <w:rFonts w:ascii="Times New Roman" w:hAnsi="Times New Roman"/>
          <w:lang w:val="en-GB"/>
        </w:rPr>
      </w:pPr>
      <w:r>
        <w:rPr>
          <w:rFonts w:ascii="Times New Roman" w:hAnsi="Times New Roman"/>
          <w:lang w:val="en-GB"/>
        </w:rPr>
        <w:t>The number of V2X contributions stays on the top in RAN1 throughout the SI phase</w:t>
      </w:r>
      <w:r w:rsidR="00484048">
        <w:rPr>
          <w:rFonts w:ascii="Times New Roman" w:hAnsi="Times New Roman"/>
          <w:lang w:val="en-GB"/>
        </w:rPr>
        <w:t xml:space="preserve">, comparing to other </w:t>
      </w:r>
      <w:r w:rsidR="006071F1">
        <w:rPr>
          <w:rFonts w:ascii="Times New Roman" w:hAnsi="Times New Roman"/>
          <w:lang w:val="en-GB"/>
        </w:rPr>
        <w:t>parallel</w:t>
      </w:r>
      <w:r w:rsidR="00484048">
        <w:rPr>
          <w:rFonts w:ascii="Times New Roman" w:hAnsi="Times New Roman"/>
          <w:lang w:val="en-GB"/>
        </w:rPr>
        <w:t xml:space="preserve"> SI/WI</w:t>
      </w:r>
      <w:r w:rsidR="006071F1">
        <w:rPr>
          <w:rFonts w:ascii="Times New Roman" w:hAnsi="Times New Roman"/>
          <w:lang w:val="en-GB"/>
        </w:rPr>
        <w:t>’s</w:t>
      </w:r>
      <w:r>
        <w:rPr>
          <w:rFonts w:ascii="Times New Roman" w:hAnsi="Times New Roman"/>
          <w:lang w:val="en-GB"/>
        </w:rPr>
        <w:t xml:space="preserve">. </w:t>
      </w:r>
    </w:p>
    <w:p w14:paraId="66F90548" w14:textId="4ACE457E" w:rsidR="00E73D96" w:rsidRDefault="00947C92" w:rsidP="004375F2">
      <w:pPr>
        <w:pStyle w:val="ListParagraph"/>
        <w:numPr>
          <w:ilvl w:val="0"/>
          <w:numId w:val="4"/>
        </w:numPr>
        <w:spacing w:before="120" w:after="120"/>
        <w:rPr>
          <w:rFonts w:ascii="Times New Roman" w:hAnsi="Times New Roman"/>
          <w:lang w:val="en-GB"/>
        </w:rPr>
      </w:pPr>
      <w:r>
        <w:rPr>
          <w:rFonts w:ascii="Times New Roman" w:hAnsi="Times New Roman"/>
          <w:lang w:val="en-GB"/>
        </w:rPr>
        <w:t xml:space="preserve">RAN1 runs about 26 hours in </w:t>
      </w:r>
      <w:r w:rsidR="00484048">
        <w:rPr>
          <w:rFonts w:ascii="Times New Roman" w:hAnsi="Times New Roman"/>
          <w:lang w:val="en-GB"/>
        </w:rPr>
        <w:t>each recent meeting</w:t>
      </w:r>
      <w:r>
        <w:rPr>
          <w:rFonts w:ascii="Times New Roman" w:hAnsi="Times New Roman"/>
          <w:lang w:val="en-GB"/>
        </w:rPr>
        <w:t xml:space="preserve"> for V2X online/offline discussions, close to its full capacity </w:t>
      </w:r>
      <w:r w:rsidR="00484048">
        <w:rPr>
          <w:rFonts w:ascii="Times New Roman" w:hAnsi="Times New Roman"/>
          <w:lang w:val="en-GB"/>
        </w:rPr>
        <w:t xml:space="preserve">per meeting week </w:t>
      </w:r>
      <w:r>
        <w:rPr>
          <w:rFonts w:ascii="Times New Roman" w:hAnsi="Times New Roman"/>
          <w:lang w:val="en-GB"/>
        </w:rPr>
        <w:t xml:space="preserve">for a single SI/WI.        </w:t>
      </w:r>
    </w:p>
    <w:tbl>
      <w:tblPr>
        <w:tblStyle w:val="TableGrid"/>
        <w:tblW w:w="9493" w:type="dxa"/>
        <w:jc w:val="center"/>
        <w:tblLayout w:type="fixed"/>
        <w:tblLook w:val="04A0" w:firstRow="1" w:lastRow="0" w:firstColumn="1" w:lastColumn="0" w:noHBand="0" w:noVBand="1"/>
      </w:tblPr>
      <w:tblGrid>
        <w:gridCol w:w="696"/>
        <w:gridCol w:w="2516"/>
        <w:gridCol w:w="1271"/>
        <w:gridCol w:w="1385"/>
        <w:gridCol w:w="1271"/>
        <w:gridCol w:w="1352"/>
        <w:gridCol w:w="1002"/>
      </w:tblGrid>
      <w:tr w:rsidR="00E73D96" w14:paraId="28796E62" w14:textId="77777777">
        <w:trPr>
          <w:jc w:val="center"/>
        </w:trPr>
        <w:tc>
          <w:tcPr>
            <w:tcW w:w="696" w:type="dxa"/>
          </w:tcPr>
          <w:p w14:paraId="7A4C9AC2" w14:textId="77777777" w:rsidR="00E73D96" w:rsidRDefault="00E73D96">
            <w:pPr>
              <w:spacing w:before="60" w:after="60"/>
              <w:jc w:val="center"/>
              <w:rPr>
                <w:sz w:val="18"/>
                <w:szCs w:val="18"/>
                <w:lang w:val="en-GB"/>
              </w:rPr>
            </w:pPr>
          </w:p>
        </w:tc>
        <w:tc>
          <w:tcPr>
            <w:tcW w:w="2516" w:type="dxa"/>
            <w:vAlign w:val="center"/>
          </w:tcPr>
          <w:p w14:paraId="67D9EB20" w14:textId="77777777" w:rsidR="00E73D96" w:rsidRDefault="00E73D96">
            <w:pPr>
              <w:spacing w:before="60" w:after="60" w:line="240" w:lineRule="auto"/>
              <w:jc w:val="center"/>
              <w:rPr>
                <w:sz w:val="18"/>
                <w:szCs w:val="18"/>
                <w:lang w:val="en-GB"/>
              </w:rPr>
            </w:pPr>
          </w:p>
        </w:tc>
        <w:tc>
          <w:tcPr>
            <w:tcW w:w="1271" w:type="dxa"/>
            <w:vAlign w:val="center"/>
          </w:tcPr>
          <w:p w14:paraId="2E1E2522" w14:textId="77777777" w:rsidR="00E73D96" w:rsidRDefault="00947C92">
            <w:pPr>
              <w:spacing w:before="60" w:after="60" w:line="240" w:lineRule="auto"/>
              <w:jc w:val="center"/>
              <w:rPr>
                <w:sz w:val="18"/>
                <w:szCs w:val="18"/>
                <w:lang w:val="en-GB"/>
              </w:rPr>
            </w:pPr>
            <w:r>
              <w:rPr>
                <w:sz w:val="18"/>
                <w:szCs w:val="18"/>
                <w:lang w:val="en-GB"/>
              </w:rPr>
              <w:t>RAN1 #94</w:t>
            </w:r>
          </w:p>
        </w:tc>
        <w:tc>
          <w:tcPr>
            <w:tcW w:w="1385" w:type="dxa"/>
            <w:vAlign w:val="center"/>
          </w:tcPr>
          <w:p w14:paraId="55836284" w14:textId="77777777" w:rsidR="00E73D96" w:rsidRDefault="00947C92">
            <w:pPr>
              <w:spacing w:before="60" w:after="60" w:line="240" w:lineRule="auto"/>
              <w:jc w:val="center"/>
              <w:rPr>
                <w:sz w:val="18"/>
                <w:szCs w:val="18"/>
                <w:lang w:val="en-GB"/>
              </w:rPr>
            </w:pPr>
            <w:r>
              <w:rPr>
                <w:sz w:val="18"/>
                <w:szCs w:val="18"/>
                <w:lang w:val="en-GB"/>
              </w:rPr>
              <w:t>RAN1 #94b</w:t>
            </w:r>
          </w:p>
        </w:tc>
        <w:tc>
          <w:tcPr>
            <w:tcW w:w="1271" w:type="dxa"/>
            <w:vAlign w:val="center"/>
          </w:tcPr>
          <w:p w14:paraId="2C6741A3" w14:textId="77777777" w:rsidR="00E73D96" w:rsidRDefault="00947C92">
            <w:pPr>
              <w:spacing w:before="60" w:after="60" w:line="240" w:lineRule="auto"/>
              <w:jc w:val="center"/>
              <w:rPr>
                <w:sz w:val="18"/>
                <w:szCs w:val="18"/>
                <w:lang w:val="en-GB"/>
              </w:rPr>
            </w:pPr>
            <w:r>
              <w:rPr>
                <w:sz w:val="18"/>
                <w:szCs w:val="18"/>
                <w:lang w:val="en-GB"/>
              </w:rPr>
              <w:t>RAN1 #95</w:t>
            </w:r>
          </w:p>
        </w:tc>
        <w:tc>
          <w:tcPr>
            <w:tcW w:w="1352" w:type="dxa"/>
            <w:vAlign w:val="center"/>
          </w:tcPr>
          <w:p w14:paraId="104DE255" w14:textId="77777777" w:rsidR="00E73D96" w:rsidRDefault="00947C92">
            <w:pPr>
              <w:spacing w:before="60" w:after="60" w:line="240" w:lineRule="auto"/>
              <w:jc w:val="center"/>
              <w:rPr>
                <w:sz w:val="18"/>
                <w:szCs w:val="18"/>
                <w:lang w:val="en-GB"/>
              </w:rPr>
            </w:pPr>
            <w:r>
              <w:rPr>
                <w:sz w:val="18"/>
                <w:szCs w:val="18"/>
                <w:lang w:val="en-GB"/>
              </w:rPr>
              <w:t>RAN1 AH1901</w:t>
            </w:r>
          </w:p>
        </w:tc>
        <w:tc>
          <w:tcPr>
            <w:tcW w:w="1002" w:type="dxa"/>
            <w:vAlign w:val="center"/>
          </w:tcPr>
          <w:p w14:paraId="16F0A1BC" w14:textId="77777777" w:rsidR="00E73D96" w:rsidRDefault="00947C92">
            <w:pPr>
              <w:spacing w:before="60" w:after="60" w:line="240" w:lineRule="auto"/>
              <w:jc w:val="center"/>
              <w:rPr>
                <w:sz w:val="18"/>
                <w:szCs w:val="18"/>
                <w:lang w:val="en-GB"/>
              </w:rPr>
            </w:pPr>
            <w:r>
              <w:rPr>
                <w:sz w:val="18"/>
                <w:szCs w:val="18"/>
                <w:lang w:val="en-GB"/>
              </w:rPr>
              <w:t>RAN1 #96</w:t>
            </w:r>
          </w:p>
        </w:tc>
      </w:tr>
      <w:tr w:rsidR="00E73D96" w14:paraId="123CE514" w14:textId="77777777">
        <w:trPr>
          <w:jc w:val="center"/>
        </w:trPr>
        <w:tc>
          <w:tcPr>
            <w:tcW w:w="696" w:type="dxa"/>
            <w:vMerge w:val="restart"/>
          </w:tcPr>
          <w:p w14:paraId="558C6B35" w14:textId="77777777" w:rsidR="00E73D96" w:rsidRDefault="00947C92">
            <w:pPr>
              <w:spacing w:before="60" w:after="60"/>
              <w:jc w:val="center"/>
              <w:rPr>
                <w:sz w:val="18"/>
                <w:szCs w:val="18"/>
                <w:lang w:val="en-GB"/>
              </w:rPr>
            </w:pPr>
            <w:r>
              <w:rPr>
                <w:sz w:val="18"/>
                <w:szCs w:val="18"/>
                <w:lang w:val="en-GB"/>
              </w:rPr>
              <w:t xml:space="preserve">RAN1 </w:t>
            </w:r>
          </w:p>
          <w:p w14:paraId="06F9C6A5" w14:textId="77777777" w:rsidR="00E73D96" w:rsidRDefault="00947C92">
            <w:pPr>
              <w:spacing w:before="60" w:after="60"/>
              <w:jc w:val="center"/>
              <w:rPr>
                <w:sz w:val="18"/>
                <w:szCs w:val="18"/>
                <w:lang w:val="en-GB"/>
              </w:rPr>
            </w:pPr>
            <w:r>
              <w:rPr>
                <w:sz w:val="18"/>
                <w:szCs w:val="18"/>
                <w:lang w:val="en-GB"/>
              </w:rPr>
              <w:t>TDocs</w:t>
            </w:r>
          </w:p>
        </w:tc>
        <w:tc>
          <w:tcPr>
            <w:tcW w:w="2516" w:type="dxa"/>
            <w:vAlign w:val="center"/>
          </w:tcPr>
          <w:p w14:paraId="37465B1E" w14:textId="77777777" w:rsidR="00E73D96" w:rsidRDefault="00947C92">
            <w:pPr>
              <w:spacing w:before="60" w:after="60"/>
              <w:jc w:val="center"/>
              <w:rPr>
                <w:sz w:val="18"/>
                <w:szCs w:val="18"/>
                <w:lang w:val="en-GB"/>
              </w:rPr>
            </w:pPr>
            <w:r>
              <w:rPr>
                <w:sz w:val="18"/>
                <w:szCs w:val="18"/>
                <w:lang w:val="en-GB"/>
              </w:rPr>
              <w:t>Total # of RAN1 TDocs</w:t>
            </w:r>
          </w:p>
        </w:tc>
        <w:tc>
          <w:tcPr>
            <w:tcW w:w="1271" w:type="dxa"/>
            <w:vAlign w:val="center"/>
          </w:tcPr>
          <w:p w14:paraId="21226A10" w14:textId="77777777" w:rsidR="00E73D96" w:rsidRDefault="00947C92">
            <w:pPr>
              <w:spacing w:before="60" w:after="60"/>
              <w:jc w:val="center"/>
              <w:rPr>
                <w:sz w:val="18"/>
                <w:szCs w:val="18"/>
                <w:lang w:val="en-GB"/>
              </w:rPr>
            </w:pPr>
            <w:r>
              <w:rPr>
                <w:sz w:val="18"/>
                <w:szCs w:val="18"/>
                <w:lang w:val="en-GB"/>
              </w:rPr>
              <w:t>~2050</w:t>
            </w:r>
          </w:p>
        </w:tc>
        <w:tc>
          <w:tcPr>
            <w:tcW w:w="1385" w:type="dxa"/>
            <w:vAlign w:val="center"/>
          </w:tcPr>
          <w:p w14:paraId="404BAB53" w14:textId="77777777" w:rsidR="00E73D96" w:rsidRDefault="00947C92">
            <w:pPr>
              <w:spacing w:before="60" w:after="60"/>
              <w:jc w:val="center"/>
              <w:rPr>
                <w:sz w:val="18"/>
                <w:szCs w:val="18"/>
                <w:lang w:val="en-GB"/>
              </w:rPr>
            </w:pPr>
            <w:r>
              <w:rPr>
                <w:sz w:val="18"/>
                <w:szCs w:val="18"/>
                <w:lang w:val="en-GB"/>
              </w:rPr>
              <w:t>~2050</w:t>
            </w:r>
          </w:p>
        </w:tc>
        <w:tc>
          <w:tcPr>
            <w:tcW w:w="1271" w:type="dxa"/>
            <w:vAlign w:val="center"/>
          </w:tcPr>
          <w:p w14:paraId="31F85BE1" w14:textId="77777777" w:rsidR="00E73D96" w:rsidRDefault="00947C92">
            <w:pPr>
              <w:spacing w:before="60" w:after="60"/>
              <w:jc w:val="center"/>
              <w:rPr>
                <w:sz w:val="18"/>
                <w:szCs w:val="18"/>
                <w:lang w:val="en-GB"/>
              </w:rPr>
            </w:pPr>
            <w:r>
              <w:rPr>
                <w:sz w:val="18"/>
                <w:szCs w:val="18"/>
                <w:lang w:val="en-GB"/>
              </w:rPr>
              <w:t>~2310</w:t>
            </w:r>
          </w:p>
        </w:tc>
        <w:tc>
          <w:tcPr>
            <w:tcW w:w="1352" w:type="dxa"/>
            <w:vAlign w:val="center"/>
          </w:tcPr>
          <w:p w14:paraId="1FE9A094" w14:textId="77777777" w:rsidR="00E73D96" w:rsidRDefault="00947C92">
            <w:pPr>
              <w:spacing w:before="60" w:after="60"/>
              <w:jc w:val="center"/>
              <w:rPr>
                <w:sz w:val="18"/>
                <w:szCs w:val="18"/>
                <w:lang w:val="en-GB"/>
              </w:rPr>
            </w:pPr>
            <w:r>
              <w:rPr>
                <w:sz w:val="18"/>
                <w:szCs w:val="18"/>
                <w:lang w:val="en-GB"/>
              </w:rPr>
              <w:t>~1470</w:t>
            </w:r>
          </w:p>
        </w:tc>
        <w:tc>
          <w:tcPr>
            <w:tcW w:w="1002" w:type="dxa"/>
            <w:vAlign w:val="center"/>
          </w:tcPr>
          <w:p w14:paraId="60C21F70" w14:textId="77777777" w:rsidR="00E73D96" w:rsidRDefault="00947C92">
            <w:pPr>
              <w:spacing w:before="60" w:after="60"/>
              <w:jc w:val="center"/>
              <w:rPr>
                <w:sz w:val="18"/>
                <w:szCs w:val="18"/>
                <w:lang w:val="en-GB"/>
              </w:rPr>
            </w:pPr>
            <w:r>
              <w:rPr>
                <w:sz w:val="18"/>
                <w:szCs w:val="18"/>
                <w:lang w:val="en-GB"/>
              </w:rPr>
              <w:t>~2280</w:t>
            </w:r>
          </w:p>
        </w:tc>
      </w:tr>
      <w:tr w:rsidR="00E73D96" w14:paraId="5AC2A38A" w14:textId="77777777">
        <w:trPr>
          <w:jc w:val="center"/>
        </w:trPr>
        <w:tc>
          <w:tcPr>
            <w:tcW w:w="696" w:type="dxa"/>
            <w:vMerge/>
          </w:tcPr>
          <w:p w14:paraId="452CFE7E" w14:textId="77777777" w:rsidR="00E73D96" w:rsidRDefault="00E73D96">
            <w:pPr>
              <w:spacing w:before="60" w:after="60"/>
              <w:jc w:val="center"/>
              <w:rPr>
                <w:sz w:val="18"/>
                <w:szCs w:val="18"/>
                <w:lang w:val="en-GB"/>
              </w:rPr>
            </w:pPr>
          </w:p>
        </w:tc>
        <w:tc>
          <w:tcPr>
            <w:tcW w:w="2516" w:type="dxa"/>
            <w:vAlign w:val="center"/>
          </w:tcPr>
          <w:p w14:paraId="6A2BF386" w14:textId="77777777" w:rsidR="00E73D96" w:rsidRDefault="00947C92">
            <w:pPr>
              <w:spacing w:before="60" w:after="60"/>
              <w:jc w:val="center"/>
              <w:rPr>
                <w:sz w:val="18"/>
                <w:szCs w:val="18"/>
                <w:lang w:val="en-GB"/>
              </w:rPr>
            </w:pPr>
            <w:r>
              <w:rPr>
                <w:sz w:val="18"/>
                <w:szCs w:val="18"/>
                <w:lang w:val="en-GB"/>
              </w:rPr>
              <w:t># of RAN1 TDocs on V2X</w:t>
            </w:r>
          </w:p>
        </w:tc>
        <w:tc>
          <w:tcPr>
            <w:tcW w:w="1271" w:type="dxa"/>
            <w:vAlign w:val="center"/>
          </w:tcPr>
          <w:p w14:paraId="332A4E05" w14:textId="77777777" w:rsidR="00E73D96" w:rsidRDefault="00947C92">
            <w:pPr>
              <w:spacing w:before="60" w:after="60"/>
              <w:jc w:val="center"/>
              <w:rPr>
                <w:sz w:val="18"/>
                <w:szCs w:val="18"/>
                <w:lang w:val="en-GB"/>
              </w:rPr>
            </w:pPr>
            <w:r>
              <w:rPr>
                <w:sz w:val="18"/>
                <w:szCs w:val="18"/>
                <w:lang w:val="en-GB"/>
              </w:rPr>
              <w:t>208</w:t>
            </w:r>
          </w:p>
        </w:tc>
        <w:tc>
          <w:tcPr>
            <w:tcW w:w="1385" w:type="dxa"/>
            <w:vAlign w:val="center"/>
          </w:tcPr>
          <w:p w14:paraId="78FFF6B2" w14:textId="77777777" w:rsidR="00E73D96" w:rsidRDefault="00947C92">
            <w:pPr>
              <w:spacing w:before="60" w:after="60"/>
              <w:jc w:val="center"/>
              <w:rPr>
                <w:sz w:val="18"/>
                <w:szCs w:val="18"/>
                <w:lang w:val="en-GB"/>
              </w:rPr>
            </w:pPr>
            <w:r>
              <w:rPr>
                <w:sz w:val="18"/>
                <w:szCs w:val="18"/>
                <w:lang w:val="en-GB"/>
              </w:rPr>
              <w:t>234</w:t>
            </w:r>
          </w:p>
        </w:tc>
        <w:tc>
          <w:tcPr>
            <w:tcW w:w="1271" w:type="dxa"/>
            <w:vAlign w:val="center"/>
          </w:tcPr>
          <w:p w14:paraId="0EA8058D" w14:textId="77777777" w:rsidR="00E73D96" w:rsidRDefault="00947C92">
            <w:pPr>
              <w:spacing w:before="60" w:after="60"/>
              <w:jc w:val="center"/>
              <w:rPr>
                <w:sz w:val="18"/>
                <w:szCs w:val="18"/>
                <w:lang w:val="en-GB"/>
              </w:rPr>
            </w:pPr>
            <w:r>
              <w:rPr>
                <w:sz w:val="18"/>
                <w:szCs w:val="18"/>
                <w:lang w:val="en-GB"/>
              </w:rPr>
              <w:t>240</w:t>
            </w:r>
          </w:p>
        </w:tc>
        <w:tc>
          <w:tcPr>
            <w:tcW w:w="1352" w:type="dxa"/>
            <w:vAlign w:val="center"/>
          </w:tcPr>
          <w:p w14:paraId="5EE9A180" w14:textId="77777777" w:rsidR="00E73D96" w:rsidRDefault="00947C92">
            <w:pPr>
              <w:spacing w:before="60" w:after="60"/>
              <w:jc w:val="center"/>
              <w:rPr>
                <w:sz w:val="18"/>
                <w:szCs w:val="18"/>
                <w:lang w:val="en-GB"/>
              </w:rPr>
            </w:pPr>
            <w:r>
              <w:rPr>
                <w:sz w:val="18"/>
                <w:szCs w:val="18"/>
                <w:lang w:val="en-GB"/>
              </w:rPr>
              <w:t>282</w:t>
            </w:r>
          </w:p>
        </w:tc>
        <w:tc>
          <w:tcPr>
            <w:tcW w:w="1002" w:type="dxa"/>
            <w:vAlign w:val="center"/>
          </w:tcPr>
          <w:p w14:paraId="43E59CF1" w14:textId="77777777" w:rsidR="00E73D96" w:rsidRDefault="00947C92">
            <w:pPr>
              <w:spacing w:before="60" w:after="60"/>
              <w:jc w:val="center"/>
              <w:rPr>
                <w:sz w:val="18"/>
                <w:szCs w:val="18"/>
                <w:lang w:val="en-GB"/>
              </w:rPr>
            </w:pPr>
            <w:r>
              <w:rPr>
                <w:sz w:val="18"/>
                <w:szCs w:val="18"/>
                <w:lang w:val="en-GB"/>
              </w:rPr>
              <w:t>282</w:t>
            </w:r>
          </w:p>
        </w:tc>
      </w:tr>
      <w:tr w:rsidR="00E73D96" w14:paraId="1F33F4D2" w14:textId="77777777">
        <w:trPr>
          <w:jc w:val="center"/>
        </w:trPr>
        <w:tc>
          <w:tcPr>
            <w:tcW w:w="696" w:type="dxa"/>
            <w:vMerge/>
          </w:tcPr>
          <w:p w14:paraId="7808C4BD" w14:textId="77777777" w:rsidR="00E73D96" w:rsidRDefault="00E73D96">
            <w:pPr>
              <w:spacing w:before="60" w:after="60"/>
              <w:jc w:val="center"/>
              <w:rPr>
                <w:sz w:val="18"/>
                <w:szCs w:val="18"/>
                <w:lang w:val="en-GB"/>
              </w:rPr>
            </w:pPr>
          </w:p>
        </w:tc>
        <w:tc>
          <w:tcPr>
            <w:tcW w:w="2516" w:type="dxa"/>
            <w:vAlign w:val="center"/>
          </w:tcPr>
          <w:p w14:paraId="03707E2D" w14:textId="77777777" w:rsidR="00E73D96" w:rsidRDefault="00947C92">
            <w:pPr>
              <w:spacing w:before="60" w:after="60"/>
              <w:jc w:val="center"/>
              <w:rPr>
                <w:sz w:val="18"/>
                <w:szCs w:val="18"/>
                <w:lang w:val="en-GB"/>
              </w:rPr>
            </w:pPr>
            <w:r>
              <w:rPr>
                <w:sz w:val="18"/>
                <w:szCs w:val="18"/>
                <w:lang w:val="en-GB"/>
              </w:rPr>
              <w:t>Compare to NR-U / URLLC</w:t>
            </w:r>
          </w:p>
        </w:tc>
        <w:tc>
          <w:tcPr>
            <w:tcW w:w="1271" w:type="dxa"/>
            <w:vAlign w:val="center"/>
          </w:tcPr>
          <w:p w14:paraId="0DA52D0A" w14:textId="77777777" w:rsidR="00E73D96" w:rsidRDefault="00947C92">
            <w:pPr>
              <w:spacing w:before="60" w:after="60"/>
              <w:jc w:val="center"/>
              <w:rPr>
                <w:sz w:val="18"/>
                <w:szCs w:val="18"/>
                <w:lang w:val="en-GB"/>
              </w:rPr>
            </w:pPr>
            <w:r>
              <w:rPr>
                <w:sz w:val="18"/>
                <w:szCs w:val="18"/>
                <w:lang w:val="en-GB"/>
              </w:rPr>
              <w:t>190 / 134</w:t>
            </w:r>
          </w:p>
        </w:tc>
        <w:tc>
          <w:tcPr>
            <w:tcW w:w="1385" w:type="dxa"/>
            <w:vAlign w:val="center"/>
          </w:tcPr>
          <w:p w14:paraId="14BD7DF3" w14:textId="77777777" w:rsidR="00E73D96" w:rsidRDefault="00947C92">
            <w:pPr>
              <w:spacing w:before="60" w:after="60"/>
              <w:jc w:val="center"/>
              <w:rPr>
                <w:sz w:val="18"/>
                <w:szCs w:val="18"/>
                <w:lang w:val="en-GB"/>
              </w:rPr>
            </w:pPr>
            <w:r>
              <w:rPr>
                <w:sz w:val="18"/>
                <w:szCs w:val="18"/>
                <w:lang w:val="en-GB"/>
              </w:rPr>
              <w:t>207 / 159</w:t>
            </w:r>
          </w:p>
        </w:tc>
        <w:tc>
          <w:tcPr>
            <w:tcW w:w="1271" w:type="dxa"/>
            <w:vAlign w:val="center"/>
          </w:tcPr>
          <w:p w14:paraId="44959849" w14:textId="77777777" w:rsidR="00E73D96" w:rsidRDefault="00947C92">
            <w:pPr>
              <w:spacing w:before="60" w:after="60"/>
              <w:jc w:val="center"/>
              <w:rPr>
                <w:sz w:val="18"/>
                <w:szCs w:val="18"/>
                <w:lang w:val="en-GB"/>
              </w:rPr>
            </w:pPr>
            <w:r>
              <w:rPr>
                <w:sz w:val="18"/>
                <w:szCs w:val="18"/>
                <w:lang w:val="en-GB"/>
              </w:rPr>
              <w:t>232 / 227</w:t>
            </w:r>
          </w:p>
        </w:tc>
        <w:tc>
          <w:tcPr>
            <w:tcW w:w="1352" w:type="dxa"/>
            <w:vAlign w:val="center"/>
          </w:tcPr>
          <w:p w14:paraId="3A000D86" w14:textId="77777777" w:rsidR="00E73D96" w:rsidRDefault="00947C92">
            <w:pPr>
              <w:spacing w:before="60" w:after="60"/>
              <w:jc w:val="center"/>
              <w:rPr>
                <w:sz w:val="18"/>
                <w:szCs w:val="18"/>
                <w:lang w:val="en-GB"/>
              </w:rPr>
            </w:pPr>
            <w:r>
              <w:rPr>
                <w:sz w:val="18"/>
                <w:szCs w:val="18"/>
                <w:lang w:val="en-GB"/>
              </w:rPr>
              <w:t>222 / 281</w:t>
            </w:r>
          </w:p>
        </w:tc>
        <w:tc>
          <w:tcPr>
            <w:tcW w:w="1002" w:type="dxa"/>
            <w:vAlign w:val="center"/>
          </w:tcPr>
          <w:p w14:paraId="2F13A1D3" w14:textId="77777777" w:rsidR="00E73D96" w:rsidRDefault="00947C92">
            <w:pPr>
              <w:spacing w:before="60" w:after="60"/>
              <w:jc w:val="center"/>
              <w:rPr>
                <w:sz w:val="18"/>
                <w:szCs w:val="18"/>
                <w:lang w:val="en-GB"/>
              </w:rPr>
            </w:pPr>
            <w:r>
              <w:rPr>
                <w:sz w:val="18"/>
                <w:szCs w:val="18"/>
                <w:lang w:val="en-GB"/>
              </w:rPr>
              <w:t>231 / 262</w:t>
            </w:r>
          </w:p>
        </w:tc>
      </w:tr>
      <w:tr w:rsidR="00E73D96" w14:paraId="02D615D5" w14:textId="77777777">
        <w:trPr>
          <w:jc w:val="center"/>
        </w:trPr>
        <w:tc>
          <w:tcPr>
            <w:tcW w:w="696" w:type="dxa"/>
            <w:vMerge w:val="restart"/>
          </w:tcPr>
          <w:p w14:paraId="2743D59C" w14:textId="77777777" w:rsidR="00E73D96" w:rsidRDefault="00947C92">
            <w:pPr>
              <w:spacing w:before="60" w:after="60"/>
              <w:jc w:val="center"/>
              <w:rPr>
                <w:sz w:val="18"/>
                <w:szCs w:val="18"/>
                <w:lang w:val="en-GB"/>
              </w:rPr>
            </w:pPr>
            <w:r>
              <w:rPr>
                <w:sz w:val="18"/>
                <w:szCs w:val="18"/>
                <w:lang w:val="en-GB"/>
              </w:rPr>
              <w:t>RAN1</w:t>
            </w:r>
          </w:p>
          <w:p w14:paraId="706699C9" w14:textId="77777777" w:rsidR="00E73D96" w:rsidRDefault="00947C92">
            <w:pPr>
              <w:spacing w:before="60" w:after="60"/>
              <w:jc w:val="center"/>
              <w:rPr>
                <w:sz w:val="18"/>
                <w:szCs w:val="18"/>
                <w:lang w:val="en-GB"/>
              </w:rPr>
            </w:pPr>
            <w:r>
              <w:rPr>
                <w:sz w:val="18"/>
                <w:szCs w:val="18"/>
                <w:lang w:val="en-GB"/>
              </w:rPr>
              <w:t>Time</w:t>
            </w:r>
          </w:p>
        </w:tc>
        <w:tc>
          <w:tcPr>
            <w:tcW w:w="2516" w:type="dxa"/>
            <w:vAlign w:val="center"/>
          </w:tcPr>
          <w:p w14:paraId="2B26A53D" w14:textId="77777777" w:rsidR="00E73D96" w:rsidRDefault="00947C92">
            <w:pPr>
              <w:spacing w:before="60" w:after="60" w:line="240" w:lineRule="auto"/>
              <w:jc w:val="center"/>
              <w:rPr>
                <w:sz w:val="18"/>
                <w:szCs w:val="18"/>
                <w:lang w:val="en-GB"/>
              </w:rPr>
            </w:pPr>
            <w:r>
              <w:rPr>
                <w:sz w:val="18"/>
                <w:szCs w:val="18"/>
                <w:lang w:val="en-GB"/>
              </w:rPr>
              <w:t>V2X online time (TU)</w:t>
            </w:r>
          </w:p>
        </w:tc>
        <w:tc>
          <w:tcPr>
            <w:tcW w:w="1271" w:type="dxa"/>
            <w:vAlign w:val="center"/>
          </w:tcPr>
          <w:p w14:paraId="049DDA53" w14:textId="77777777" w:rsidR="00E73D96" w:rsidRDefault="00947C92">
            <w:pPr>
              <w:spacing w:before="60" w:after="60" w:line="240" w:lineRule="auto"/>
              <w:jc w:val="center"/>
              <w:rPr>
                <w:sz w:val="18"/>
                <w:szCs w:val="18"/>
                <w:lang w:val="en-GB"/>
              </w:rPr>
            </w:pPr>
            <w:r>
              <w:rPr>
                <w:sz w:val="18"/>
                <w:szCs w:val="18"/>
                <w:lang w:val="en-GB"/>
              </w:rPr>
              <w:t>3</w:t>
            </w:r>
          </w:p>
        </w:tc>
        <w:tc>
          <w:tcPr>
            <w:tcW w:w="1385" w:type="dxa"/>
            <w:vAlign w:val="center"/>
          </w:tcPr>
          <w:p w14:paraId="36CD485E" w14:textId="77777777" w:rsidR="00E73D96" w:rsidRDefault="00947C92">
            <w:pPr>
              <w:spacing w:before="60" w:after="60" w:line="240" w:lineRule="auto"/>
              <w:jc w:val="center"/>
              <w:rPr>
                <w:sz w:val="18"/>
                <w:szCs w:val="18"/>
                <w:lang w:val="en-GB"/>
              </w:rPr>
            </w:pPr>
            <w:r>
              <w:rPr>
                <w:sz w:val="18"/>
                <w:szCs w:val="18"/>
                <w:lang w:val="en-GB"/>
              </w:rPr>
              <w:t>3</w:t>
            </w:r>
          </w:p>
        </w:tc>
        <w:tc>
          <w:tcPr>
            <w:tcW w:w="1271" w:type="dxa"/>
            <w:vAlign w:val="center"/>
          </w:tcPr>
          <w:p w14:paraId="7C5E0A0C" w14:textId="77777777" w:rsidR="00E73D96" w:rsidRDefault="00947C92">
            <w:pPr>
              <w:spacing w:before="60" w:after="60" w:line="240" w:lineRule="auto"/>
              <w:jc w:val="center"/>
              <w:rPr>
                <w:sz w:val="18"/>
                <w:szCs w:val="18"/>
                <w:lang w:val="en-GB"/>
              </w:rPr>
            </w:pPr>
            <w:r>
              <w:rPr>
                <w:sz w:val="18"/>
                <w:szCs w:val="18"/>
                <w:lang w:val="en-GB"/>
              </w:rPr>
              <w:t>3</w:t>
            </w:r>
          </w:p>
        </w:tc>
        <w:tc>
          <w:tcPr>
            <w:tcW w:w="1352" w:type="dxa"/>
            <w:vAlign w:val="center"/>
          </w:tcPr>
          <w:p w14:paraId="3EB46EA3" w14:textId="77777777" w:rsidR="00E73D96" w:rsidRDefault="00947C92">
            <w:pPr>
              <w:spacing w:before="60" w:after="60" w:line="240" w:lineRule="auto"/>
              <w:jc w:val="center"/>
              <w:rPr>
                <w:sz w:val="18"/>
                <w:szCs w:val="18"/>
                <w:lang w:val="en-GB"/>
              </w:rPr>
            </w:pPr>
            <w:r>
              <w:rPr>
                <w:sz w:val="18"/>
                <w:szCs w:val="18"/>
                <w:lang w:val="en-GB"/>
              </w:rPr>
              <w:t>5</w:t>
            </w:r>
          </w:p>
        </w:tc>
        <w:tc>
          <w:tcPr>
            <w:tcW w:w="1002" w:type="dxa"/>
            <w:vAlign w:val="center"/>
          </w:tcPr>
          <w:p w14:paraId="2B053BDB" w14:textId="77777777" w:rsidR="00E73D96" w:rsidRDefault="00947C92">
            <w:pPr>
              <w:spacing w:before="60" w:after="60" w:line="240" w:lineRule="auto"/>
              <w:jc w:val="center"/>
              <w:rPr>
                <w:sz w:val="18"/>
                <w:szCs w:val="18"/>
                <w:lang w:val="en-GB"/>
              </w:rPr>
            </w:pPr>
            <w:r>
              <w:rPr>
                <w:sz w:val="18"/>
                <w:szCs w:val="18"/>
                <w:lang w:val="en-GB"/>
              </w:rPr>
              <w:t>3</w:t>
            </w:r>
          </w:p>
        </w:tc>
      </w:tr>
      <w:tr w:rsidR="00E73D96" w14:paraId="68ECE92E" w14:textId="77777777">
        <w:trPr>
          <w:jc w:val="center"/>
        </w:trPr>
        <w:tc>
          <w:tcPr>
            <w:tcW w:w="696" w:type="dxa"/>
            <w:vMerge/>
          </w:tcPr>
          <w:p w14:paraId="6A10349D" w14:textId="77777777" w:rsidR="00E73D96" w:rsidRDefault="00E73D96">
            <w:pPr>
              <w:spacing w:before="60" w:after="60"/>
              <w:jc w:val="center"/>
              <w:rPr>
                <w:sz w:val="18"/>
                <w:szCs w:val="18"/>
                <w:lang w:val="en-GB"/>
              </w:rPr>
            </w:pPr>
          </w:p>
        </w:tc>
        <w:tc>
          <w:tcPr>
            <w:tcW w:w="2516" w:type="dxa"/>
            <w:vAlign w:val="center"/>
          </w:tcPr>
          <w:p w14:paraId="0ABF59A3" w14:textId="77777777" w:rsidR="00E73D96" w:rsidRDefault="00947C92">
            <w:pPr>
              <w:spacing w:before="60" w:after="60" w:line="240" w:lineRule="auto"/>
              <w:jc w:val="center"/>
              <w:rPr>
                <w:sz w:val="18"/>
                <w:szCs w:val="18"/>
                <w:lang w:val="en-GB"/>
              </w:rPr>
            </w:pPr>
            <w:r>
              <w:rPr>
                <w:sz w:val="18"/>
                <w:szCs w:val="18"/>
                <w:lang w:val="en-GB"/>
              </w:rPr>
              <w:t>V2X official offline time (hour)</w:t>
            </w:r>
          </w:p>
        </w:tc>
        <w:tc>
          <w:tcPr>
            <w:tcW w:w="1271" w:type="dxa"/>
            <w:vAlign w:val="center"/>
          </w:tcPr>
          <w:p w14:paraId="69DE6A39" w14:textId="77777777" w:rsidR="00E73D96" w:rsidRDefault="00947C92">
            <w:pPr>
              <w:spacing w:before="60" w:after="60" w:line="240" w:lineRule="auto"/>
              <w:jc w:val="center"/>
              <w:rPr>
                <w:sz w:val="18"/>
                <w:szCs w:val="18"/>
                <w:lang w:val="en-GB"/>
              </w:rPr>
            </w:pPr>
            <w:r>
              <w:rPr>
                <w:sz w:val="18"/>
                <w:szCs w:val="18"/>
                <w:lang w:val="en-GB"/>
              </w:rPr>
              <w:t>11</w:t>
            </w:r>
          </w:p>
        </w:tc>
        <w:tc>
          <w:tcPr>
            <w:tcW w:w="1385" w:type="dxa"/>
            <w:vAlign w:val="center"/>
          </w:tcPr>
          <w:p w14:paraId="149E0CC3" w14:textId="77777777" w:rsidR="00E73D96" w:rsidRDefault="00947C92">
            <w:pPr>
              <w:spacing w:before="60" w:after="60" w:line="240" w:lineRule="auto"/>
              <w:jc w:val="center"/>
              <w:rPr>
                <w:sz w:val="18"/>
                <w:szCs w:val="18"/>
                <w:lang w:val="en-GB"/>
              </w:rPr>
            </w:pPr>
            <w:r>
              <w:rPr>
                <w:sz w:val="18"/>
                <w:szCs w:val="18"/>
                <w:lang w:val="en-GB"/>
              </w:rPr>
              <w:t>8</w:t>
            </w:r>
          </w:p>
        </w:tc>
        <w:tc>
          <w:tcPr>
            <w:tcW w:w="1271" w:type="dxa"/>
            <w:vAlign w:val="center"/>
          </w:tcPr>
          <w:p w14:paraId="0E5C5894" w14:textId="77777777" w:rsidR="00E73D96" w:rsidRDefault="00947C92">
            <w:pPr>
              <w:spacing w:before="60" w:after="60" w:line="240" w:lineRule="auto"/>
              <w:jc w:val="center"/>
              <w:rPr>
                <w:sz w:val="18"/>
                <w:szCs w:val="18"/>
                <w:lang w:val="en-GB"/>
              </w:rPr>
            </w:pPr>
            <w:r>
              <w:rPr>
                <w:sz w:val="18"/>
                <w:szCs w:val="18"/>
                <w:lang w:val="en-GB"/>
              </w:rPr>
              <w:t>5</w:t>
            </w:r>
          </w:p>
        </w:tc>
        <w:tc>
          <w:tcPr>
            <w:tcW w:w="1352" w:type="dxa"/>
            <w:vAlign w:val="center"/>
          </w:tcPr>
          <w:p w14:paraId="07BEE10A" w14:textId="77777777" w:rsidR="00E73D96" w:rsidRDefault="00947C92">
            <w:pPr>
              <w:spacing w:before="60" w:after="60" w:line="240" w:lineRule="auto"/>
              <w:jc w:val="center"/>
              <w:rPr>
                <w:sz w:val="18"/>
                <w:szCs w:val="18"/>
                <w:lang w:val="en-GB"/>
              </w:rPr>
            </w:pPr>
            <w:r>
              <w:rPr>
                <w:sz w:val="18"/>
                <w:szCs w:val="18"/>
                <w:lang w:val="en-GB"/>
              </w:rPr>
              <w:t>16</w:t>
            </w:r>
          </w:p>
        </w:tc>
        <w:tc>
          <w:tcPr>
            <w:tcW w:w="1002" w:type="dxa"/>
            <w:vAlign w:val="center"/>
          </w:tcPr>
          <w:p w14:paraId="40CBE3BF" w14:textId="77777777" w:rsidR="00E73D96" w:rsidRDefault="00947C92">
            <w:pPr>
              <w:spacing w:before="60" w:after="60" w:line="240" w:lineRule="auto"/>
              <w:jc w:val="center"/>
              <w:rPr>
                <w:sz w:val="18"/>
                <w:szCs w:val="18"/>
                <w:lang w:val="en-GB"/>
              </w:rPr>
            </w:pPr>
            <w:r>
              <w:rPr>
                <w:sz w:val="18"/>
                <w:szCs w:val="18"/>
                <w:lang w:val="en-GB"/>
              </w:rPr>
              <w:t>21</w:t>
            </w:r>
          </w:p>
        </w:tc>
      </w:tr>
      <w:tr w:rsidR="00E73D96" w14:paraId="6D00617E" w14:textId="77777777">
        <w:trPr>
          <w:jc w:val="center"/>
        </w:trPr>
        <w:tc>
          <w:tcPr>
            <w:tcW w:w="696" w:type="dxa"/>
            <w:vMerge/>
          </w:tcPr>
          <w:p w14:paraId="63BA7EE6" w14:textId="77777777" w:rsidR="00E73D96" w:rsidRDefault="00E73D96">
            <w:pPr>
              <w:spacing w:before="60" w:after="60"/>
              <w:jc w:val="center"/>
              <w:rPr>
                <w:sz w:val="18"/>
                <w:szCs w:val="18"/>
                <w:lang w:val="en-GB"/>
              </w:rPr>
            </w:pPr>
          </w:p>
        </w:tc>
        <w:tc>
          <w:tcPr>
            <w:tcW w:w="2516" w:type="dxa"/>
            <w:vAlign w:val="center"/>
          </w:tcPr>
          <w:p w14:paraId="04A31AB2" w14:textId="77777777" w:rsidR="00E73D96" w:rsidRDefault="00947C92">
            <w:pPr>
              <w:spacing w:before="60" w:after="60" w:line="240" w:lineRule="auto"/>
              <w:jc w:val="center"/>
              <w:rPr>
                <w:sz w:val="18"/>
                <w:szCs w:val="18"/>
                <w:lang w:val="en-GB"/>
              </w:rPr>
            </w:pPr>
            <w:r>
              <w:rPr>
                <w:sz w:val="18"/>
                <w:szCs w:val="18"/>
                <w:lang w:val="en-GB"/>
              </w:rPr>
              <w:t>V2X unofficial offline time</w:t>
            </w:r>
          </w:p>
        </w:tc>
        <w:tc>
          <w:tcPr>
            <w:tcW w:w="3927" w:type="dxa"/>
            <w:gridSpan w:val="3"/>
            <w:vAlign w:val="center"/>
          </w:tcPr>
          <w:p w14:paraId="0043C9AD" w14:textId="77777777" w:rsidR="00E73D96" w:rsidRDefault="00947C92">
            <w:pPr>
              <w:spacing w:before="60" w:after="60" w:line="240" w:lineRule="auto"/>
              <w:jc w:val="center"/>
              <w:rPr>
                <w:sz w:val="18"/>
                <w:szCs w:val="18"/>
                <w:lang w:val="en-GB"/>
              </w:rPr>
            </w:pPr>
            <w:r>
              <w:rPr>
                <w:sz w:val="18"/>
                <w:szCs w:val="18"/>
                <w:lang w:val="en-GB"/>
              </w:rPr>
              <w:t xml:space="preserve">Comparable to that of NR-U, which is shown in </w:t>
            </w:r>
            <w:r>
              <w:rPr>
                <w:sz w:val="18"/>
                <w:szCs w:val="18"/>
                <w:lang w:val="en-GB"/>
              </w:rPr>
              <w:fldChar w:fldCharType="begin"/>
            </w:r>
            <w:r>
              <w:rPr>
                <w:sz w:val="18"/>
                <w:szCs w:val="18"/>
                <w:lang w:val="en-GB"/>
              </w:rPr>
              <w:instrText xml:space="preserve"> REF _Ref2994869 \r \h </w:instrText>
            </w:r>
            <w:r>
              <w:rPr>
                <w:sz w:val="18"/>
                <w:szCs w:val="18"/>
                <w:lang w:val="en-GB"/>
              </w:rPr>
            </w:r>
            <w:r>
              <w:rPr>
                <w:sz w:val="18"/>
                <w:szCs w:val="18"/>
                <w:lang w:val="en-GB"/>
              </w:rPr>
              <w:fldChar w:fldCharType="separate"/>
            </w:r>
            <w:r>
              <w:rPr>
                <w:sz w:val="18"/>
                <w:szCs w:val="18"/>
                <w:lang w:val="en-GB"/>
              </w:rPr>
              <w:t>[2]</w:t>
            </w:r>
            <w:r>
              <w:rPr>
                <w:sz w:val="18"/>
                <w:szCs w:val="18"/>
                <w:lang w:val="en-GB"/>
              </w:rPr>
              <w:fldChar w:fldCharType="end"/>
            </w:r>
          </w:p>
        </w:tc>
        <w:tc>
          <w:tcPr>
            <w:tcW w:w="2354" w:type="dxa"/>
            <w:gridSpan w:val="2"/>
            <w:vAlign w:val="center"/>
          </w:tcPr>
          <w:p w14:paraId="439CAF5D" w14:textId="77777777" w:rsidR="00E73D96" w:rsidRDefault="00947C92">
            <w:pPr>
              <w:spacing w:before="60" w:after="60" w:line="240" w:lineRule="auto"/>
              <w:jc w:val="center"/>
              <w:rPr>
                <w:sz w:val="18"/>
                <w:szCs w:val="18"/>
                <w:lang w:val="en-GB"/>
              </w:rPr>
            </w:pPr>
            <w:r>
              <w:rPr>
                <w:sz w:val="18"/>
                <w:szCs w:val="18"/>
                <w:lang w:val="en-GB"/>
              </w:rPr>
              <w:t>N/A</w:t>
            </w:r>
          </w:p>
        </w:tc>
      </w:tr>
    </w:tbl>
    <w:p w14:paraId="42A91DC7" w14:textId="77777777" w:rsidR="00E73D96" w:rsidRPr="004375F2" w:rsidRDefault="00947C92">
      <w:pPr>
        <w:pStyle w:val="Caption"/>
        <w:jc w:val="center"/>
        <w:rPr>
          <w:sz w:val="22"/>
          <w:szCs w:val="22"/>
          <w:lang w:val="en-GB"/>
        </w:rPr>
      </w:pPr>
      <w:bookmarkStart w:id="0" w:name="_Ref3035127"/>
      <w:r w:rsidRPr="004375F2">
        <w:rPr>
          <w:sz w:val="22"/>
          <w:szCs w:val="22"/>
        </w:rPr>
        <w:t xml:space="preserve">Table </w:t>
      </w:r>
      <w:r w:rsidRPr="004375F2">
        <w:rPr>
          <w:sz w:val="22"/>
          <w:szCs w:val="22"/>
        </w:rPr>
        <w:fldChar w:fldCharType="begin"/>
      </w:r>
      <w:r w:rsidRPr="004375F2">
        <w:rPr>
          <w:sz w:val="22"/>
          <w:szCs w:val="22"/>
        </w:rPr>
        <w:instrText xml:space="preserve"> SEQ Table \* ARABIC </w:instrText>
      </w:r>
      <w:r w:rsidRPr="004375F2">
        <w:rPr>
          <w:sz w:val="22"/>
          <w:szCs w:val="22"/>
        </w:rPr>
        <w:fldChar w:fldCharType="separate"/>
      </w:r>
      <w:r w:rsidR="004375F2">
        <w:rPr>
          <w:noProof/>
          <w:sz w:val="22"/>
          <w:szCs w:val="22"/>
        </w:rPr>
        <w:t>1</w:t>
      </w:r>
      <w:r w:rsidRPr="004375F2">
        <w:rPr>
          <w:sz w:val="22"/>
          <w:szCs w:val="22"/>
        </w:rPr>
        <w:fldChar w:fldCharType="end"/>
      </w:r>
      <w:bookmarkEnd w:id="0"/>
      <w:r w:rsidRPr="004375F2">
        <w:rPr>
          <w:sz w:val="22"/>
          <w:szCs w:val="22"/>
        </w:rPr>
        <w:t xml:space="preserve"> RAN1 contributions and discussion time on NR V2X SI</w:t>
      </w:r>
    </w:p>
    <w:p w14:paraId="6CE830A2" w14:textId="10518BFE" w:rsidR="00E73D96" w:rsidRDefault="00947C92" w:rsidP="004375F2">
      <w:pPr>
        <w:spacing w:before="120" w:after="120"/>
        <w:rPr>
          <w:sz w:val="22"/>
          <w:szCs w:val="22"/>
          <w:lang w:val="en-GB"/>
        </w:rPr>
      </w:pPr>
      <w:r>
        <w:rPr>
          <w:sz w:val="22"/>
          <w:szCs w:val="22"/>
          <w:lang w:val="en-GB"/>
        </w:rPr>
        <w:lastRenderedPageBreak/>
        <w:t xml:space="preserve">It should be noted that, according to the latest plenary rule in managing working group offline discussion, for a SI/WI with x TU in a meeting, the total offline discussion time should target no more than 4x hours. Given the V2X WI is currently allocated with 3 TU per meeting, it means the RAN1 normative work should assume no more than 12 hours for offline discussion per meeting, which makes the total time much less than what </w:t>
      </w:r>
      <w:r w:rsidR="006071F1">
        <w:rPr>
          <w:sz w:val="22"/>
          <w:szCs w:val="22"/>
          <w:lang w:val="en-GB"/>
        </w:rPr>
        <w:t>people</w:t>
      </w:r>
      <w:r>
        <w:rPr>
          <w:sz w:val="22"/>
          <w:szCs w:val="22"/>
          <w:lang w:val="en-GB"/>
        </w:rPr>
        <w:t xml:space="preserve"> </w:t>
      </w:r>
      <w:r w:rsidR="00484048">
        <w:rPr>
          <w:sz w:val="22"/>
          <w:szCs w:val="22"/>
          <w:lang w:val="en-GB"/>
        </w:rPr>
        <w:t>observed</w:t>
      </w:r>
      <w:r>
        <w:rPr>
          <w:sz w:val="22"/>
          <w:szCs w:val="22"/>
          <w:lang w:val="en-GB"/>
        </w:rPr>
        <w:t xml:space="preserve"> in recent RAN1 meetings</w:t>
      </w:r>
      <w:r w:rsidR="00484048">
        <w:rPr>
          <w:sz w:val="22"/>
          <w:szCs w:val="22"/>
          <w:lang w:val="en-GB"/>
        </w:rPr>
        <w:t xml:space="preserve"> for V2X SI</w:t>
      </w:r>
      <w:r>
        <w:rPr>
          <w:sz w:val="22"/>
          <w:szCs w:val="22"/>
          <w:lang w:val="en-GB"/>
        </w:rPr>
        <w:t xml:space="preserve">. </w:t>
      </w:r>
    </w:p>
    <w:p w14:paraId="229EB2C9" w14:textId="77777777" w:rsidR="00E73D96" w:rsidRDefault="00947C92" w:rsidP="004375F2">
      <w:pPr>
        <w:spacing w:before="120" w:after="120"/>
        <w:rPr>
          <w:b/>
          <w:i/>
          <w:sz w:val="22"/>
          <w:szCs w:val="22"/>
          <w:lang w:val="en-GB"/>
        </w:rPr>
      </w:pPr>
      <w:r>
        <w:rPr>
          <w:b/>
          <w:i/>
          <w:sz w:val="22"/>
          <w:szCs w:val="22"/>
          <w:lang w:val="en-GB"/>
        </w:rPr>
        <w:t xml:space="preserve">Observation 1: Based on the current TU planning for V2X WI, the V2X WI is expected to have about 30% cut of RAN1 discussion time (online+offline) comparing to the V2X SI. </w:t>
      </w:r>
    </w:p>
    <w:p w14:paraId="3D3D8D48" w14:textId="77777777" w:rsidR="00E73D96" w:rsidRDefault="00947C92" w:rsidP="004375F2">
      <w:pPr>
        <w:spacing w:before="120" w:after="120"/>
        <w:rPr>
          <w:sz w:val="22"/>
          <w:szCs w:val="22"/>
          <w:lang w:val="en-GB"/>
        </w:rPr>
      </w:pPr>
      <w:r>
        <w:rPr>
          <w:sz w:val="22"/>
          <w:szCs w:val="22"/>
          <w:lang w:val="en-GB"/>
        </w:rPr>
        <w:t xml:space="preserve">On the other hand, even with all hard efforts during the SI, there are still quite some work that should have been completed or largely completed in SI but now are mainly left for WI phase. For example, </w:t>
      </w:r>
    </w:p>
    <w:p w14:paraId="7D61C8D6" w14:textId="77777777" w:rsidR="00E73D96" w:rsidRDefault="00947C92" w:rsidP="004375F2">
      <w:pPr>
        <w:pStyle w:val="ListParagraph"/>
        <w:numPr>
          <w:ilvl w:val="0"/>
          <w:numId w:val="5"/>
        </w:numPr>
        <w:spacing w:before="120" w:after="120"/>
        <w:rPr>
          <w:rFonts w:ascii="Times New Roman" w:hAnsi="Times New Roman"/>
          <w:lang w:val="en-GB"/>
        </w:rPr>
      </w:pPr>
      <w:r>
        <w:rPr>
          <w:rFonts w:ascii="Times New Roman" w:hAnsi="Times New Roman"/>
          <w:lang w:val="en-GB"/>
        </w:rPr>
        <w:t xml:space="preserve">At least four RAN1 working assumptions remain un-confirmed, including PSCCH/PSSCH multiplexing, HARQ feedback (NACK-only vs. ACK/NACK) in groupcast, CSI reporting for unicast and synchronization priority table. </w:t>
      </w:r>
    </w:p>
    <w:p w14:paraId="2B62B719" w14:textId="77777777" w:rsidR="00E73D96" w:rsidRDefault="00947C92" w:rsidP="004375F2">
      <w:pPr>
        <w:pStyle w:val="ListParagraph"/>
        <w:numPr>
          <w:ilvl w:val="0"/>
          <w:numId w:val="5"/>
        </w:numPr>
        <w:spacing w:before="120" w:after="120"/>
        <w:rPr>
          <w:rFonts w:ascii="Times New Roman" w:hAnsi="Times New Roman"/>
          <w:lang w:val="en-GB"/>
        </w:rPr>
      </w:pPr>
      <w:r>
        <w:rPr>
          <w:rFonts w:ascii="Times New Roman" w:hAnsi="Times New Roman"/>
          <w:lang w:val="en-GB"/>
        </w:rPr>
        <w:t xml:space="preserve">Numerous “FFS” points remain unsolved in both RAN1 and RAN2 meeting minutes. </w:t>
      </w:r>
    </w:p>
    <w:p w14:paraId="05170F94" w14:textId="1A0E0E02" w:rsidR="00E73D96" w:rsidRDefault="00947C92" w:rsidP="004375F2">
      <w:pPr>
        <w:pStyle w:val="ListParagraph"/>
        <w:numPr>
          <w:ilvl w:val="0"/>
          <w:numId w:val="5"/>
        </w:numPr>
        <w:spacing w:before="120" w:after="120"/>
        <w:rPr>
          <w:rFonts w:ascii="Times New Roman" w:hAnsi="Times New Roman"/>
          <w:lang w:val="en-GB"/>
        </w:rPr>
      </w:pPr>
      <w:r>
        <w:rPr>
          <w:rFonts w:ascii="Times New Roman" w:hAnsi="Times New Roman"/>
          <w:lang w:val="en-GB"/>
        </w:rPr>
        <w:t xml:space="preserve">RAN1 has no time to fully study and agree on the basic structure of physical layer control channel (PSCCH), i.e., whether the sidelink control information (SCI) should be transmitted in single stage or two stages, where the </w:t>
      </w:r>
      <w:r w:rsidR="006071F1">
        <w:rPr>
          <w:rFonts w:ascii="Times New Roman" w:hAnsi="Times New Roman"/>
          <w:lang w:val="en-GB"/>
        </w:rPr>
        <w:t>2-stage SCI</w:t>
      </w:r>
      <w:r>
        <w:rPr>
          <w:rFonts w:ascii="Times New Roman" w:hAnsi="Times New Roman"/>
          <w:lang w:val="en-GB"/>
        </w:rPr>
        <w:t xml:space="preserve"> is brand new to 3GPP specifications since ever. </w:t>
      </w:r>
    </w:p>
    <w:p w14:paraId="60BD5DE8" w14:textId="6C0337C8" w:rsidR="00E73D96" w:rsidRDefault="00947C92" w:rsidP="004375F2">
      <w:pPr>
        <w:pStyle w:val="ListParagraph"/>
        <w:numPr>
          <w:ilvl w:val="0"/>
          <w:numId w:val="5"/>
        </w:numPr>
        <w:spacing w:before="120" w:after="120"/>
        <w:rPr>
          <w:rFonts w:ascii="Times New Roman" w:hAnsi="Times New Roman"/>
          <w:lang w:val="en-GB"/>
        </w:rPr>
      </w:pPr>
      <w:r>
        <w:rPr>
          <w:rFonts w:ascii="Times New Roman" w:hAnsi="Times New Roman"/>
          <w:lang w:val="en-GB"/>
        </w:rPr>
        <w:t>Some basic physical layer channel aspects, such as modulation, scrambling, RE mapping and rate matching are rarely d</w:t>
      </w:r>
      <w:r w:rsidR="00832D3C">
        <w:rPr>
          <w:rFonts w:ascii="Times New Roman" w:hAnsi="Times New Roman"/>
          <w:lang w:val="en-GB"/>
        </w:rPr>
        <w:t>iscussed so far. The SI TR mentions</w:t>
      </w:r>
      <w:r>
        <w:rPr>
          <w:rFonts w:ascii="Times New Roman" w:hAnsi="Times New Roman"/>
          <w:lang w:val="en-GB"/>
        </w:rPr>
        <w:t xml:space="preserve"> almost nothing on these aspects. </w:t>
      </w:r>
    </w:p>
    <w:p w14:paraId="0F6E58E4" w14:textId="22E04016" w:rsidR="00832D3C" w:rsidRDefault="00832D3C" w:rsidP="004375F2">
      <w:pPr>
        <w:pStyle w:val="ListParagraph"/>
        <w:numPr>
          <w:ilvl w:val="0"/>
          <w:numId w:val="5"/>
        </w:numPr>
        <w:spacing w:before="120" w:after="120"/>
        <w:rPr>
          <w:rFonts w:ascii="Times New Roman" w:hAnsi="Times New Roman"/>
          <w:lang w:val="en-GB"/>
        </w:rPr>
      </w:pPr>
      <w:r>
        <w:rPr>
          <w:rFonts w:ascii="Times New Roman" w:hAnsi="Times New Roman"/>
          <w:lang w:val="en-GB"/>
        </w:rPr>
        <w:t xml:space="preserve">The design of HARQ feedback channel, PSFCH, for which people has no reference from LTE V2X, is almost empty. RAN1 only has time to agree the PSFCH transmission involves with the last available symbol(s) in a slot. </w:t>
      </w:r>
    </w:p>
    <w:p w14:paraId="10074B16" w14:textId="7D730F56" w:rsidR="00832D3C" w:rsidRDefault="00832D3C" w:rsidP="004375F2">
      <w:pPr>
        <w:pStyle w:val="ListParagraph"/>
        <w:numPr>
          <w:ilvl w:val="0"/>
          <w:numId w:val="5"/>
        </w:numPr>
        <w:spacing w:before="120" w:after="120"/>
        <w:rPr>
          <w:rFonts w:ascii="Times New Roman" w:hAnsi="Times New Roman"/>
          <w:lang w:val="en-GB"/>
        </w:rPr>
      </w:pPr>
      <w:r>
        <w:rPr>
          <w:rFonts w:ascii="Times New Roman" w:hAnsi="Times New Roman"/>
          <w:lang w:val="en-GB"/>
        </w:rPr>
        <w:t xml:space="preserve">RAN2 agreed to support simultaneous configuration of mode 1 and mode 2, which is supposed to have impact to RAN1 design philosophy but was never discussed in RAN1.  </w:t>
      </w:r>
    </w:p>
    <w:p w14:paraId="0274B624" w14:textId="50B42EBB" w:rsidR="00EB06F0" w:rsidRDefault="00EB06F0" w:rsidP="00EB06F0">
      <w:pPr>
        <w:pStyle w:val="ListParagraph"/>
        <w:numPr>
          <w:ilvl w:val="0"/>
          <w:numId w:val="5"/>
        </w:numPr>
        <w:spacing w:before="120" w:after="120"/>
        <w:jc w:val="both"/>
        <w:rPr>
          <w:rFonts w:ascii="Times New Roman" w:hAnsi="Times New Roman"/>
          <w:lang w:val="en-GB"/>
        </w:rPr>
      </w:pPr>
      <w:r>
        <w:rPr>
          <w:rFonts w:ascii="Times New Roman" w:eastAsia="SimSun" w:hAnsi="Times New Roman"/>
          <w:lang w:eastAsia="zh-CN"/>
        </w:rPr>
        <w:t xml:space="preserve">RAN2 decided to support </w:t>
      </w:r>
      <w:r>
        <w:rPr>
          <w:rFonts w:ascii="Times New Roman" w:eastAsia="SimSun" w:hAnsi="Times New Roman" w:hint="eastAsia"/>
          <w:lang w:eastAsia="zh-CN"/>
        </w:rPr>
        <w:t xml:space="preserve">the SL RLM/RLF declaration for AS level link management, which requires the RLM RS design </w:t>
      </w:r>
      <w:r>
        <w:rPr>
          <w:rFonts w:ascii="Times New Roman" w:eastAsia="SimSun" w:hAnsi="Times New Roman"/>
          <w:lang w:eastAsia="zh-CN"/>
        </w:rPr>
        <w:t xml:space="preserve">determined by RAN1 </w:t>
      </w:r>
      <w:r>
        <w:rPr>
          <w:rFonts w:ascii="Times New Roman" w:eastAsia="SimSun" w:hAnsi="Times New Roman" w:hint="eastAsia"/>
          <w:lang w:eastAsia="zh-CN"/>
        </w:rPr>
        <w:t xml:space="preserve">and the SL RLM model determined by RAN4. </w:t>
      </w:r>
      <w:r>
        <w:rPr>
          <w:rFonts w:ascii="Times New Roman" w:eastAsia="SimSun" w:hAnsi="Times New Roman"/>
          <w:lang w:eastAsia="zh-CN"/>
        </w:rPr>
        <w:t>But no corresponding discussion were taken</w:t>
      </w:r>
      <w:r>
        <w:rPr>
          <w:rFonts w:ascii="Times New Roman" w:eastAsia="SimSun" w:hAnsi="Times New Roman" w:hint="eastAsia"/>
          <w:lang w:eastAsia="zh-CN"/>
        </w:rPr>
        <w:t xml:space="preserve"> in RAN1 and RAN4. </w:t>
      </w:r>
    </w:p>
    <w:p w14:paraId="527C23AC" w14:textId="0B5EBC66" w:rsidR="00EB06F0" w:rsidRDefault="00EB06F0" w:rsidP="00EB06F0">
      <w:pPr>
        <w:pStyle w:val="ListParagraph"/>
        <w:numPr>
          <w:ilvl w:val="0"/>
          <w:numId w:val="5"/>
        </w:numPr>
        <w:spacing w:before="120" w:after="120"/>
        <w:jc w:val="both"/>
        <w:rPr>
          <w:rFonts w:ascii="Times New Roman" w:eastAsia="SimSun" w:hAnsi="Times New Roman"/>
          <w:lang w:eastAsia="zh-CN"/>
        </w:rPr>
      </w:pPr>
      <w:r>
        <w:rPr>
          <w:rFonts w:ascii="Times New Roman" w:eastAsia="SimSun" w:hAnsi="Times New Roman"/>
          <w:lang w:eastAsia="zh-CN"/>
        </w:rPr>
        <w:t>RAN2</w:t>
      </w:r>
      <w:r>
        <w:rPr>
          <w:rFonts w:ascii="Times New Roman" w:eastAsia="SimSun" w:hAnsi="Times New Roman" w:hint="eastAsia"/>
          <w:lang w:eastAsia="zh-CN"/>
        </w:rPr>
        <w:t xml:space="preserve"> has not yet determined the necessity of AS layer connection establishment procedur</w:t>
      </w:r>
      <w:r w:rsidR="00F50346">
        <w:rPr>
          <w:rFonts w:ascii="Times New Roman" w:eastAsia="SimSun" w:hAnsi="Times New Roman" w:hint="eastAsia"/>
          <w:lang w:eastAsia="zh-CN"/>
        </w:rPr>
        <w:t>e by PC5-RRC. The details of PC</w:t>
      </w:r>
      <w:r w:rsidR="00F50346">
        <w:rPr>
          <w:rFonts w:ascii="Times New Roman" w:eastAsia="SimSun" w:hAnsi="Times New Roman"/>
          <w:lang w:eastAsia="zh-CN"/>
        </w:rPr>
        <w:t>5</w:t>
      </w:r>
      <w:bookmarkStart w:id="1" w:name="_GoBack"/>
      <w:bookmarkEnd w:id="1"/>
      <w:r>
        <w:rPr>
          <w:rFonts w:ascii="Times New Roman" w:eastAsia="SimSun" w:hAnsi="Times New Roman" w:hint="eastAsia"/>
          <w:lang w:eastAsia="zh-CN"/>
        </w:rPr>
        <w:t>-RRC based UE capability transfer and AS configuration procedure need to be discussed in WI phase.</w:t>
      </w:r>
    </w:p>
    <w:p w14:paraId="62394E80" w14:textId="4FCA63A4" w:rsidR="00EB06F0" w:rsidRDefault="00EB06F0" w:rsidP="00EB06F0">
      <w:pPr>
        <w:pStyle w:val="ListParagraph"/>
        <w:numPr>
          <w:ilvl w:val="0"/>
          <w:numId w:val="5"/>
        </w:numPr>
        <w:spacing w:before="120" w:after="120"/>
        <w:rPr>
          <w:rFonts w:ascii="Times New Roman" w:hAnsi="Times New Roman"/>
          <w:lang w:val="en-GB"/>
        </w:rPr>
      </w:pPr>
      <w:r>
        <w:rPr>
          <w:rFonts w:ascii="Times New Roman" w:eastAsia="SimSun" w:hAnsi="Times New Roman" w:hint="eastAsia"/>
          <w:lang w:eastAsia="zh-CN"/>
        </w:rPr>
        <w:t xml:space="preserve">The mode 1 dynamic resource scheduling in CU-DU split scenario has been discussed in RAN3. How to support mode 1 configured grant and mode 2 </w:t>
      </w:r>
      <w:r>
        <w:rPr>
          <w:rFonts w:ascii="Times New Roman" w:eastAsia="SimSun" w:hAnsi="Times New Roman"/>
          <w:lang w:eastAsia="zh-CN"/>
        </w:rPr>
        <w:t xml:space="preserve">in this scenario </w:t>
      </w:r>
      <w:r>
        <w:rPr>
          <w:rFonts w:ascii="Times New Roman" w:eastAsia="SimSun" w:hAnsi="Times New Roman" w:hint="eastAsia"/>
          <w:lang w:eastAsia="zh-CN"/>
        </w:rPr>
        <w:t>has not been decided. In addition, where the V2X SIB is located and how the V2X SIB is delivered via F1 interface is to be discussed in WI.</w:t>
      </w:r>
    </w:p>
    <w:p w14:paraId="243EBAF8" w14:textId="13FE3AF7" w:rsidR="00E73D96" w:rsidRDefault="00947C92" w:rsidP="004375F2">
      <w:pPr>
        <w:pStyle w:val="ListParagraph"/>
        <w:spacing w:before="120" w:after="120"/>
        <w:ind w:left="0"/>
        <w:rPr>
          <w:rFonts w:ascii="Times New Roman" w:hAnsi="Times New Roman"/>
          <w:b/>
          <w:i/>
          <w:lang w:val="en-GB"/>
        </w:rPr>
      </w:pPr>
      <w:r>
        <w:rPr>
          <w:rFonts w:ascii="Times New Roman" w:hAnsi="Times New Roman"/>
          <w:b/>
          <w:i/>
          <w:lang w:val="en-GB"/>
        </w:rPr>
        <w:t>Obser</w:t>
      </w:r>
      <w:r w:rsidR="003E0A7D">
        <w:rPr>
          <w:rFonts w:ascii="Times New Roman" w:hAnsi="Times New Roman"/>
          <w:b/>
          <w:i/>
          <w:lang w:val="en-GB"/>
        </w:rPr>
        <w:t>vation 2: Even with notable achievements</w:t>
      </w:r>
      <w:r>
        <w:rPr>
          <w:rFonts w:ascii="Times New Roman" w:hAnsi="Times New Roman"/>
          <w:b/>
          <w:i/>
          <w:lang w:val="en-GB"/>
        </w:rPr>
        <w:t xml:space="preserve"> in SI phase, there are still quite some fundamental issues waiting in the V2X WI. </w:t>
      </w:r>
      <w:r w:rsidR="00552955">
        <w:rPr>
          <w:rFonts w:ascii="Times New Roman" w:hAnsi="Times New Roman"/>
          <w:b/>
          <w:i/>
          <w:lang w:val="en-GB"/>
        </w:rPr>
        <w:t>The large TU and long</w:t>
      </w:r>
      <w:r w:rsidR="00AB3E49">
        <w:rPr>
          <w:rFonts w:ascii="Times New Roman" w:hAnsi="Times New Roman"/>
          <w:b/>
          <w:i/>
          <w:lang w:val="en-GB"/>
        </w:rPr>
        <w:t xml:space="preserve"> </w:t>
      </w:r>
      <w:r w:rsidR="00552955">
        <w:rPr>
          <w:rFonts w:ascii="Times New Roman" w:hAnsi="Times New Roman"/>
          <w:b/>
          <w:i/>
          <w:lang w:val="en-GB"/>
        </w:rPr>
        <w:t>discussion time in SI phase do</w:t>
      </w:r>
      <w:r w:rsidR="00AB3E49">
        <w:rPr>
          <w:rFonts w:ascii="Times New Roman" w:hAnsi="Times New Roman"/>
          <w:b/>
          <w:i/>
          <w:lang w:val="en-GB"/>
        </w:rPr>
        <w:t xml:space="preserve"> not well handle the large scope of V2X SI. </w:t>
      </w:r>
    </w:p>
    <w:p w14:paraId="15978DEB" w14:textId="747E8868" w:rsidR="00E73D96" w:rsidRDefault="00947C92" w:rsidP="004375F2">
      <w:pPr>
        <w:pStyle w:val="ListParagraph"/>
        <w:spacing w:before="120" w:after="120"/>
        <w:ind w:left="0"/>
        <w:rPr>
          <w:rFonts w:ascii="Times New Roman" w:hAnsi="Times New Roman"/>
          <w:lang w:val="en-GB"/>
        </w:rPr>
      </w:pPr>
      <w:r>
        <w:rPr>
          <w:rFonts w:ascii="Times New Roman" w:hAnsi="Times New Roman"/>
          <w:lang w:val="en-GB"/>
        </w:rPr>
        <w:t xml:space="preserve">Based on the above facts, the feasible way to ensure the completion of V2X WI in time </w:t>
      </w:r>
      <w:r w:rsidR="00552955">
        <w:rPr>
          <w:rFonts w:ascii="Times New Roman" w:hAnsi="Times New Roman"/>
          <w:lang w:val="en-GB"/>
        </w:rPr>
        <w:t xml:space="preserve">with high specification quality </w:t>
      </w:r>
      <w:r>
        <w:rPr>
          <w:rFonts w:ascii="Times New Roman" w:hAnsi="Times New Roman"/>
          <w:lang w:val="en-GB"/>
        </w:rPr>
        <w:t xml:space="preserve">is to have a reasonable working scope, which should be much smaller than what people work with in the SI phase. We suggest the following to down-size the WI scope for V2X: </w:t>
      </w:r>
    </w:p>
    <w:p w14:paraId="722C3155" w14:textId="780C581A" w:rsidR="00E73D96" w:rsidRDefault="00947C92" w:rsidP="004375F2">
      <w:pPr>
        <w:pStyle w:val="ListParagraph"/>
        <w:numPr>
          <w:ilvl w:val="0"/>
          <w:numId w:val="6"/>
        </w:numPr>
        <w:spacing w:before="120" w:after="120"/>
        <w:rPr>
          <w:rFonts w:ascii="Times New Roman" w:hAnsi="Times New Roman"/>
          <w:lang w:val="en-GB"/>
        </w:rPr>
      </w:pPr>
      <w:r>
        <w:rPr>
          <w:rFonts w:ascii="Times New Roman" w:hAnsi="Times New Roman"/>
          <w:lang w:val="en-GB"/>
        </w:rPr>
        <w:lastRenderedPageBreak/>
        <w:t xml:space="preserve">RAN1 does not support in Rel-16 multiple functionalities for the same feature target. For example, only option-3 is supported for PSCCH/PSSCH multiplexing, while other </w:t>
      </w:r>
      <w:r w:rsidR="006401E3">
        <w:rPr>
          <w:rFonts w:ascii="Times New Roman" w:hAnsi="Times New Roman"/>
          <w:lang w:val="en-GB"/>
        </w:rPr>
        <w:t xml:space="preserve">options discussed in SI are </w:t>
      </w:r>
      <w:r>
        <w:rPr>
          <w:rFonts w:ascii="Times New Roman" w:hAnsi="Times New Roman"/>
          <w:lang w:val="en-GB"/>
        </w:rPr>
        <w:t>dropped from Rel-16.</w:t>
      </w:r>
    </w:p>
    <w:p w14:paraId="246D763A" w14:textId="74676048" w:rsidR="00E73D96" w:rsidRDefault="00947C92" w:rsidP="004375F2">
      <w:pPr>
        <w:pStyle w:val="ListParagraph"/>
        <w:numPr>
          <w:ilvl w:val="0"/>
          <w:numId w:val="6"/>
        </w:numPr>
        <w:spacing w:before="120" w:after="120"/>
        <w:rPr>
          <w:rFonts w:ascii="Times New Roman" w:hAnsi="Times New Roman"/>
          <w:lang w:val="en-GB"/>
        </w:rPr>
      </w:pPr>
      <w:r>
        <w:rPr>
          <w:rFonts w:ascii="Times New Roman" w:hAnsi="Times New Roman"/>
          <w:lang w:val="en-GB"/>
        </w:rPr>
        <w:t xml:space="preserve">When supporting both resource allocation mode 1 and mode 2, only the basic or minimal required functionalities are supported in Rel-16. </w:t>
      </w:r>
      <w:r w:rsidR="00AB3E49">
        <w:rPr>
          <w:rFonts w:ascii="Times New Roman" w:hAnsi="Times New Roman"/>
          <w:lang w:val="en-GB"/>
        </w:rPr>
        <w:t xml:space="preserve">With the support to unicast/groupcast/broadcast and HARQ/OLPC, even the basic functionalities in resource allocation is expected to offer performance comparable to or even better than that of LTE sidelink. </w:t>
      </w:r>
    </w:p>
    <w:p w14:paraId="16949B15" w14:textId="77777777" w:rsidR="00E73D96" w:rsidRDefault="00947C92" w:rsidP="004375F2">
      <w:pPr>
        <w:pStyle w:val="ListParagraph"/>
        <w:numPr>
          <w:ilvl w:val="0"/>
          <w:numId w:val="6"/>
        </w:numPr>
        <w:spacing w:before="120" w:after="120"/>
        <w:rPr>
          <w:rFonts w:ascii="Times New Roman" w:hAnsi="Times New Roman"/>
          <w:lang w:val="en-GB"/>
        </w:rPr>
      </w:pPr>
      <w:r>
        <w:rPr>
          <w:rFonts w:ascii="Times New Roman" w:hAnsi="Times New Roman"/>
          <w:lang w:val="en-GB"/>
        </w:rPr>
        <w:t xml:space="preserve">To leave NR Uu enhancement (for V2X use cases) to other parallel NR WI (in case of feature overlapping) or to future release (e.g., when multicast/broadcast is supported on NR Uu interface). </w:t>
      </w:r>
    </w:p>
    <w:p w14:paraId="5E0E240F" w14:textId="0F375145" w:rsidR="00E73D96" w:rsidRPr="00A401C7" w:rsidRDefault="00A401C7" w:rsidP="004375F2">
      <w:pPr>
        <w:pStyle w:val="ListParagraph"/>
        <w:numPr>
          <w:ilvl w:val="0"/>
          <w:numId w:val="6"/>
        </w:numPr>
        <w:spacing w:before="120" w:after="120"/>
        <w:rPr>
          <w:rFonts w:ascii="Times New Roman" w:hAnsi="Times New Roman"/>
          <w:lang w:val="en-GB"/>
        </w:rPr>
      </w:pPr>
      <w:r w:rsidRPr="00A401C7">
        <w:rPr>
          <w:rFonts w:ascii="Times New Roman" w:hAnsi="Times New Roman"/>
          <w:lang w:val="en-GB"/>
        </w:rPr>
        <w:t>The Rel-16 support of</w:t>
      </w:r>
      <w:r w:rsidR="00947C92" w:rsidRPr="00A401C7">
        <w:rPr>
          <w:rFonts w:ascii="Times New Roman" w:hAnsi="Times New Roman"/>
          <w:lang w:val="en-GB"/>
        </w:rPr>
        <w:t xml:space="preserve"> LTE Uu controlli</w:t>
      </w:r>
      <w:r w:rsidRPr="00A401C7">
        <w:rPr>
          <w:rFonts w:ascii="Times New Roman" w:hAnsi="Times New Roman"/>
          <w:lang w:val="en-GB"/>
        </w:rPr>
        <w:t>ng NR sidelink is conditioned on no additional impact to physical layer specifications of both LTE V2X and NR V2X; this support is postponed to future release if the condition is not met</w:t>
      </w:r>
      <w:r w:rsidR="00947C92" w:rsidRPr="00A401C7">
        <w:rPr>
          <w:rFonts w:ascii="Times New Roman" w:hAnsi="Times New Roman"/>
          <w:lang w:val="en-GB"/>
        </w:rPr>
        <w:t xml:space="preserve">. </w:t>
      </w:r>
    </w:p>
    <w:p w14:paraId="52D8A2FA" w14:textId="047F7495" w:rsidR="00E73D96" w:rsidRDefault="00947C92" w:rsidP="004375F2">
      <w:pPr>
        <w:pStyle w:val="ListParagraph"/>
        <w:numPr>
          <w:ilvl w:val="0"/>
          <w:numId w:val="6"/>
        </w:numPr>
        <w:spacing w:before="120" w:after="120"/>
        <w:rPr>
          <w:rFonts w:ascii="Times New Roman" w:hAnsi="Times New Roman"/>
          <w:lang w:val="en-GB"/>
        </w:rPr>
      </w:pPr>
      <w:r>
        <w:rPr>
          <w:rFonts w:ascii="Times New Roman" w:hAnsi="Times New Roman"/>
          <w:lang w:val="en-GB"/>
        </w:rPr>
        <w:t xml:space="preserve">To put support of in-device co-existence on low priority. </w:t>
      </w:r>
      <w:r w:rsidR="006401E3">
        <w:rPr>
          <w:rFonts w:ascii="Times New Roman" w:hAnsi="Times New Roman"/>
          <w:lang w:val="en-GB"/>
        </w:rPr>
        <w:t xml:space="preserve">If allowed by forward compatibility, the whole in-device coexistence can be left to implementation. </w:t>
      </w:r>
    </w:p>
    <w:p w14:paraId="28A81E8F" w14:textId="370C0D9E" w:rsidR="006401E3" w:rsidRDefault="00630CFC" w:rsidP="004375F2">
      <w:pPr>
        <w:pStyle w:val="ListParagraph"/>
        <w:numPr>
          <w:ilvl w:val="0"/>
          <w:numId w:val="6"/>
        </w:numPr>
        <w:spacing w:before="120" w:after="120"/>
        <w:rPr>
          <w:rFonts w:ascii="Times New Roman" w:hAnsi="Times New Roman"/>
          <w:lang w:val="en-GB"/>
        </w:rPr>
      </w:pPr>
      <w:r>
        <w:rPr>
          <w:rFonts w:ascii="Times New Roman" w:hAnsi="Times New Roman"/>
          <w:lang w:val="en-GB"/>
        </w:rPr>
        <w:t xml:space="preserve">On LTE side, only </w:t>
      </w:r>
      <w:r w:rsidR="006401E3">
        <w:rPr>
          <w:rFonts w:ascii="Times New Roman" w:hAnsi="Times New Roman"/>
          <w:lang w:val="en-GB"/>
        </w:rPr>
        <w:t>the SI-agreed specification impacts to LTE V2X</w:t>
      </w:r>
      <w:r>
        <w:rPr>
          <w:rFonts w:ascii="Times New Roman" w:hAnsi="Times New Roman"/>
          <w:lang w:val="en-GB"/>
        </w:rPr>
        <w:t xml:space="preserve"> are allowed</w:t>
      </w:r>
      <w:r w:rsidR="006401E3">
        <w:rPr>
          <w:rFonts w:ascii="Times New Roman" w:hAnsi="Times New Roman"/>
          <w:lang w:val="en-GB"/>
        </w:rPr>
        <w:t xml:space="preserve">. </w:t>
      </w:r>
    </w:p>
    <w:p w14:paraId="2DB2CD0E" w14:textId="77777777" w:rsidR="00E73D96" w:rsidRDefault="00947C92">
      <w:pPr>
        <w:pStyle w:val="Heading1"/>
        <w:numPr>
          <w:ilvl w:val="0"/>
          <w:numId w:val="3"/>
        </w:numPr>
        <w:ind w:left="360"/>
        <w:rPr>
          <w:rFonts w:cs="Arial"/>
          <w:sz w:val="32"/>
          <w:szCs w:val="32"/>
        </w:rPr>
      </w:pPr>
      <w:r>
        <w:rPr>
          <w:rFonts w:cs="Arial"/>
          <w:sz w:val="32"/>
          <w:szCs w:val="32"/>
        </w:rPr>
        <w:t>Other issues</w:t>
      </w:r>
    </w:p>
    <w:p w14:paraId="3F715A8B" w14:textId="3FD398A9" w:rsidR="00E73D96" w:rsidRPr="00F7580C" w:rsidRDefault="00BC446A" w:rsidP="004375F2">
      <w:pPr>
        <w:spacing w:before="120" w:after="120"/>
        <w:rPr>
          <w:b/>
          <w:i/>
          <w:sz w:val="22"/>
          <w:szCs w:val="22"/>
          <w:u w:val="single"/>
          <w:lang w:val="en-GB"/>
        </w:rPr>
      </w:pPr>
      <w:r>
        <w:rPr>
          <w:b/>
          <w:i/>
          <w:sz w:val="22"/>
          <w:szCs w:val="22"/>
          <w:u w:val="single"/>
          <w:lang w:val="en-GB"/>
        </w:rPr>
        <w:t xml:space="preserve">Single-stage SCI vs. </w:t>
      </w:r>
      <w:r w:rsidR="00947C92" w:rsidRPr="00F7580C">
        <w:rPr>
          <w:b/>
          <w:i/>
          <w:sz w:val="22"/>
          <w:szCs w:val="22"/>
          <w:u w:val="single"/>
          <w:lang w:val="en-GB"/>
        </w:rPr>
        <w:t>2-stage SCI</w:t>
      </w:r>
    </w:p>
    <w:p w14:paraId="3DF771BF" w14:textId="7D2EC63B" w:rsidR="00885039" w:rsidRPr="00F7580C" w:rsidRDefault="00762B67" w:rsidP="004375F2">
      <w:pPr>
        <w:spacing w:before="120" w:after="120"/>
        <w:rPr>
          <w:sz w:val="22"/>
          <w:szCs w:val="22"/>
          <w:lang w:val="en-GB"/>
        </w:rPr>
      </w:pPr>
      <w:r w:rsidRPr="00F7580C">
        <w:rPr>
          <w:sz w:val="22"/>
          <w:szCs w:val="22"/>
          <w:lang w:val="en-GB"/>
        </w:rPr>
        <w:t xml:space="preserve">The 2-stage SCI was discussed in RAN1 with no consensus </w:t>
      </w:r>
      <w:r w:rsidR="00552955">
        <w:rPr>
          <w:sz w:val="22"/>
          <w:szCs w:val="22"/>
          <w:lang w:val="en-GB"/>
        </w:rPr>
        <w:t>to support</w:t>
      </w:r>
      <w:r w:rsidRPr="00F7580C">
        <w:rPr>
          <w:sz w:val="22"/>
          <w:szCs w:val="22"/>
          <w:lang w:val="en-GB"/>
        </w:rPr>
        <w:t xml:space="preserve">. The main motivations of using </w:t>
      </w:r>
      <w:r w:rsidR="00885039" w:rsidRPr="00F7580C">
        <w:rPr>
          <w:sz w:val="22"/>
          <w:szCs w:val="22"/>
          <w:lang w:val="en-GB"/>
        </w:rPr>
        <w:t>2-stage SCI include:</w:t>
      </w:r>
    </w:p>
    <w:p w14:paraId="1A8180B7" w14:textId="35BEC9CA" w:rsidR="00885039" w:rsidRPr="00F7580C" w:rsidRDefault="00885039" w:rsidP="004375F2">
      <w:pPr>
        <w:pStyle w:val="ListParagraph"/>
        <w:numPr>
          <w:ilvl w:val="0"/>
          <w:numId w:val="9"/>
        </w:numPr>
        <w:spacing w:before="120" w:after="120"/>
        <w:rPr>
          <w:rFonts w:ascii="Times New Roman" w:hAnsi="Times New Roman"/>
          <w:lang w:val="en-GB"/>
        </w:rPr>
      </w:pPr>
      <w:r w:rsidRPr="00F7580C">
        <w:rPr>
          <w:rFonts w:ascii="Times New Roman" w:hAnsi="Times New Roman"/>
          <w:lang w:val="en-GB"/>
        </w:rPr>
        <w:t xml:space="preserve">To reduce the complexity in SCI blind decoding. </w:t>
      </w:r>
    </w:p>
    <w:p w14:paraId="5B8A3EED" w14:textId="0677AE1D" w:rsidR="00885039" w:rsidRPr="00F7580C" w:rsidRDefault="00885039" w:rsidP="004375F2">
      <w:pPr>
        <w:pStyle w:val="ListParagraph"/>
        <w:numPr>
          <w:ilvl w:val="0"/>
          <w:numId w:val="9"/>
        </w:numPr>
        <w:spacing w:before="120" w:after="120"/>
        <w:rPr>
          <w:rFonts w:ascii="Times New Roman" w:hAnsi="Times New Roman"/>
          <w:lang w:val="en-GB"/>
        </w:rPr>
      </w:pPr>
      <w:r w:rsidRPr="00F7580C">
        <w:rPr>
          <w:rFonts w:ascii="Times New Roman" w:hAnsi="Times New Roman"/>
          <w:lang w:val="en-GB"/>
        </w:rPr>
        <w:t>T</w:t>
      </w:r>
      <w:r w:rsidR="00F32B77" w:rsidRPr="00F7580C">
        <w:rPr>
          <w:rFonts w:ascii="Times New Roman" w:hAnsi="Times New Roman"/>
          <w:lang w:val="en-GB"/>
        </w:rPr>
        <w:t xml:space="preserve">o provide flexibility in supporting various SCI formats, including the </w:t>
      </w:r>
      <w:r w:rsidR="00552955">
        <w:rPr>
          <w:rFonts w:ascii="Times New Roman" w:hAnsi="Times New Roman"/>
          <w:lang w:val="en-GB"/>
        </w:rPr>
        <w:t xml:space="preserve">aspects in </w:t>
      </w:r>
      <w:r w:rsidRPr="00F7580C">
        <w:rPr>
          <w:rFonts w:ascii="Times New Roman" w:hAnsi="Times New Roman"/>
          <w:lang w:val="en-GB"/>
        </w:rPr>
        <w:t>forward compatibility</w:t>
      </w:r>
      <w:r w:rsidR="00F32B77" w:rsidRPr="00F7580C">
        <w:rPr>
          <w:rFonts w:ascii="Times New Roman" w:hAnsi="Times New Roman"/>
          <w:lang w:val="en-GB"/>
        </w:rPr>
        <w:t xml:space="preserve">. </w:t>
      </w:r>
    </w:p>
    <w:p w14:paraId="7AAB52C5" w14:textId="1C483348" w:rsidR="00E73D96" w:rsidRPr="005F1F6F" w:rsidRDefault="00F32B77" w:rsidP="005F1F6F">
      <w:pPr>
        <w:rPr>
          <w:sz w:val="22"/>
          <w:szCs w:val="22"/>
          <w:lang w:val="en-GB"/>
        </w:rPr>
      </w:pPr>
      <w:r w:rsidRPr="005F1F6F">
        <w:rPr>
          <w:sz w:val="22"/>
          <w:szCs w:val="22"/>
          <w:lang w:val="en-GB"/>
        </w:rPr>
        <w:t xml:space="preserve">From our view, whether the above motivations can turn into true would depend on the </w:t>
      </w:r>
      <w:r w:rsidR="00F7580C" w:rsidRPr="005F1F6F">
        <w:rPr>
          <w:sz w:val="22"/>
          <w:szCs w:val="22"/>
          <w:lang w:val="en-GB"/>
        </w:rPr>
        <w:t>distributions</w:t>
      </w:r>
      <w:r w:rsidRPr="005F1F6F">
        <w:rPr>
          <w:sz w:val="22"/>
          <w:szCs w:val="22"/>
          <w:lang w:val="en-GB"/>
        </w:rPr>
        <w:t xml:space="preserve"> of SCI payload size. </w:t>
      </w:r>
      <w:r w:rsidR="00C04431" w:rsidRPr="005F1F6F">
        <w:rPr>
          <w:sz w:val="22"/>
          <w:szCs w:val="22"/>
          <w:lang w:val="en-GB"/>
        </w:rPr>
        <w:t xml:space="preserve">If the payload sizes for different SCI messages/formats can be roughly the same, the above motivations </w:t>
      </w:r>
      <w:r w:rsidR="004375F2" w:rsidRPr="005F1F6F">
        <w:rPr>
          <w:sz w:val="22"/>
          <w:szCs w:val="22"/>
          <w:lang w:val="en-GB"/>
        </w:rPr>
        <w:t xml:space="preserve">for 2-stage SCI </w:t>
      </w:r>
      <w:r w:rsidR="00C04431" w:rsidRPr="005F1F6F">
        <w:rPr>
          <w:sz w:val="22"/>
          <w:szCs w:val="22"/>
          <w:lang w:val="en-GB"/>
        </w:rPr>
        <w:t xml:space="preserve">could be </w:t>
      </w:r>
      <w:r w:rsidR="004375F2" w:rsidRPr="005F1F6F">
        <w:rPr>
          <w:sz w:val="22"/>
          <w:szCs w:val="22"/>
          <w:lang w:val="en-GB"/>
        </w:rPr>
        <w:t xml:space="preserve">somehow </w:t>
      </w:r>
      <w:r w:rsidR="00C04431" w:rsidRPr="005F1F6F">
        <w:rPr>
          <w:sz w:val="22"/>
          <w:szCs w:val="22"/>
          <w:lang w:val="en-GB"/>
        </w:rPr>
        <w:t xml:space="preserve">voided. </w:t>
      </w:r>
      <w:r w:rsidR="005F1F6F" w:rsidRPr="005F1F6F">
        <w:rPr>
          <w:sz w:val="22"/>
          <w:szCs w:val="22"/>
          <w:lang w:val="en-GB"/>
        </w:rPr>
        <w:fldChar w:fldCharType="begin"/>
      </w:r>
      <w:r w:rsidR="005F1F6F" w:rsidRPr="005F1F6F">
        <w:rPr>
          <w:sz w:val="22"/>
          <w:szCs w:val="22"/>
          <w:lang w:val="en-GB"/>
        </w:rPr>
        <w:instrText xml:space="preserve"> REF _Ref3035105 \h </w:instrText>
      </w:r>
      <w:r w:rsidR="005F1F6F">
        <w:rPr>
          <w:sz w:val="22"/>
          <w:szCs w:val="22"/>
          <w:lang w:val="en-GB"/>
        </w:rPr>
        <w:instrText xml:space="preserve"> \* MERGEFORMAT </w:instrText>
      </w:r>
      <w:r w:rsidR="005F1F6F" w:rsidRPr="005F1F6F">
        <w:rPr>
          <w:sz w:val="22"/>
          <w:szCs w:val="22"/>
          <w:lang w:val="en-GB"/>
        </w:rPr>
      </w:r>
      <w:r w:rsidR="005F1F6F" w:rsidRPr="005F1F6F">
        <w:rPr>
          <w:sz w:val="22"/>
          <w:szCs w:val="22"/>
          <w:lang w:val="en-GB"/>
        </w:rPr>
        <w:fldChar w:fldCharType="separate"/>
      </w:r>
      <w:r w:rsidR="005F1F6F" w:rsidRPr="005F1F6F">
        <w:rPr>
          <w:sz w:val="22"/>
          <w:szCs w:val="22"/>
        </w:rPr>
        <w:t xml:space="preserve">Table </w:t>
      </w:r>
      <w:r w:rsidR="005F1F6F" w:rsidRPr="005F1F6F">
        <w:rPr>
          <w:noProof/>
          <w:sz w:val="22"/>
          <w:szCs w:val="22"/>
        </w:rPr>
        <w:t>2</w:t>
      </w:r>
      <w:r w:rsidR="005F1F6F" w:rsidRPr="005F1F6F">
        <w:rPr>
          <w:sz w:val="22"/>
          <w:szCs w:val="22"/>
          <w:lang w:val="en-GB"/>
        </w:rPr>
        <w:fldChar w:fldCharType="end"/>
      </w:r>
      <w:r w:rsidR="005F1F6F" w:rsidRPr="005F1F6F">
        <w:rPr>
          <w:sz w:val="22"/>
          <w:szCs w:val="22"/>
          <w:lang w:val="en-GB"/>
        </w:rPr>
        <w:t xml:space="preserve"> shows a tentative list of SCI fields for broadcast and unicast/groupcast. </w:t>
      </w:r>
    </w:p>
    <w:tbl>
      <w:tblPr>
        <w:tblStyle w:val="TableGrid"/>
        <w:tblW w:w="0" w:type="auto"/>
        <w:jc w:val="center"/>
        <w:tblLook w:val="04A0" w:firstRow="1" w:lastRow="0" w:firstColumn="1" w:lastColumn="0" w:noHBand="0" w:noVBand="1"/>
      </w:tblPr>
      <w:tblGrid>
        <w:gridCol w:w="2900"/>
        <w:gridCol w:w="7288"/>
      </w:tblGrid>
      <w:tr w:rsidR="004E458C" w14:paraId="318620DD" w14:textId="77777777" w:rsidTr="004375F2">
        <w:trPr>
          <w:jc w:val="center"/>
        </w:trPr>
        <w:tc>
          <w:tcPr>
            <w:tcW w:w="0" w:type="auto"/>
          </w:tcPr>
          <w:p w14:paraId="79F222B0" w14:textId="42C9C3A9" w:rsidR="00674C27" w:rsidRPr="00F7580C" w:rsidRDefault="00674C27" w:rsidP="00D61278">
            <w:pPr>
              <w:spacing w:before="60" w:after="60" w:line="240" w:lineRule="auto"/>
              <w:rPr>
                <w:sz w:val="22"/>
                <w:szCs w:val="22"/>
              </w:rPr>
            </w:pPr>
            <w:r w:rsidRPr="00F7580C">
              <w:rPr>
                <w:sz w:val="22"/>
                <w:szCs w:val="22"/>
              </w:rPr>
              <w:t>SCI content for broadcast</w:t>
            </w:r>
          </w:p>
        </w:tc>
        <w:tc>
          <w:tcPr>
            <w:tcW w:w="0" w:type="auto"/>
          </w:tcPr>
          <w:p w14:paraId="5929BEB6" w14:textId="0719EB6B" w:rsidR="00674C27" w:rsidRPr="00F7580C" w:rsidRDefault="00674C27" w:rsidP="00D61278">
            <w:pPr>
              <w:spacing w:before="60" w:after="60" w:line="240" w:lineRule="auto"/>
              <w:rPr>
                <w:sz w:val="22"/>
                <w:szCs w:val="22"/>
              </w:rPr>
            </w:pPr>
            <w:r w:rsidRPr="00F7580C">
              <w:rPr>
                <w:sz w:val="22"/>
                <w:szCs w:val="22"/>
              </w:rPr>
              <w:t>SCI contents for u</w:t>
            </w:r>
            <w:r w:rsidRPr="00F7580C">
              <w:rPr>
                <w:rFonts w:hint="eastAsia"/>
                <w:sz w:val="22"/>
                <w:szCs w:val="22"/>
              </w:rPr>
              <w:t>nicast/groupcast</w:t>
            </w:r>
          </w:p>
        </w:tc>
      </w:tr>
      <w:tr w:rsidR="00674C27" w14:paraId="62C24F4F" w14:textId="77777777" w:rsidTr="004375F2">
        <w:trPr>
          <w:trHeight w:val="269"/>
          <w:jc w:val="center"/>
        </w:trPr>
        <w:tc>
          <w:tcPr>
            <w:tcW w:w="0" w:type="auto"/>
            <w:gridSpan w:val="2"/>
          </w:tcPr>
          <w:p w14:paraId="02827B56" w14:textId="7B839254" w:rsidR="00674C27" w:rsidRPr="00F7580C" w:rsidRDefault="00674C27" w:rsidP="00D61278">
            <w:pPr>
              <w:spacing w:before="60" w:after="60" w:line="240" w:lineRule="auto"/>
              <w:rPr>
                <w:sz w:val="22"/>
                <w:szCs w:val="22"/>
              </w:rPr>
            </w:pPr>
            <w:r w:rsidRPr="00F7580C">
              <w:rPr>
                <w:sz w:val="22"/>
                <w:szCs w:val="22"/>
              </w:rPr>
              <w:t>Time/freq</w:t>
            </w:r>
            <w:r w:rsidR="00630CFC">
              <w:rPr>
                <w:sz w:val="22"/>
                <w:szCs w:val="22"/>
              </w:rPr>
              <w:t>uency</w:t>
            </w:r>
            <w:r w:rsidRPr="00F7580C">
              <w:rPr>
                <w:sz w:val="22"/>
                <w:szCs w:val="22"/>
              </w:rPr>
              <w:t xml:space="preserve"> resource indication for PSSCH</w:t>
            </w:r>
            <w:r w:rsidRPr="00F7580C">
              <w:rPr>
                <w:rFonts w:hint="eastAsia"/>
                <w:sz w:val="22"/>
                <w:szCs w:val="22"/>
              </w:rPr>
              <w:t xml:space="preserve"> </w:t>
            </w:r>
          </w:p>
        </w:tc>
      </w:tr>
      <w:tr w:rsidR="00674C27" w14:paraId="4AB2EA72" w14:textId="77777777" w:rsidTr="004375F2">
        <w:trPr>
          <w:trHeight w:val="269"/>
          <w:jc w:val="center"/>
        </w:trPr>
        <w:tc>
          <w:tcPr>
            <w:tcW w:w="0" w:type="auto"/>
            <w:gridSpan w:val="2"/>
          </w:tcPr>
          <w:p w14:paraId="61248D26" w14:textId="0CAE9FD0" w:rsidR="00674C27" w:rsidRPr="00F7580C" w:rsidRDefault="00674C27" w:rsidP="00D61278">
            <w:pPr>
              <w:spacing w:before="60" w:after="60" w:line="240" w:lineRule="auto"/>
              <w:rPr>
                <w:sz w:val="22"/>
                <w:szCs w:val="22"/>
              </w:rPr>
            </w:pPr>
            <w:r w:rsidRPr="00F7580C">
              <w:rPr>
                <w:rFonts w:hint="eastAsia"/>
                <w:sz w:val="22"/>
                <w:szCs w:val="22"/>
              </w:rPr>
              <w:t>Frequency hopping indicator</w:t>
            </w:r>
            <w:r w:rsidR="004375F2">
              <w:rPr>
                <w:sz w:val="22"/>
                <w:szCs w:val="22"/>
              </w:rPr>
              <w:t>;</w:t>
            </w:r>
          </w:p>
          <w:p w14:paraId="0D532B5B" w14:textId="13BE9667" w:rsidR="00674C27" w:rsidRPr="00F7580C" w:rsidRDefault="00674C27" w:rsidP="00D61278">
            <w:pPr>
              <w:spacing w:before="60" w:after="60" w:line="240" w:lineRule="auto"/>
              <w:rPr>
                <w:sz w:val="22"/>
                <w:szCs w:val="22"/>
              </w:rPr>
            </w:pPr>
            <w:r w:rsidRPr="00F7580C">
              <w:rPr>
                <w:sz w:val="22"/>
                <w:szCs w:val="22"/>
              </w:rPr>
              <w:t xml:space="preserve">Note: if hopping is defined, its knowledge is needed for sensing. </w:t>
            </w:r>
          </w:p>
        </w:tc>
      </w:tr>
      <w:tr w:rsidR="00674C27" w:rsidRPr="0081395B" w14:paraId="72FD1BA2" w14:textId="77777777" w:rsidTr="004375F2">
        <w:trPr>
          <w:trHeight w:val="269"/>
          <w:jc w:val="center"/>
        </w:trPr>
        <w:tc>
          <w:tcPr>
            <w:tcW w:w="0" w:type="auto"/>
            <w:gridSpan w:val="2"/>
          </w:tcPr>
          <w:p w14:paraId="425932C2" w14:textId="43621999" w:rsidR="00674C27" w:rsidRPr="00F7580C" w:rsidRDefault="00674C27" w:rsidP="00D61278">
            <w:pPr>
              <w:spacing w:before="60" w:after="60" w:line="240" w:lineRule="auto"/>
              <w:rPr>
                <w:sz w:val="22"/>
                <w:szCs w:val="22"/>
              </w:rPr>
            </w:pPr>
            <w:r w:rsidRPr="00F7580C">
              <w:rPr>
                <w:sz w:val="22"/>
                <w:szCs w:val="22"/>
              </w:rPr>
              <w:t>Reservation</w:t>
            </w:r>
            <w:r w:rsidR="00283FAC">
              <w:rPr>
                <w:sz w:val="22"/>
                <w:szCs w:val="22"/>
              </w:rPr>
              <w:t xml:space="preserve">: </w:t>
            </w:r>
            <w:r w:rsidR="00283FAC" w:rsidRPr="00F7580C">
              <w:rPr>
                <w:sz w:val="22"/>
                <w:szCs w:val="22"/>
              </w:rPr>
              <w:t>SPS period or transmission interval for one-shot Tx</w:t>
            </w:r>
          </w:p>
        </w:tc>
      </w:tr>
      <w:tr w:rsidR="00D61278" w14:paraId="35A7ABC3" w14:textId="77777777" w:rsidTr="004375F2">
        <w:trPr>
          <w:trHeight w:val="269"/>
          <w:jc w:val="center"/>
        </w:trPr>
        <w:tc>
          <w:tcPr>
            <w:tcW w:w="0" w:type="auto"/>
            <w:gridSpan w:val="2"/>
          </w:tcPr>
          <w:p w14:paraId="03BD9E43" w14:textId="77777777" w:rsidR="00D61278" w:rsidRDefault="004375F2" w:rsidP="00D61278">
            <w:pPr>
              <w:spacing w:before="60" w:after="60" w:line="240" w:lineRule="auto"/>
              <w:rPr>
                <w:sz w:val="22"/>
                <w:szCs w:val="22"/>
              </w:rPr>
            </w:pPr>
            <w:r>
              <w:rPr>
                <w:sz w:val="22"/>
                <w:szCs w:val="22"/>
              </w:rPr>
              <w:t>Destination ID / Service type;</w:t>
            </w:r>
            <w:r w:rsidR="00D61278" w:rsidRPr="00F7580C">
              <w:rPr>
                <w:sz w:val="22"/>
                <w:szCs w:val="22"/>
              </w:rPr>
              <w:t xml:space="preserve">  QoS/priority indicator</w:t>
            </w:r>
          </w:p>
          <w:p w14:paraId="5CBF658D" w14:textId="1DC5D8BE" w:rsidR="004375F2" w:rsidRPr="00F7580C" w:rsidRDefault="004375F2" w:rsidP="00D61278">
            <w:pPr>
              <w:spacing w:before="60" w:after="60" w:line="240" w:lineRule="auto"/>
              <w:rPr>
                <w:sz w:val="22"/>
                <w:szCs w:val="22"/>
              </w:rPr>
            </w:pPr>
            <w:r>
              <w:rPr>
                <w:sz w:val="22"/>
                <w:szCs w:val="22"/>
              </w:rPr>
              <w:t xml:space="preserve">Note: Service type maybe contained inside Destination ID. </w:t>
            </w:r>
          </w:p>
        </w:tc>
      </w:tr>
      <w:tr w:rsidR="00D61278" w14:paraId="240A5683" w14:textId="77777777" w:rsidTr="004375F2">
        <w:trPr>
          <w:trHeight w:val="269"/>
          <w:jc w:val="center"/>
        </w:trPr>
        <w:tc>
          <w:tcPr>
            <w:tcW w:w="0" w:type="auto"/>
            <w:gridSpan w:val="2"/>
          </w:tcPr>
          <w:p w14:paraId="29044651" w14:textId="300BB8C6" w:rsidR="00D61278" w:rsidRPr="00F7580C" w:rsidRDefault="00F7580C" w:rsidP="00D61278">
            <w:pPr>
              <w:spacing w:before="60" w:after="60" w:line="240" w:lineRule="auto"/>
              <w:rPr>
                <w:sz w:val="22"/>
                <w:szCs w:val="22"/>
              </w:rPr>
            </w:pPr>
            <w:r w:rsidRPr="00F7580C">
              <w:rPr>
                <w:sz w:val="22"/>
                <w:szCs w:val="22"/>
              </w:rPr>
              <w:t>Source ID (derivable from higher layer ID)</w:t>
            </w:r>
          </w:p>
        </w:tc>
      </w:tr>
      <w:tr w:rsidR="00D61278" w14:paraId="6D84E6E7" w14:textId="77777777" w:rsidTr="004375F2">
        <w:trPr>
          <w:trHeight w:val="269"/>
          <w:jc w:val="center"/>
        </w:trPr>
        <w:tc>
          <w:tcPr>
            <w:tcW w:w="0" w:type="auto"/>
            <w:gridSpan w:val="2"/>
          </w:tcPr>
          <w:p w14:paraId="273D2683" w14:textId="77777777" w:rsidR="00F7580C" w:rsidRPr="00F7580C" w:rsidRDefault="00D61278" w:rsidP="00D61278">
            <w:pPr>
              <w:spacing w:before="60" w:after="60" w:line="240" w:lineRule="auto"/>
              <w:rPr>
                <w:sz w:val="22"/>
                <w:szCs w:val="22"/>
              </w:rPr>
            </w:pPr>
            <w:r w:rsidRPr="00F7580C">
              <w:rPr>
                <w:sz w:val="22"/>
                <w:szCs w:val="22"/>
              </w:rPr>
              <w:t>HARQ proc</w:t>
            </w:r>
            <w:r w:rsidR="00F7580C" w:rsidRPr="00F7580C">
              <w:rPr>
                <w:sz w:val="22"/>
                <w:szCs w:val="22"/>
              </w:rPr>
              <w:t>ess</w:t>
            </w:r>
            <w:r w:rsidRPr="00F7580C">
              <w:rPr>
                <w:sz w:val="22"/>
                <w:szCs w:val="22"/>
              </w:rPr>
              <w:t xml:space="preserve"> ID,  NDI,  RV, MCS</w:t>
            </w:r>
          </w:p>
          <w:p w14:paraId="4E92B70A" w14:textId="257CE411" w:rsidR="00D61278" w:rsidRPr="00F7580C" w:rsidRDefault="00F7580C" w:rsidP="00D61278">
            <w:pPr>
              <w:spacing w:before="60" w:after="60" w:line="240" w:lineRule="auto"/>
              <w:rPr>
                <w:sz w:val="22"/>
                <w:szCs w:val="22"/>
              </w:rPr>
            </w:pPr>
            <w:r w:rsidRPr="00F7580C">
              <w:rPr>
                <w:sz w:val="22"/>
                <w:szCs w:val="22"/>
              </w:rPr>
              <w:t xml:space="preserve">Note: We think </w:t>
            </w:r>
            <w:r w:rsidR="004E458C">
              <w:rPr>
                <w:sz w:val="22"/>
                <w:szCs w:val="22"/>
              </w:rPr>
              <w:t xml:space="preserve">full </w:t>
            </w:r>
            <w:r w:rsidRPr="00F7580C">
              <w:rPr>
                <w:sz w:val="22"/>
                <w:szCs w:val="22"/>
              </w:rPr>
              <w:t xml:space="preserve">HARQ </w:t>
            </w:r>
            <w:r w:rsidR="004E458C">
              <w:rPr>
                <w:sz w:val="22"/>
                <w:szCs w:val="22"/>
              </w:rPr>
              <w:t xml:space="preserve">support is </w:t>
            </w:r>
            <w:r w:rsidRPr="00F7580C">
              <w:rPr>
                <w:sz w:val="22"/>
                <w:szCs w:val="22"/>
              </w:rPr>
              <w:t xml:space="preserve">beneficial for </w:t>
            </w:r>
            <w:r w:rsidR="00283FAC">
              <w:rPr>
                <w:sz w:val="22"/>
                <w:szCs w:val="22"/>
              </w:rPr>
              <w:t xml:space="preserve">NR V2X </w:t>
            </w:r>
            <w:r w:rsidRPr="00F7580C">
              <w:rPr>
                <w:sz w:val="22"/>
                <w:szCs w:val="22"/>
              </w:rPr>
              <w:t xml:space="preserve">broadcast. </w:t>
            </w:r>
            <w:r w:rsidR="004E458C">
              <w:rPr>
                <w:sz w:val="22"/>
                <w:szCs w:val="22"/>
              </w:rPr>
              <w:t xml:space="preserve">LTE V2X supports </w:t>
            </w:r>
            <w:r w:rsidR="004375F2">
              <w:rPr>
                <w:sz w:val="22"/>
                <w:szCs w:val="22"/>
              </w:rPr>
              <w:t>HARQ process</w:t>
            </w:r>
            <w:r w:rsidR="004E458C">
              <w:rPr>
                <w:sz w:val="22"/>
                <w:szCs w:val="22"/>
              </w:rPr>
              <w:t xml:space="preserve"> with RV change hard-coded</w:t>
            </w:r>
            <w:r w:rsidR="004375F2">
              <w:rPr>
                <w:sz w:val="22"/>
                <w:szCs w:val="22"/>
              </w:rPr>
              <w:t>.</w:t>
            </w:r>
            <w:r w:rsidR="00D61278" w:rsidRPr="00F7580C">
              <w:rPr>
                <w:sz w:val="22"/>
                <w:szCs w:val="22"/>
              </w:rPr>
              <w:t xml:space="preserve"> </w:t>
            </w:r>
          </w:p>
        </w:tc>
      </w:tr>
      <w:tr w:rsidR="00D61278" w14:paraId="00CDF501" w14:textId="77777777" w:rsidTr="004375F2">
        <w:trPr>
          <w:jc w:val="center"/>
        </w:trPr>
        <w:tc>
          <w:tcPr>
            <w:tcW w:w="0" w:type="auto"/>
            <w:gridSpan w:val="2"/>
          </w:tcPr>
          <w:p w14:paraId="4317BD82" w14:textId="734153CC" w:rsidR="00D61278" w:rsidRPr="00F7580C" w:rsidRDefault="00D61278" w:rsidP="00D61278">
            <w:pPr>
              <w:spacing w:before="60" w:after="60" w:line="240" w:lineRule="auto"/>
              <w:rPr>
                <w:sz w:val="22"/>
                <w:szCs w:val="22"/>
              </w:rPr>
            </w:pPr>
            <w:r w:rsidRPr="00F7580C">
              <w:rPr>
                <w:sz w:val="22"/>
                <w:szCs w:val="22"/>
              </w:rPr>
              <w:lastRenderedPageBreak/>
              <w:t>Antenna information (e.g., number of Tx ports)</w:t>
            </w:r>
          </w:p>
        </w:tc>
      </w:tr>
      <w:tr w:rsidR="00D61278" w14:paraId="0DD4B48C" w14:textId="77777777" w:rsidTr="004375F2">
        <w:trPr>
          <w:jc w:val="center"/>
        </w:trPr>
        <w:tc>
          <w:tcPr>
            <w:tcW w:w="0" w:type="auto"/>
            <w:gridSpan w:val="2"/>
          </w:tcPr>
          <w:p w14:paraId="3D0BEECB" w14:textId="4426CB1C" w:rsidR="00D61278" w:rsidRPr="00F7580C" w:rsidRDefault="00D61278" w:rsidP="00D61278">
            <w:pPr>
              <w:spacing w:before="60" w:after="60" w:line="240" w:lineRule="auto"/>
              <w:rPr>
                <w:sz w:val="22"/>
                <w:szCs w:val="22"/>
              </w:rPr>
            </w:pPr>
            <w:r w:rsidRPr="00F7580C">
              <w:rPr>
                <w:sz w:val="22"/>
                <w:szCs w:val="22"/>
              </w:rPr>
              <w:t>CRC</w:t>
            </w:r>
          </w:p>
        </w:tc>
      </w:tr>
      <w:tr w:rsidR="004E458C" w14:paraId="2952AB60" w14:textId="77777777" w:rsidTr="004375F2">
        <w:trPr>
          <w:jc w:val="center"/>
        </w:trPr>
        <w:tc>
          <w:tcPr>
            <w:tcW w:w="0" w:type="auto"/>
          </w:tcPr>
          <w:p w14:paraId="3C7EA278" w14:textId="7C10FC1E" w:rsidR="00D61278" w:rsidRPr="00F7580C" w:rsidRDefault="00F7580C" w:rsidP="00F7580C">
            <w:pPr>
              <w:spacing w:before="60" w:after="60" w:line="240" w:lineRule="auto"/>
              <w:jc w:val="center"/>
              <w:rPr>
                <w:sz w:val="22"/>
                <w:szCs w:val="22"/>
              </w:rPr>
            </w:pPr>
            <w:r w:rsidRPr="00F7580C">
              <w:rPr>
                <w:sz w:val="22"/>
                <w:szCs w:val="22"/>
              </w:rPr>
              <w:t>-</w:t>
            </w:r>
          </w:p>
        </w:tc>
        <w:tc>
          <w:tcPr>
            <w:tcW w:w="0" w:type="auto"/>
          </w:tcPr>
          <w:p w14:paraId="657735AA" w14:textId="134D0467" w:rsidR="00D61278" w:rsidRPr="00F7580C" w:rsidRDefault="00F7580C" w:rsidP="00D61278">
            <w:pPr>
              <w:spacing w:before="60" w:after="60" w:line="240" w:lineRule="auto"/>
              <w:rPr>
                <w:sz w:val="22"/>
                <w:szCs w:val="22"/>
              </w:rPr>
            </w:pPr>
            <w:r w:rsidRPr="00F7580C">
              <w:rPr>
                <w:sz w:val="22"/>
                <w:szCs w:val="22"/>
              </w:rPr>
              <w:t>Additional MIMO information (if any, not seen very useful in Rel-16)</w:t>
            </w:r>
          </w:p>
        </w:tc>
      </w:tr>
      <w:tr w:rsidR="004E458C" w14:paraId="01D74BD1" w14:textId="77777777" w:rsidTr="004375F2">
        <w:trPr>
          <w:jc w:val="center"/>
        </w:trPr>
        <w:tc>
          <w:tcPr>
            <w:tcW w:w="0" w:type="auto"/>
          </w:tcPr>
          <w:p w14:paraId="1A3F3A1C" w14:textId="32A508B4" w:rsidR="00F7580C" w:rsidRPr="00F7580C" w:rsidRDefault="00F7580C" w:rsidP="00F7580C">
            <w:pPr>
              <w:spacing w:before="60" w:after="60" w:line="240" w:lineRule="auto"/>
              <w:jc w:val="center"/>
              <w:rPr>
                <w:sz w:val="22"/>
                <w:szCs w:val="22"/>
              </w:rPr>
            </w:pPr>
            <w:r w:rsidRPr="00F7580C">
              <w:rPr>
                <w:sz w:val="22"/>
                <w:szCs w:val="22"/>
              </w:rPr>
              <w:t>-</w:t>
            </w:r>
          </w:p>
        </w:tc>
        <w:tc>
          <w:tcPr>
            <w:tcW w:w="0" w:type="auto"/>
          </w:tcPr>
          <w:p w14:paraId="06A4F853" w14:textId="380A0F0F" w:rsidR="00F7580C" w:rsidRPr="00F7580C" w:rsidRDefault="00F7580C" w:rsidP="0079586A">
            <w:pPr>
              <w:spacing w:before="60" w:after="60" w:line="240" w:lineRule="auto"/>
              <w:rPr>
                <w:sz w:val="22"/>
                <w:szCs w:val="22"/>
              </w:rPr>
            </w:pPr>
            <w:r w:rsidRPr="00F7580C">
              <w:rPr>
                <w:sz w:val="22"/>
                <w:szCs w:val="22"/>
              </w:rPr>
              <w:t>CSI-related information</w:t>
            </w:r>
            <w:r w:rsidR="008A6A50">
              <w:rPr>
                <w:sz w:val="22"/>
                <w:szCs w:val="22"/>
              </w:rPr>
              <w:t xml:space="preserve">, if dynamic </w:t>
            </w:r>
            <w:r w:rsidR="00552955">
              <w:rPr>
                <w:sz w:val="22"/>
                <w:szCs w:val="22"/>
              </w:rPr>
              <w:t>signa</w:t>
            </w:r>
            <w:r w:rsidR="0079586A">
              <w:rPr>
                <w:sz w:val="22"/>
                <w:szCs w:val="22"/>
              </w:rPr>
              <w:t>ling</w:t>
            </w:r>
            <w:r w:rsidR="008A6A50">
              <w:rPr>
                <w:sz w:val="22"/>
                <w:szCs w:val="22"/>
              </w:rPr>
              <w:t xml:space="preserve"> is needed</w:t>
            </w:r>
          </w:p>
        </w:tc>
      </w:tr>
      <w:tr w:rsidR="004E458C" w14:paraId="34E1054D" w14:textId="77777777" w:rsidTr="004375F2">
        <w:trPr>
          <w:jc w:val="center"/>
        </w:trPr>
        <w:tc>
          <w:tcPr>
            <w:tcW w:w="0" w:type="auto"/>
          </w:tcPr>
          <w:p w14:paraId="4FA616BF" w14:textId="004BBA56" w:rsidR="00F7580C" w:rsidRPr="00F7580C" w:rsidRDefault="00F7580C" w:rsidP="00F7580C">
            <w:pPr>
              <w:spacing w:before="60" w:after="60" w:line="240" w:lineRule="auto"/>
              <w:jc w:val="center"/>
              <w:rPr>
                <w:sz w:val="22"/>
                <w:szCs w:val="22"/>
              </w:rPr>
            </w:pPr>
            <w:r w:rsidRPr="00F7580C">
              <w:rPr>
                <w:sz w:val="22"/>
                <w:szCs w:val="22"/>
              </w:rPr>
              <w:t>-</w:t>
            </w:r>
          </w:p>
        </w:tc>
        <w:tc>
          <w:tcPr>
            <w:tcW w:w="0" w:type="auto"/>
          </w:tcPr>
          <w:p w14:paraId="31C38563" w14:textId="2C394F15" w:rsidR="00F7580C" w:rsidRPr="00F7580C" w:rsidRDefault="00F7580C" w:rsidP="00F7580C">
            <w:pPr>
              <w:spacing w:before="60" w:after="60" w:line="240" w:lineRule="auto"/>
              <w:rPr>
                <w:sz w:val="22"/>
                <w:szCs w:val="22"/>
              </w:rPr>
            </w:pPr>
            <w:r w:rsidRPr="00F7580C">
              <w:rPr>
                <w:sz w:val="22"/>
                <w:szCs w:val="22"/>
              </w:rPr>
              <w:t>CBG-related information</w:t>
            </w:r>
            <w:r w:rsidR="008A6A50">
              <w:rPr>
                <w:sz w:val="22"/>
                <w:szCs w:val="22"/>
              </w:rPr>
              <w:t>, if CBG is supported</w:t>
            </w:r>
          </w:p>
        </w:tc>
      </w:tr>
    </w:tbl>
    <w:p w14:paraId="0BCA58DF" w14:textId="1FD0770B" w:rsidR="00C04431" w:rsidRPr="00552955" w:rsidRDefault="004375F2" w:rsidP="004375F2">
      <w:pPr>
        <w:pStyle w:val="Caption"/>
        <w:jc w:val="center"/>
        <w:rPr>
          <w:sz w:val="22"/>
          <w:szCs w:val="22"/>
        </w:rPr>
      </w:pPr>
      <w:bookmarkStart w:id="2" w:name="_Ref3035105"/>
      <w:r w:rsidRPr="00552955">
        <w:rPr>
          <w:sz w:val="22"/>
          <w:szCs w:val="22"/>
        </w:rPr>
        <w:t xml:space="preserve">Table </w:t>
      </w:r>
      <w:r w:rsidR="004A785E" w:rsidRPr="00552955">
        <w:rPr>
          <w:sz w:val="22"/>
          <w:szCs w:val="22"/>
        </w:rPr>
        <w:fldChar w:fldCharType="begin"/>
      </w:r>
      <w:r w:rsidR="004A785E" w:rsidRPr="00552955">
        <w:rPr>
          <w:sz w:val="22"/>
          <w:szCs w:val="22"/>
        </w:rPr>
        <w:instrText xml:space="preserve"> SEQ Table \* ARABIC </w:instrText>
      </w:r>
      <w:r w:rsidR="004A785E" w:rsidRPr="00552955">
        <w:rPr>
          <w:sz w:val="22"/>
          <w:szCs w:val="22"/>
        </w:rPr>
        <w:fldChar w:fldCharType="separate"/>
      </w:r>
      <w:r w:rsidRPr="00552955">
        <w:rPr>
          <w:noProof/>
          <w:sz w:val="22"/>
          <w:szCs w:val="22"/>
        </w:rPr>
        <w:t>2</w:t>
      </w:r>
      <w:r w:rsidR="004A785E" w:rsidRPr="00552955">
        <w:rPr>
          <w:noProof/>
          <w:sz w:val="22"/>
          <w:szCs w:val="22"/>
        </w:rPr>
        <w:fldChar w:fldCharType="end"/>
      </w:r>
      <w:bookmarkEnd w:id="2"/>
      <w:r w:rsidRPr="00552955">
        <w:rPr>
          <w:sz w:val="22"/>
          <w:szCs w:val="22"/>
        </w:rPr>
        <w:t xml:space="preserve"> Tentative SCI contents for broadcast and unicast/groupcast</w:t>
      </w:r>
    </w:p>
    <w:p w14:paraId="79D1FF14" w14:textId="18E40E27" w:rsidR="00F32B77" w:rsidRPr="00BC446A" w:rsidRDefault="005F1F6F" w:rsidP="00BE0BCE">
      <w:pPr>
        <w:spacing w:before="120" w:after="120"/>
        <w:rPr>
          <w:sz w:val="22"/>
          <w:szCs w:val="22"/>
          <w:lang w:val="en-GB"/>
        </w:rPr>
      </w:pPr>
      <w:r w:rsidRPr="00BC446A">
        <w:rPr>
          <w:sz w:val="22"/>
          <w:szCs w:val="22"/>
          <w:lang w:val="en-GB"/>
        </w:rPr>
        <w:t xml:space="preserve">It can be observed that, </w:t>
      </w:r>
    </w:p>
    <w:p w14:paraId="454BCE3A" w14:textId="77777777" w:rsidR="005F1F6F" w:rsidRPr="00BC446A" w:rsidRDefault="005F1F6F" w:rsidP="00BE0BCE">
      <w:pPr>
        <w:pStyle w:val="ListParagraph"/>
        <w:numPr>
          <w:ilvl w:val="0"/>
          <w:numId w:val="10"/>
        </w:numPr>
        <w:spacing w:before="120" w:after="120"/>
        <w:rPr>
          <w:rFonts w:ascii="Times New Roman" w:hAnsi="Times New Roman"/>
          <w:lang w:val="en-GB"/>
        </w:rPr>
      </w:pPr>
      <w:r w:rsidRPr="00BC446A">
        <w:rPr>
          <w:rFonts w:ascii="Times New Roman" w:hAnsi="Times New Roman"/>
          <w:lang w:val="en-GB"/>
        </w:rPr>
        <w:t xml:space="preserve">The majority of information fields are shared between broadcast and unicast/groupcast. The additional information fields contained for unicast/groupcast but not for broadcast are limited with the total length likely shorter than the CRC length. </w:t>
      </w:r>
    </w:p>
    <w:p w14:paraId="7FF4ECB7" w14:textId="6689E659" w:rsidR="009E02D5" w:rsidRPr="00BC446A" w:rsidRDefault="009E02D5" w:rsidP="00BE0BCE">
      <w:pPr>
        <w:pStyle w:val="ListParagraph"/>
        <w:numPr>
          <w:ilvl w:val="0"/>
          <w:numId w:val="10"/>
        </w:numPr>
        <w:spacing w:before="120" w:after="120"/>
        <w:rPr>
          <w:rFonts w:ascii="Times New Roman" w:hAnsi="Times New Roman"/>
          <w:lang w:val="en-GB"/>
        </w:rPr>
      </w:pPr>
      <w:r w:rsidRPr="00BC446A">
        <w:rPr>
          <w:rFonts w:ascii="Times New Roman" w:hAnsi="Times New Roman"/>
          <w:lang w:val="en-GB"/>
        </w:rPr>
        <w:t xml:space="preserve">To add padding bits to keep SCI payload size transparent to cast type and SCI format does not necessarily result in large overhead. In such a case, the total blind detection complexity for single-stage SCI would be lower than that for 2-stage SCI. </w:t>
      </w:r>
    </w:p>
    <w:p w14:paraId="576487F0" w14:textId="405A9266" w:rsidR="009E02D5" w:rsidRPr="00BC446A" w:rsidRDefault="009E02D5" w:rsidP="00BE0BCE">
      <w:pPr>
        <w:pStyle w:val="ListParagraph"/>
        <w:numPr>
          <w:ilvl w:val="0"/>
          <w:numId w:val="10"/>
        </w:numPr>
        <w:spacing w:before="120" w:after="120"/>
        <w:rPr>
          <w:rFonts w:ascii="Times New Roman" w:hAnsi="Times New Roman"/>
          <w:lang w:val="en-GB"/>
        </w:rPr>
      </w:pPr>
      <w:r w:rsidRPr="00BC446A">
        <w:rPr>
          <w:rFonts w:ascii="Times New Roman" w:hAnsi="Times New Roman"/>
          <w:lang w:val="en-GB"/>
        </w:rPr>
        <w:t>As for the support of forward compatibility, there can be many ways other than relying on the 1</w:t>
      </w:r>
      <w:r w:rsidRPr="00BC446A">
        <w:rPr>
          <w:rFonts w:ascii="Times New Roman" w:hAnsi="Times New Roman"/>
          <w:vertAlign w:val="superscript"/>
          <w:lang w:val="en-GB"/>
        </w:rPr>
        <w:t>st</w:t>
      </w:r>
      <w:r w:rsidRPr="00BC446A">
        <w:rPr>
          <w:rFonts w:ascii="Times New Roman" w:hAnsi="Times New Roman"/>
          <w:lang w:val="en-GB"/>
        </w:rPr>
        <w:t xml:space="preserve"> stage information in the 2-stage SCI structure. For example, LTE Uu control channel has numerous DCI formats as LTE release evolves but never relies on 2-stage DCI structure. </w:t>
      </w:r>
    </w:p>
    <w:p w14:paraId="28566847" w14:textId="13DC9D5A" w:rsidR="00BE0BCE" w:rsidRPr="00BC446A" w:rsidRDefault="00BE0BCE" w:rsidP="00BC446A">
      <w:pPr>
        <w:pStyle w:val="ListParagraph"/>
        <w:spacing w:before="120" w:after="120"/>
        <w:ind w:left="0"/>
        <w:rPr>
          <w:rFonts w:ascii="Times New Roman" w:hAnsi="Times New Roman"/>
          <w:lang w:val="en-GB"/>
        </w:rPr>
      </w:pPr>
      <w:r w:rsidRPr="00BC446A">
        <w:rPr>
          <w:rFonts w:ascii="Times New Roman" w:hAnsi="Times New Roman"/>
          <w:lang w:val="en-GB"/>
        </w:rPr>
        <w:t>It should be noted that RAN1 and RAN2 have not decided whether the unicast/groupcast/broadcast could share the same or have to use the separate resource pools</w:t>
      </w:r>
      <w:r w:rsidR="00BC446A" w:rsidRPr="00BC446A">
        <w:rPr>
          <w:rFonts w:ascii="Times New Roman" w:hAnsi="Times New Roman"/>
          <w:lang w:val="en-GB"/>
        </w:rPr>
        <w:t xml:space="preserve">, which may also impact the decision between single-stage SCI and 2-stage SCI. This also means the discussion of single-stage vs. 2-stage SCI should still be </w:t>
      </w:r>
      <w:r w:rsidR="000E1E2E">
        <w:rPr>
          <w:rFonts w:ascii="Times New Roman" w:hAnsi="Times New Roman"/>
          <w:lang w:val="en-GB"/>
        </w:rPr>
        <w:t xml:space="preserve">taken </w:t>
      </w:r>
      <w:r w:rsidR="00BC446A" w:rsidRPr="00BC446A">
        <w:rPr>
          <w:rFonts w:ascii="Times New Roman" w:hAnsi="Times New Roman"/>
          <w:lang w:val="en-GB"/>
        </w:rPr>
        <w:t xml:space="preserve">in RAN1. However, in case plenary wants to guard from the worst situation where RAN1 continuously fail to reach consensus, RAN should lean on a conservative approach by following the conventional style. </w:t>
      </w:r>
    </w:p>
    <w:p w14:paraId="00976BD2" w14:textId="09B13AB8" w:rsidR="00BC446A" w:rsidRPr="00BC446A" w:rsidRDefault="00BC446A" w:rsidP="00BC446A">
      <w:pPr>
        <w:pStyle w:val="ListParagraph"/>
        <w:spacing w:before="120" w:after="120"/>
        <w:ind w:left="0"/>
        <w:rPr>
          <w:rFonts w:ascii="Times New Roman" w:hAnsi="Times New Roman"/>
          <w:b/>
          <w:i/>
          <w:lang w:val="en-GB"/>
        </w:rPr>
      </w:pPr>
      <w:r w:rsidRPr="00BC446A">
        <w:rPr>
          <w:rFonts w:ascii="Times New Roman" w:hAnsi="Times New Roman"/>
          <w:b/>
          <w:i/>
          <w:lang w:val="en-GB"/>
        </w:rPr>
        <w:t xml:space="preserve">Proposal: The </w:t>
      </w:r>
      <w:r w:rsidR="000E1E2E">
        <w:rPr>
          <w:rFonts w:ascii="Times New Roman" w:hAnsi="Times New Roman"/>
          <w:b/>
          <w:i/>
          <w:lang w:val="en-GB"/>
        </w:rPr>
        <w:t>normative discussion on single-stage SCI vs.</w:t>
      </w:r>
      <w:r w:rsidRPr="00BC446A">
        <w:rPr>
          <w:rFonts w:ascii="Times New Roman" w:hAnsi="Times New Roman"/>
          <w:b/>
          <w:i/>
          <w:lang w:val="en-GB"/>
        </w:rPr>
        <w:t xml:space="preserve"> 2-stage</w:t>
      </w:r>
      <w:r w:rsidR="000E1E2E">
        <w:rPr>
          <w:rFonts w:ascii="Times New Roman" w:hAnsi="Times New Roman"/>
          <w:b/>
          <w:i/>
          <w:lang w:val="en-GB"/>
        </w:rPr>
        <w:t xml:space="preserve"> SCI should be taken</w:t>
      </w:r>
      <w:r w:rsidRPr="00BC446A">
        <w:rPr>
          <w:rFonts w:ascii="Times New Roman" w:hAnsi="Times New Roman"/>
          <w:b/>
          <w:i/>
          <w:lang w:val="en-GB"/>
        </w:rPr>
        <w:t xml:space="preserve"> in RAN1. In case RAN1 still cannot reach consensus in WI, the conventional control channel structure, i.e., single-stage control channel, is adopted. </w:t>
      </w:r>
    </w:p>
    <w:p w14:paraId="0BDC16A2" w14:textId="46BFF79A" w:rsidR="005F1F6F" w:rsidRPr="005F1F6F" w:rsidRDefault="009E02D5" w:rsidP="00BE0BCE">
      <w:pPr>
        <w:pStyle w:val="ListParagraph"/>
        <w:ind w:left="0"/>
        <w:rPr>
          <w:lang w:val="en-GB"/>
        </w:rPr>
      </w:pPr>
      <w:r>
        <w:rPr>
          <w:lang w:val="en-GB"/>
        </w:rPr>
        <w:t xml:space="preserve"> </w:t>
      </w:r>
      <w:r w:rsidR="005F1F6F">
        <w:rPr>
          <w:lang w:val="en-GB"/>
        </w:rPr>
        <w:t xml:space="preserve">  </w:t>
      </w:r>
    </w:p>
    <w:p w14:paraId="19934C53" w14:textId="77777777" w:rsidR="00E73D96" w:rsidRDefault="00947C92">
      <w:pPr>
        <w:rPr>
          <w:b/>
          <w:i/>
          <w:sz w:val="22"/>
          <w:szCs w:val="22"/>
          <w:u w:val="single"/>
          <w:lang w:val="en-GB"/>
        </w:rPr>
      </w:pPr>
      <w:r>
        <w:rPr>
          <w:b/>
          <w:i/>
          <w:sz w:val="22"/>
          <w:szCs w:val="22"/>
          <w:u w:val="single"/>
          <w:lang w:val="en-GB"/>
        </w:rPr>
        <w:t>Relation between mode 1 and mode 2d</w:t>
      </w:r>
    </w:p>
    <w:p w14:paraId="42E3D043" w14:textId="77777777" w:rsidR="00E73D96" w:rsidRPr="0079586A" w:rsidRDefault="00947C92" w:rsidP="0079586A">
      <w:pPr>
        <w:spacing w:before="120" w:after="120"/>
        <w:rPr>
          <w:sz w:val="22"/>
          <w:szCs w:val="22"/>
          <w:lang w:val="en-GB"/>
        </w:rPr>
      </w:pPr>
      <w:r w:rsidRPr="0079586A">
        <w:rPr>
          <w:sz w:val="22"/>
          <w:szCs w:val="22"/>
          <w:lang w:val="en-GB"/>
        </w:rPr>
        <w:t>It is agreed in RAN1 #96 that</w:t>
      </w:r>
    </w:p>
    <w:p w14:paraId="38B97873" w14:textId="77777777" w:rsidR="00E73D96" w:rsidRPr="0079586A" w:rsidRDefault="00947C92" w:rsidP="0079586A">
      <w:pPr>
        <w:pStyle w:val="3GPPAgreements"/>
        <w:numPr>
          <w:ilvl w:val="0"/>
          <w:numId w:val="0"/>
        </w:numPr>
        <w:spacing w:before="120" w:after="120"/>
        <w:ind w:left="360"/>
        <w:rPr>
          <w:bCs/>
          <w:i/>
          <w:sz w:val="20"/>
        </w:rPr>
      </w:pPr>
      <w:r w:rsidRPr="0079586A">
        <w:rPr>
          <w:bCs/>
          <w:i/>
          <w:sz w:val="20"/>
        </w:rPr>
        <w:t>In the context of Mode-2(d), NR V2X supports the following functionality:</w:t>
      </w:r>
    </w:p>
    <w:p w14:paraId="3E4EB303" w14:textId="77777777" w:rsidR="00E73D96" w:rsidRPr="0079586A" w:rsidRDefault="00947C92" w:rsidP="0079586A">
      <w:pPr>
        <w:pStyle w:val="3GPPAgreements"/>
        <w:numPr>
          <w:ilvl w:val="0"/>
          <w:numId w:val="7"/>
        </w:numPr>
        <w:spacing w:before="120" w:after="120"/>
        <w:rPr>
          <w:bCs/>
          <w:i/>
          <w:sz w:val="20"/>
        </w:rPr>
      </w:pPr>
      <w:r w:rsidRPr="0079586A">
        <w:rPr>
          <w:bCs/>
          <w:i/>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7A784C0E" w14:textId="77777777" w:rsidR="00E73D96" w:rsidRPr="0079586A" w:rsidRDefault="00947C92" w:rsidP="0079586A">
      <w:pPr>
        <w:pStyle w:val="3GPPAgreements"/>
        <w:numPr>
          <w:ilvl w:val="1"/>
          <w:numId w:val="7"/>
        </w:numPr>
        <w:spacing w:before="120" w:after="120"/>
        <w:rPr>
          <w:bCs/>
          <w:i/>
          <w:sz w:val="20"/>
        </w:rPr>
      </w:pPr>
      <w:r w:rsidRPr="0079586A">
        <w:rPr>
          <w:bCs/>
          <w:i/>
          <w:sz w:val="20"/>
        </w:rPr>
        <w:t>The UE cannot modify the configuration provided by gNB</w:t>
      </w:r>
    </w:p>
    <w:p w14:paraId="740A9E5B" w14:textId="77777777" w:rsidR="00E73D96" w:rsidRPr="0079586A" w:rsidRDefault="00947C92" w:rsidP="0079586A">
      <w:pPr>
        <w:pStyle w:val="3GPPAgreements"/>
        <w:numPr>
          <w:ilvl w:val="1"/>
          <w:numId w:val="7"/>
        </w:numPr>
        <w:spacing w:before="120" w:after="120"/>
        <w:rPr>
          <w:bCs/>
          <w:i/>
          <w:sz w:val="20"/>
        </w:rPr>
      </w:pPr>
      <w:r w:rsidRPr="0079586A">
        <w:rPr>
          <w:bCs/>
          <w:i/>
          <w:sz w:val="20"/>
        </w:rPr>
        <w:t>Higher layer signaling is to be used to provide the configuration. No physical layer signaling is used</w:t>
      </w:r>
    </w:p>
    <w:p w14:paraId="566A1134" w14:textId="77777777" w:rsidR="00E73D96" w:rsidRPr="0079586A" w:rsidRDefault="00947C92" w:rsidP="0079586A">
      <w:pPr>
        <w:pStyle w:val="3GPPAgreements"/>
        <w:numPr>
          <w:ilvl w:val="0"/>
          <w:numId w:val="7"/>
        </w:numPr>
        <w:spacing w:before="120" w:after="120"/>
        <w:rPr>
          <w:bCs/>
          <w:i/>
          <w:sz w:val="20"/>
        </w:rPr>
      </w:pPr>
      <w:r w:rsidRPr="0079586A">
        <w:rPr>
          <w:bCs/>
          <w:i/>
          <w:sz w:val="20"/>
        </w:rPr>
        <w:t>FFS if one or both options are supported (i.e. resource pool configuration(s) or resource configuration)</w:t>
      </w:r>
    </w:p>
    <w:p w14:paraId="3E22D361" w14:textId="77777777" w:rsidR="00E73D96" w:rsidRPr="0079586A" w:rsidRDefault="00947C92" w:rsidP="0079586A">
      <w:pPr>
        <w:pStyle w:val="3GPPAgreements"/>
        <w:numPr>
          <w:ilvl w:val="0"/>
          <w:numId w:val="7"/>
        </w:numPr>
        <w:spacing w:before="120" w:after="120"/>
        <w:rPr>
          <w:bCs/>
          <w:i/>
          <w:sz w:val="20"/>
        </w:rPr>
      </w:pPr>
      <w:r w:rsidRPr="0079586A">
        <w:rPr>
          <w:bCs/>
          <w:i/>
          <w:sz w:val="20"/>
        </w:rPr>
        <w:t>FFS which functionality defined as a part of Mode-2 is applicable for this feature</w:t>
      </w:r>
    </w:p>
    <w:p w14:paraId="591401C2" w14:textId="77777777" w:rsidR="00E73D96" w:rsidRPr="0079586A" w:rsidRDefault="00947C92" w:rsidP="0079586A">
      <w:pPr>
        <w:pStyle w:val="3GPPAgreements"/>
        <w:numPr>
          <w:ilvl w:val="0"/>
          <w:numId w:val="7"/>
        </w:numPr>
        <w:spacing w:before="120" w:after="120"/>
        <w:rPr>
          <w:bCs/>
          <w:i/>
          <w:sz w:val="20"/>
        </w:rPr>
      </w:pPr>
      <w:r w:rsidRPr="0079586A">
        <w:rPr>
          <w:bCs/>
          <w:i/>
          <w:sz w:val="20"/>
        </w:rPr>
        <w:t>This functionality is up to UE capability(ies)</w:t>
      </w:r>
    </w:p>
    <w:p w14:paraId="6F94614A" w14:textId="0B953051" w:rsidR="00E73D96" w:rsidRPr="0079586A" w:rsidRDefault="005E725F" w:rsidP="0079586A">
      <w:pPr>
        <w:spacing w:before="120" w:after="120"/>
        <w:rPr>
          <w:sz w:val="22"/>
          <w:szCs w:val="22"/>
        </w:rPr>
      </w:pPr>
      <w:r w:rsidRPr="0079586A">
        <w:rPr>
          <w:sz w:val="22"/>
          <w:szCs w:val="22"/>
        </w:rPr>
        <w:t>Meanwhile</w:t>
      </w:r>
      <w:r w:rsidR="00947C92" w:rsidRPr="0079586A">
        <w:rPr>
          <w:sz w:val="22"/>
          <w:szCs w:val="22"/>
        </w:rPr>
        <w:t>, RAN2 #105 reached following agreement:</w:t>
      </w:r>
    </w:p>
    <w:p w14:paraId="2A6550B7" w14:textId="77777777" w:rsidR="00E73D96" w:rsidRPr="0079586A" w:rsidRDefault="00947C92" w:rsidP="0079586A">
      <w:pPr>
        <w:spacing w:before="120" w:after="120"/>
        <w:ind w:left="360"/>
        <w:rPr>
          <w:i/>
          <w:color w:val="000000"/>
          <w:lang w:eastAsia="ko-KR"/>
        </w:rPr>
      </w:pPr>
      <w:r w:rsidRPr="0079586A">
        <w:rPr>
          <w:i/>
          <w:color w:val="000000"/>
          <w:lang w:eastAsia="ko-KR"/>
        </w:rPr>
        <w:t>1-4: Indirect scheduling via another UE for Sidelink Mode 1 is not captured in NR V2X SI TR from RAN2 point of view.</w:t>
      </w:r>
    </w:p>
    <w:p w14:paraId="756B3AE9" w14:textId="25673B86" w:rsidR="005E725F" w:rsidRPr="0079586A" w:rsidRDefault="000104C0" w:rsidP="0079586A">
      <w:pPr>
        <w:spacing w:before="120" w:after="120"/>
        <w:rPr>
          <w:sz w:val="22"/>
          <w:szCs w:val="22"/>
          <w:lang w:val="en-GB"/>
        </w:rPr>
      </w:pPr>
      <w:r w:rsidRPr="0079586A">
        <w:rPr>
          <w:sz w:val="22"/>
          <w:szCs w:val="22"/>
          <w:lang w:val="en-GB"/>
        </w:rPr>
        <w:lastRenderedPageBreak/>
        <w:t xml:space="preserve">The </w:t>
      </w:r>
      <w:r w:rsidR="00E113E9">
        <w:rPr>
          <w:sz w:val="22"/>
          <w:szCs w:val="22"/>
          <w:lang w:val="en-GB"/>
        </w:rPr>
        <w:t xml:space="preserve">above </w:t>
      </w:r>
      <w:r w:rsidRPr="0079586A">
        <w:rPr>
          <w:sz w:val="22"/>
          <w:szCs w:val="22"/>
          <w:lang w:val="en-GB"/>
        </w:rPr>
        <w:t>RAN1 agreement mentions both “</w:t>
      </w:r>
      <w:r w:rsidRPr="0079586A">
        <w:rPr>
          <w:bCs/>
          <w:i/>
          <w:sz w:val="22"/>
          <w:szCs w:val="22"/>
        </w:rPr>
        <w:t>individual resource pool configuration</w:t>
      </w:r>
      <w:r w:rsidRPr="0079586A">
        <w:rPr>
          <w:sz w:val="22"/>
          <w:szCs w:val="22"/>
          <w:lang w:val="en-GB"/>
        </w:rPr>
        <w:t>” and “</w:t>
      </w:r>
      <w:r w:rsidRPr="0079586A">
        <w:rPr>
          <w:bCs/>
          <w:i/>
          <w:sz w:val="22"/>
          <w:szCs w:val="22"/>
        </w:rPr>
        <w:t>individual resource configuration</w:t>
      </w:r>
      <w:r w:rsidRPr="0079586A">
        <w:rPr>
          <w:sz w:val="22"/>
          <w:szCs w:val="22"/>
          <w:lang w:val="en-GB"/>
        </w:rPr>
        <w:t xml:space="preserve">”. </w:t>
      </w:r>
      <w:r w:rsidR="0079586A" w:rsidRPr="0079586A">
        <w:rPr>
          <w:sz w:val="22"/>
          <w:szCs w:val="22"/>
          <w:lang w:val="en-GB"/>
        </w:rPr>
        <w:t xml:space="preserve">The problem </w:t>
      </w:r>
      <w:r w:rsidR="00E113E9">
        <w:rPr>
          <w:sz w:val="22"/>
          <w:szCs w:val="22"/>
          <w:lang w:val="en-GB"/>
        </w:rPr>
        <w:t xml:space="preserve">here </w:t>
      </w:r>
      <w:r w:rsidR="0079586A" w:rsidRPr="0079586A">
        <w:rPr>
          <w:sz w:val="22"/>
          <w:szCs w:val="22"/>
          <w:lang w:val="en-GB"/>
        </w:rPr>
        <w:t>goes to the 2</w:t>
      </w:r>
      <w:r w:rsidR="0079586A" w:rsidRPr="0079586A">
        <w:rPr>
          <w:sz w:val="22"/>
          <w:szCs w:val="22"/>
          <w:vertAlign w:val="superscript"/>
          <w:lang w:val="en-GB"/>
        </w:rPr>
        <w:t>nd</w:t>
      </w:r>
      <w:r w:rsidR="00E113E9">
        <w:rPr>
          <w:sz w:val="22"/>
          <w:szCs w:val="22"/>
          <w:lang w:val="en-GB"/>
        </w:rPr>
        <w:t xml:space="preserve"> one</w:t>
      </w:r>
      <w:r w:rsidR="0079586A" w:rsidRPr="0079586A">
        <w:rPr>
          <w:sz w:val="22"/>
          <w:szCs w:val="22"/>
          <w:lang w:val="en-GB"/>
        </w:rPr>
        <w:t>.</w:t>
      </w:r>
      <w:r w:rsidRPr="0079586A">
        <w:rPr>
          <w:sz w:val="22"/>
          <w:szCs w:val="22"/>
          <w:lang w:val="en-GB"/>
        </w:rPr>
        <w:t xml:space="preserve"> </w:t>
      </w:r>
      <w:r w:rsidR="005E725F" w:rsidRPr="0079586A">
        <w:rPr>
          <w:sz w:val="22"/>
          <w:szCs w:val="22"/>
          <w:lang w:val="en-GB"/>
        </w:rPr>
        <w:t xml:space="preserve">It is our understanding that </w:t>
      </w:r>
      <w:r w:rsidRPr="0079586A">
        <w:rPr>
          <w:sz w:val="22"/>
          <w:szCs w:val="22"/>
          <w:lang w:val="en-GB"/>
        </w:rPr>
        <w:t>the</w:t>
      </w:r>
      <w:r w:rsidR="005E725F" w:rsidRPr="0079586A">
        <w:rPr>
          <w:sz w:val="22"/>
          <w:szCs w:val="22"/>
          <w:lang w:val="en-GB"/>
        </w:rPr>
        <w:t xml:space="preserve"> “</w:t>
      </w:r>
      <w:r w:rsidR="005E725F" w:rsidRPr="0079586A">
        <w:rPr>
          <w:bCs/>
          <w:i/>
          <w:sz w:val="22"/>
          <w:szCs w:val="22"/>
        </w:rPr>
        <w:t>individual resource configuration through the same UE to each group member UE</w:t>
      </w:r>
      <w:r w:rsidR="005E725F" w:rsidRPr="0079586A">
        <w:rPr>
          <w:sz w:val="22"/>
          <w:szCs w:val="22"/>
          <w:lang w:val="en-GB"/>
        </w:rPr>
        <w:t xml:space="preserve">” in the RAN1 agreement </w:t>
      </w:r>
      <w:r w:rsidRPr="0079586A">
        <w:rPr>
          <w:sz w:val="22"/>
          <w:szCs w:val="22"/>
          <w:lang w:val="en-GB"/>
        </w:rPr>
        <w:t>and the “</w:t>
      </w:r>
      <w:r w:rsidRPr="0079586A">
        <w:rPr>
          <w:i/>
          <w:sz w:val="22"/>
          <w:szCs w:val="22"/>
          <w:lang w:val="en-GB"/>
        </w:rPr>
        <w:t>indirect scheduling [by gNB] via another UE</w:t>
      </w:r>
      <w:r w:rsidRPr="0079586A">
        <w:rPr>
          <w:sz w:val="22"/>
          <w:szCs w:val="22"/>
          <w:lang w:val="en-GB"/>
        </w:rPr>
        <w:t xml:space="preserve">” in the RAN2 agreement 1-4 </w:t>
      </w:r>
      <w:r w:rsidR="005E725F" w:rsidRPr="0079586A">
        <w:rPr>
          <w:sz w:val="22"/>
          <w:szCs w:val="22"/>
          <w:lang w:val="en-GB"/>
        </w:rPr>
        <w:t xml:space="preserve">refer to the same thing, which is however categorized into mode 1 by RAN2 while into mode 2 by RAN1. According to the </w:t>
      </w:r>
      <w:r w:rsidR="00DC4E19" w:rsidRPr="0079586A">
        <w:rPr>
          <w:sz w:val="22"/>
          <w:szCs w:val="22"/>
          <w:lang w:val="en-GB"/>
        </w:rPr>
        <w:t xml:space="preserve">definitions of two modes in </w:t>
      </w:r>
      <w:r w:rsidR="005E725F" w:rsidRPr="0079586A">
        <w:rPr>
          <w:sz w:val="22"/>
          <w:szCs w:val="22"/>
          <w:lang w:val="en-GB"/>
        </w:rPr>
        <w:t xml:space="preserve">TR38.885, </w:t>
      </w:r>
      <w:r w:rsidR="00DC4E19" w:rsidRPr="0079586A">
        <w:rPr>
          <w:sz w:val="22"/>
          <w:szCs w:val="22"/>
          <w:lang w:val="en-GB"/>
        </w:rPr>
        <w:t>which are copied below, the RAN2’s viewpoint seems to be accurate. In RAN1 agreement, the characteristics of “</w:t>
      </w:r>
      <w:r w:rsidR="00DC4E19" w:rsidRPr="0079586A">
        <w:rPr>
          <w:bCs/>
          <w:i/>
          <w:sz w:val="22"/>
          <w:szCs w:val="22"/>
        </w:rPr>
        <w:t>The UE cannot modify the configuration provided by gNB</w:t>
      </w:r>
      <w:r w:rsidR="00DC4E19" w:rsidRPr="0079586A">
        <w:rPr>
          <w:sz w:val="22"/>
          <w:szCs w:val="22"/>
          <w:lang w:val="en-GB"/>
        </w:rPr>
        <w:t>” does not entitle the “</w:t>
      </w:r>
      <w:r w:rsidR="00DC4E19" w:rsidRPr="0079586A">
        <w:rPr>
          <w:bCs/>
          <w:i/>
          <w:sz w:val="22"/>
          <w:szCs w:val="22"/>
        </w:rPr>
        <w:t>individual resource configuration</w:t>
      </w:r>
      <w:r w:rsidR="00E113E9">
        <w:rPr>
          <w:sz w:val="22"/>
          <w:szCs w:val="22"/>
          <w:lang w:val="en-GB"/>
        </w:rPr>
        <w:t>” to belong to</w:t>
      </w:r>
      <w:r w:rsidR="00DC4E19" w:rsidRPr="0079586A">
        <w:rPr>
          <w:sz w:val="22"/>
          <w:szCs w:val="22"/>
          <w:lang w:val="en-GB"/>
        </w:rPr>
        <w:t xml:space="preserve"> Mode 2. </w:t>
      </w:r>
    </w:p>
    <w:p w14:paraId="61998332" w14:textId="77777777" w:rsidR="005E725F" w:rsidRPr="0079586A" w:rsidRDefault="005E725F" w:rsidP="0079586A">
      <w:pPr>
        <w:spacing w:before="120" w:after="120"/>
        <w:ind w:left="360"/>
        <w:rPr>
          <w:i/>
          <w:sz w:val="22"/>
          <w:szCs w:val="22"/>
        </w:rPr>
      </w:pPr>
      <w:r w:rsidRPr="0079586A">
        <w:rPr>
          <w:b/>
          <w:i/>
          <w:sz w:val="22"/>
          <w:szCs w:val="22"/>
        </w:rPr>
        <w:t>Mode 1</w:t>
      </w:r>
      <w:r w:rsidRPr="0079586A">
        <w:rPr>
          <w:i/>
          <w:sz w:val="22"/>
          <w:szCs w:val="22"/>
        </w:rPr>
        <w:t>: BS schedules SL resource(s) to be used by UE for SL transmission(s). See section 6.2.1.</w:t>
      </w:r>
    </w:p>
    <w:p w14:paraId="594AF991" w14:textId="77777777" w:rsidR="005E725F" w:rsidRPr="0079586A" w:rsidRDefault="005E725F" w:rsidP="0079586A">
      <w:pPr>
        <w:spacing w:before="120" w:after="120"/>
        <w:ind w:left="360"/>
        <w:rPr>
          <w:i/>
          <w:sz w:val="22"/>
          <w:szCs w:val="22"/>
        </w:rPr>
      </w:pPr>
      <w:r w:rsidRPr="0079586A">
        <w:rPr>
          <w:b/>
          <w:i/>
          <w:sz w:val="22"/>
          <w:szCs w:val="22"/>
        </w:rPr>
        <w:t>Mode 2</w:t>
      </w:r>
      <w:r w:rsidRPr="0079586A">
        <w:rPr>
          <w:i/>
          <w:sz w:val="22"/>
          <w:szCs w:val="22"/>
        </w:rPr>
        <w:t>: UE determines, i.e. BS does not schedule, SL transmission resource(s) within SL resources configured by BS/network or pre-configured SL resources. See section 5.3.1.</w:t>
      </w:r>
    </w:p>
    <w:p w14:paraId="337D7EDC" w14:textId="11BB6430" w:rsidR="003F1992" w:rsidRPr="0079586A" w:rsidRDefault="00DC4E19" w:rsidP="0079586A">
      <w:pPr>
        <w:spacing w:before="120" w:after="120"/>
        <w:rPr>
          <w:sz w:val="22"/>
          <w:szCs w:val="22"/>
          <w:lang w:val="en-GB"/>
        </w:rPr>
      </w:pPr>
      <w:r w:rsidRPr="0079586A">
        <w:rPr>
          <w:sz w:val="22"/>
          <w:szCs w:val="22"/>
        </w:rPr>
        <w:t xml:space="preserve">In fact, </w:t>
      </w:r>
      <w:r w:rsidR="005C3000" w:rsidRPr="0079586A">
        <w:rPr>
          <w:sz w:val="22"/>
          <w:szCs w:val="22"/>
          <w:lang w:val="en-GB"/>
        </w:rPr>
        <w:t>RAN1 also</w:t>
      </w:r>
      <w:r w:rsidR="007D4939" w:rsidRPr="0079586A">
        <w:rPr>
          <w:sz w:val="22"/>
          <w:szCs w:val="22"/>
          <w:lang w:val="en-GB"/>
        </w:rPr>
        <w:t xml:space="preserve"> recognized </w:t>
      </w:r>
      <w:r w:rsidR="005C3000" w:rsidRPr="0079586A">
        <w:rPr>
          <w:sz w:val="22"/>
          <w:szCs w:val="22"/>
          <w:lang w:val="en-GB"/>
        </w:rPr>
        <w:t xml:space="preserve">that the </w:t>
      </w:r>
      <w:r w:rsidR="007D4939" w:rsidRPr="0079586A">
        <w:rPr>
          <w:sz w:val="22"/>
          <w:szCs w:val="22"/>
          <w:lang w:val="en-GB"/>
        </w:rPr>
        <w:t xml:space="preserve">corresponding </w:t>
      </w:r>
      <w:r w:rsidR="005C3000" w:rsidRPr="0079586A">
        <w:rPr>
          <w:sz w:val="22"/>
          <w:szCs w:val="22"/>
          <w:lang w:val="en-GB"/>
        </w:rPr>
        <w:t>RAN1</w:t>
      </w:r>
      <w:r w:rsidR="007D4939" w:rsidRPr="0079586A">
        <w:rPr>
          <w:sz w:val="22"/>
          <w:szCs w:val="22"/>
          <w:lang w:val="en-GB"/>
        </w:rPr>
        <w:t xml:space="preserve"> discussion</w:t>
      </w:r>
      <w:r w:rsidR="005C3000" w:rsidRPr="0079586A">
        <w:rPr>
          <w:sz w:val="22"/>
          <w:szCs w:val="22"/>
          <w:lang w:val="en-GB"/>
        </w:rPr>
        <w:t xml:space="preserve"> started </w:t>
      </w:r>
      <w:r w:rsidR="0079586A" w:rsidRPr="0079586A">
        <w:rPr>
          <w:sz w:val="22"/>
          <w:szCs w:val="22"/>
          <w:lang w:val="en-GB"/>
        </w:rPr>
        <w:t>with</w:t>
      </w:r>
      <w:r w:rsidR="005C3000" w:rsidRPr="0079586A">
        <w:rPr>
          <w:sz w:val="22"/>
          <w:szCs w:val="22"/>
          <w:lang w:val="en-GB"/>
        </w:rPr>
        <w:t xml:space="preserve"> mode 2(d) motivation but resulted in a mechanism </w:t>
      </w:r>
      <w:r w:rsidR="00E113E9">
        <w:rPr>
          <w:sz w:val="22"/>
          <w:szCs w:val="22"/>
          <w:lang w:val="en-GB"/>
        </w:rPr>
        <w:t xml:space="preserve">(only the </w:t>
      </w:r>
      <w:r w:rsidR="00E113E9" w:rsidRPr="0079586A">
        <w:rPr>
          <w:sz w:val="22"/>
          <w:szCs w:val="22"/>
          <w:lang w:val="en-GB"/>
        </w:rPr>
        <w:t>“</w:t>
      </w:r>
      <w:r w:rsidR="00E113E9" w:rsidRPr="0079586A">
        <w:rPr>
          <w:bCs/>
          <w:i/>
          <w:sz w:val="22"/>
          <w:szCs w:val="22"/>
        </w:rPr>
        <w:t>individual resource configuration</w:t>
      </w:r>
      <w:r w:rsidR="00E113E9" w:rsidRPr="0079586A">
        <w:rPr>
          <w:sz w:val="22"/>
          <w:szCs w:val="22"/>
          <w:lang w:val="en-GB"/>
        </w:rPr>
        <w:t>”</w:t>
      </w:r>
      <w:r w:rsidR="00E113E9">
        <w:rPr>
          <w:sz w:val="22"/>
          <w:szCs w:val="22"/>
          <w:lang w:val="en-GB"/>
        </w:rPr>
        <w:t xml:space="preserve"> part) </w:t>
      </w:r>
      <w:r w:rsidR="005C3000" w:rsidRPr="0079586A">
        <w:rPr>
          <w:sz w:val="22"/>
          <w:szCs w:val="22"/>
          <w:lang w:val="en-GB"/>
        </w:rPr>
        <w:t xml:space="preserve">that can be hardly categorized into mode 2 but more suitable </w:t>
      </w:r>
      <w:r w:rsidR="000104C0" w:rsidRPr="0079586A">
        <w:rPr>
          <w:sz w:val="22"/>
          <w:szCs w:val="22"/>
          <w:lang w:val="en-GB"/>
        </w:rPr>
        <w:t>in</w:t>
      </w:r>
      <w:r w:rsidR="005C3000" w:rsidRPr="0079586A">
        <w:rPr>
          <w:sz w:val="22"/>
          <w:szCs w:val="22"/>
          <w:lang w:val="en-GB"/>
        </w:rPr>
        <w:t>to mode 1. This is why RAN1 eventually used wording “In the context of Mode2(d)”</w:t>
      </w:r>
      <w:r w:rsidR="007D4939" w:rsidRPr="0079586A">
        <w:rPr>
          <w:sz w:val="22"/>
          <w:szCs w:val="22"/>
          <w:lang w:val="en-GB"/>
        </w:rPr>
        <w:t xml:space="preserve"> instead of dir</w:t>
      </w:r>
      <w:r w:rsidR="000104C0" w:rsidRPr="0079586A">
        <w:rPr>
          <w:sz w:val="22"/>
          <w:szCs w:val="22"/>
          <w:lang w:val="en-GB"/>
        </w:rPr>
        <w:t>ectly mentioning “In mode 2(d)”</w:t>
      </w:r>
      <w:r w:rsidR="007D4939" w:rsidRPr="0079586A">
        <w:rPr>
          <w:sz w:val="22"/>
          <w:szCs w:val="22"/>
          <w:lang w:val="en-GB"/>
        </w:rPr>
        <w:t xml:space="preserve">. </w:t>
      </w:r>
      <w:r w:rsidR="00486094" w:rsidRPr="0079586A">
        <w:rPr>
          <w:sz w:val="22"/>
          <w:szCs w:val="22"/>
          <w:lang w:val="en-GB"/>
        </w:rPr>
        <w:t>However, t</w:t>
      </w:r>
      <w:r w:rsidR="008014A4" w:rsidRPr="0079586A">
        <w:rPr>
          <w:sz w:val="22"/>
          <w:szCs w:val="22"/>
          <w:lang w:val="en-GB"/>
        </w:rPr>
        <w:t xml:space="preserve">his </w:t>
      </w:r>
      <w:r w:rsidR="007D4939" w:rsidRPr="0079586A">
        <w:rPr>
          <w:sz w:val="22"/>
          <w:szCs w:val="22"/>
          <w:lang w:val="en-GB"/>
        </w:rPr>
        <w:t xml:space="preserve">concept </w:t>
      </w:r>
      <w:r w:rsidR="000104C0" w:rsidRPr="0079586A">
        <w:rPr>
          <w:sz w:val="22"/>
          <w:szCs w:val="22"/>
          <w:lang w:val="en-GB"/>
        </w:rPr>
        <w:t>misalignment</w:t>
      </w:r>
      <w:r w:rsidR="007D4939" w:rsidRPr="0079586A">
        <w:rPr>
          <w:sz w:val="22"/>
          <w:szCs w:val="22"/>
          <w:lang w:val="en-GB"/>
        </w:rPr>
        <w:t>, if remaining unsolved,</w:t>
      </w:r>
      <w:r w:rsidR="008014A4" w:rsidRPr="0079586A">
        <w:rPr>
          <w:sz w:val="22"/>
          <w:szCs w:val="22"/>
          <w:lang w:val="en-GB"/>
        </w:rPr>
        <w:t xml:space="preserve"> </w:t>
      </w:r>
      <w:r w:rsidR="007D4939" w:rsidRPr="0079586A">
        <w:rPr>
          <w:sz w:val="22"/>
          <w:szCs w:val="22"/>
          <w:lang w:val="en-GB"/>
        </w:rPr>
        <w:t xml:space="preserve">could </w:t>
      </w:r>
      <w:r w:rsidR="008014A4" w:rsidRPr="0079586A">
        <w:rPr>
          <w:sz w:val="22"/>
          <w:szCs w:val="22"/>
          <w:lang w:val="en-GB"/>
        </w:rPr>
        <w:t xml:space="preserve">cause potential trouble and unnecessary complexity in normative work, especially </w:t>
      </w:r>
      <w:r w:rsidR="007D4939" w:rsidRPr="0079586A">
        <w:rPr>
          <w:sz w:val="22"/>
          <w:szCs w:val="22"/>
          <w:lang w:val="en-GB"/>
        </w:rPr>
        <w:t xml:space="preserve">when </w:t>
      </w:r>
      <w:r w:rsidR="008014A4" w:rsidRPr="0079586A">
        <w:rPr>
          <w:sz w:val="22"/>
          <w:szCs w:val="22"/>
          <w:lang w:val="en-GB"/>
        </w:rPr>
        <w:t>the cooperation between RAN1 and RAN2</w:t>
      </w:r>
      <w:r w:rsidR="00486094" w:rsidRPr="0079586A">
        <w:rPr>
          <w:sz w:val="22"/>
          <w:szCs w:val="22"/>
          <w:lang w:val="en-GB"/>
        </w:rPr>
        <w:t xml:space="preserve"> is involved</w:t>
      </w:r>
      <w:r w:rsidR="008014A4" w:rsidRPr="0079586A">
        <w:rPr>
          <w:sz w:val="22"/>
          <w:szCs w:val="22"/>
          <w:lang w:val="en-GB"/>
        </w:rPr>
        <w:t>. S</w:t>
      </w:r>
      <w:r w:rsidR="007D4939" w:rsidRPr="0079586A">
        <w:rPr>
          <w:sz w:val="22"/>
          <w:szCs w:val="22"/>
          <w:lang w:val="en-GB"/>
        </w:rPr>
        <w:t>o</w:t>
      </w:r>
      <w:r w:rsidR="008014A4" w:rsidRPr="0079586A">
        <w:rPr>
          <w:sz w:val="22"/>
          <w:szCs w:val="22"/>
          <w:lang w:val="en-GB"/>
        </w:rPr>
        <w:t xml:space="preserve"> it is suggested </w:t>
      </w:r>
      <w:r w:rsidR="00E113E9">
        <w:rPr>
          <w:sz w:val="22"/>
          <w:szCs w:val="22"/>
          <w:lang w:val="en-GB"/>
        </w:rPr>
        <w:t xml:space="preserve">that RAN1 and RAN2 </w:t>
      </w:r>
      <w:r w:rsidR="0079586A" w:rsidRPr="0079586A">
        <w:rPr>
          <w:sz w:val="22"/>
          <w:szCs w:val="22"/>
          <w:lang w:val="en-GB"/>
        </w:rPr>
        <w:t>have a common understanding</w:t>
      </w:r>
      <w:r w:rsidR="000104C0" w:rsidRPr="0079586A">
        <w:rPr>
          <w:sz w:val="22"/>
          <w:szCs w:val="22"/>
          <w:lang w:val="en-GB"/>
        </w:rPr>
        <w:t xml:space="preserve"> that “</w:t>
      </w:r>
      <w:r w:rsidR="000104C0" w:rsidRPr="0079586A">
        <w:rPr>
          <w:bCs/>
          <w:i/>
          <w:sz w:val="22"/>
          <w:szCs w:val="22"/>
        </w:rPr>
        <w:t xml:space="preserve">gNB provides individual resource configuration through </w:t>
      </w:r>
      <w:r w:rsidR="0079586A" w:rsidRPr="0079586A">
        <w:rPr>
          <w:bCs/>
          <w:i/>
          <w:sz w:val="22"/>
          <w:szCs w:val="22"/>
        </w:rPr>
        <w:t>one UE to another, where the one UE cannot change the configuration</w:t>
      </w:r>
      <w:r w:rsidR="000104C0" w:rsidRPr="0079586A">
        <w:rPr>
          <w:sz w:val="22"/>
          <w:szCs w:val="22"/>
          <w:lang w:val="en-GB"/>
        </w:rPr>
        <w:t>”</w:t>
      </w:r>
      <w:r w:rsidR="0079586A" w:rsidRPr="0079586A">
        <w:rPr>
          <w:sz w:val="22"/>
          <w:szCs w:val="22"/>
          <w:lang w:val="en-GB"/>
        </w:rPr>
        <w:t xml:space="preserve"> is a mode-1 operation, instead of mode-2 operation</w:t>
      </w:r>
      <w:r w:rsidR="008014A4" w:rsidRPr="0079586A">
        <w:rPr>
          <w:sz w:val="22"/>
          <w:szCs w:val="22"/>
          <w:lang w:val="en-GB"/>
        </w:rPr>
        <w:t xml:space="preserve">. </w:t>
      </w:r>
      <w:r w:rsidR="003F1992" w:rsidRPr="0079586A">
        <w:rPr>
          <w:sz w:val="22"/>
          <w:szCs w:val="22"/>
          <w:lang w:val="en-GB"/>
        </w:rPr>
        <w:t xml:space="preserve"> </w:t>
      </w:r>
    </w:p>
    <w:p w14:paraId="2834C2EA" w14:textId="340EFB03" w:rsidR="005C3000" w:rsidRPr="0079586A" w:rsidRDefault="005C3000" w:rsidP="0079586A">
      <w:pPr>
        <w:spacing w:before="120" w:after="120"/>
        <w:rPr>
          <w:b/>
          <w:i/>
          <w:sz w:val="22"/>
          <w:szCs w:val="22"/>
          <w:lang w:val="en-GB"/>
        </w:rPr>
      </w:pPr>
      <w:r w:rsidRPr="0079586A">
        <w:rPr>
          <w:b/>
          <w:i/>
          <w:sz w:val="22"/>
          <w:szCs w:val="22"/>
          <w:lang w:val="en-GB"/>
        </w:rPr>
        <w:t xml:space="preserve">Proposal: </w:t>
      </w:r>
      <w:r w:rsidR="0079586A" w:rsidRPr="0079586A">
        <w:rPr>
          <w:b/>
          <w:i/>
          <w:sz w:val="22"/>
          <w:szCs w:val="22"/>
          <w:lang w:val="en-GB"/>
        </w:rPr>
        <w:t>RAN1 and RAN2 should have a common understanding that “</w:t>
      </w:r>
      <w:r w:rsidR="0079586A" w:rsidRPr="0079586A">
        <w:rPr>
          <w:b/>
          <w:bCs/>
          <w:i/>
          <w:sz w:val="22"/>
          <w:szCs w:val="22"/>
        </w:rPr>
        <w:t>gNB provides individual resource configuration through one UE to another, where the one UE cannot change the configuration</w:t>
      </w:r>
      <w:r w:rsidR="0079586A" w:rsidRPr="0079586A">
        <w:rPr>
          <w:b/>
          <w:i/>
          <w:sz w:val="22"/>
          <w:szCs w:val="22"/>
          <w:lang w:val="en-GB"/>
        </w:rPr>
        <w:t>” is a mode-1 operation, instead of mode-2 operation.</w:t>
      </w:r>
    </w:p>
    <w:p w14:paraId="721DCAAF" w14:textId="77777777" w:rsidR="00E73D96" w:rsidRDefault="00947C92">
      <w:pPr>
        <w:pStyle w:val="Heading1"/>
        <w:numPr>
          <w:ilvl w:val="0"/>
          <w:numId w:val="3"/>
        </w:numPr>
        <w:ind w:left="360"/>
        <w:rPr>
          <w:rFonts w:cs="Arial"/>
          <w:sz w:val="32"/>
          <w:szCs w:val="32"/>
        </w:rPr>
      </w:pPr>
      <w:r>
        <w:rPr>
          <w:rFonts w:cs="Arial"/>
          <w:sz w:val="32"/>
          <w:szCs w:val="32"/>
        </w:rPr>
        <w:t>Conclusions</w:t>
      </w:r>
      <w:r>
        <w:rPr>
          <w:rFonts w:cs="Arial"/>
          <w:b/>
          <w:sz w:val="32"/>
          <w:szCs w:val="32"/>
        </w:rPr>
        <w:t xml:space="preserve"> </w:t>
      </w:r>
    </w:p>
    <w:p w14:paraId="7BF59375" w14:textId="29478C73" w:rsidR="00E73D96" w:rsidRPr="0079586A" w:rsidRDefault="00630CFC" w:rsidP="0079586A">
      <w:pPr>
        <w:spacing w:before="120" w:after="120"/>
        <w:rPr>
          <w:rFonts w:eastAsia="Times New Roman"/>
          <w:sz w:val="22"/>
          <w:szCs w:val="22"/>
          <w:lang w:val="en-GB"/>
        </w:rPr>
      </w:pPr>
      <w:r w:rsidRPr="0079586A">
        <w:rPr>
          <w:rFonts w:eastAsia="Times New Roman"/>
          <w:sz w:val="22"/>
          <w:szCs w:val="22"/>
          <w:lang w:val="en-GB"/>
        </w:rPr>
        <w:t>The paper concludes with following observations and proposals:</w:t>
      </w:r>
    </w:p>
    <w:p w14:paraId="38E3D272" w14:textId="77777777" w:rsidR="00630CFC" w:rsidRPr="0079586A" w:rsidRDefault="00630CFC" w:rsidP="0079586A">
      <w:pPr>
        <w:spacing w:before="120" w:after="120"/>
        <w:rPr>
          <w:b/>
          <w:i/>
          <w:sz w:val="22"/>
          <w:szCs w:val="22"/>
          <w:lang w:val="en-GB"/>
        </w:rPr>
      </w:pPr>
      <w:r w:rsidRPr="0079586A">
        <w:rPr>
          <w:b/>
          <w:i/>
          <w:sz w:val="22"/>
          <w:szCs w:val="22"/>
          <w:lang w:val="en-GB"/>
        </w:rPr>
        <w:t xml:space="preserve">Observation 1: Based on the current TU planning for V2X WI, the V2X WI is expected to have about 30% cut of RAN1 discussion time (online+offline) comparing to the V2X SI. </w:t>
      </w:r>
    </w:p>
    <w:p w14:paraId="716AB3A3" w14:textId="77777777" w:rsidR="00CA1FA8" w:rsidRDefault="00CA1FA8" w:rsidP="00CA1FA8">
      <w:pPr>
        <w:pStyle w:val="ListParagraph"/>
        <w:spacing w:before="120" w:after="120"/>
        <w:ind w:left="0"/>
        <w:rPr>
          <w:rFonts w:ascii="Times New Roman" w:hAnsi="Times New Roman"/>
          <w:b/>
          <w:i/>
          <w:lang w:val="en-GB"/>
        </w:rPr>
      </w:pPr>
      <w:r>
        <w:rPr>
          <w:rFonts w:ascii="Times New Roman" w:hAnsi="Times New Roman"/>
          <w:b/>
          <w:i/>
          <w:lang w:val="en-GB"/>
        </w:rPr>
        <w:t xml:space="preserve">Observation 2: Even with notable achievements in SI phase, there are still quite some fundamental issues waiting in the V2X WI. The large TU and long discussion time in SI phase do not well handle the large scope of V2X SI. </w:t>
      </w:r>
    </w:p>
    <w:p w14:paraId="2E2DACB6" w14:textId="46E6B71D" w:rsidR="00630CFC" w:rsidRPr="0079586A" w:rsidRDefault="00630CFC" w:rsidP="0079586A">
      <w:pPr>
        <w:spacing w:before="120" w:after="120"/>
        <w:rPr>
          <w:rFonts w:eastAsia="Times New Roman"/>
          <w:b/>
          <w:i/>
          <w:sz w:val="22"/>
          <w:szCs w:val="22"/>
          <w:lang w:val="en-GB"/>
        </w:rPr>
      </w:pPr>
      <w:r w:rsidRPr="0079586A">
        <w:rPr>
          <w:rFonts w:eastAsia="Times New Roman"/>
          <w:b/>
          <w:i/>
          <w:sz w:val="22"/>
          <w:szCs w:val="22"/>
          <w:lang w:val="en-GB"/>
        </w:rPr>
        <w:t>Proposal</w:t>
      </w:r>
      <w:r w:rsidR="00283FAC">
        <w:rPr>
          <w:rFonts w:eastAsia="Times New Roman"/>
          <w:b/>
          <w:i/>
          <w:sz w:val="22"/>
          <w:szCs w:val="22"/>
          <w:lang w:val="en-GB"/>
        </w:rPr>
        <w:t xml:space="preserve"> 1</w:t>
      </w:r>
      <w:r w:rsidRPr="0079586A">
        <w:rPr>
          <w:rFonts w:eastAsia="Times New Roman"/>
          <w:b/>
          <w:i/>
          <w:sz w:val="22"/>
          <w:szCs w:val="22"/>
          <w:lang w:val="en-GB"/>
        </w:rPr>
        <w:t xml:space="preserve">: To consider following ways </w:t>
      </w:r>
      <w:r w:rsidR="00B27742">
        <w:rPr>
          <w:rFonts w:eastAsia="Times New Roman"/>
          <w:b/>
          <w:i/>
          <w:sz w:val="22"/>
          <w:szCs w:val="22"/>
          <w:lang w:val="en-GB"/>
        </w:rPr>
        <w:t>to down-size</w:t>
      </w:r>
      <w:r w:rsidRPr="0079586A">
        <w:rPr>
          <w:rFonts w:eastAsia="Times New Roman"/>
          <w:b/>
          <w:i/>
          <w:sz w:val="22"/>
          <w:szCs w:val="22"/>
          <w:lang w:val="en-GB"/>
        </w:rPr>
        <w:t xml:space="preserve"> V2X WI scope. </w:t>
      </w:r>
    </w:p>
    <w:p w14:paraId="5E57DF18" w14:textId="18B5A48C" w:rsidR="00630CFC" w:rsidRPr="0079586A" w:rsidRDefault="00630CFC" w:rsidP="0079586A">
      <w:pPr>
        <w:pStyle w:val="ListParagraph"/>
        <w:numPr>
          <w:ilvl w:val="0"/>
          <w:numId w:val="6"/>
        </w:numPr>
        <w:spacing w:before="120" w:after="120"/>
        <w:rPr>
          <w:rFonts w:ascii="Times New Roman" w:hAnsi="Times New Roman"/>
          <w:b/>
          <w:i/>
          <w:lang w:val="en-GB"/>
        </w:rPr>
      </w:pPr>
      <w:r w:rsidRPr="0079586A">
        <w:rPr>
          <w:rFonts w:ascii="Times New Roman" w:hAnsi="Times New Roman"/>
          <w:b/>
          <w:i/>
          <w:lang w:val="en-GB"/>
        </w:rPr>
        <w:t xml:space="preserve">RAN1 does not support in Rel-16 multiple functionalities for the same feature target. </w:t>
      </w:r>
    </w:p>
    <w:p w14:paraId="6C16746E" w14:textId="0B76554C" w:rsidR="00630CFC" w:rsidRPr="0079586A" w:rsidRDefault="00630CFC" w:rsidP="0079586A">
      <w:pPr>
        <w:pStyle w:val="ListParagraph"/>
        <w:numPr>
          <w:ilvl w:val="0"/>
          <w:numId w:val="6"/>
        </w:numPr>
        <w:spacing w:before="120" w:after="120"/>
        <w:rPr>
          <w:rFonts w:ascii="Times New Roman" w:hAnsi="Times New Roman"/>
          <w:b/>
          <w:i/>
          <w:lang w:val="en-GB"/>
        </w:rPr>
      </w:pPr>
      <w:r w:rsidRPr="0079586A">
        <w:rPr>
          <w:rFonts w:ascii="Times New Roman" w:hAnsi="Times New Roman"/>
          <w:b/>
          <w:i/>
          <w:lang w:val="en-GB"/>
        </w:rPr>
        <w:t xml:space="preserve">When supporting both resource allocation mode 1 and mode 2, only the basic or minimal required functionalities are supported in Rel-16. </w:t>
      </w:r>
    </w:p>
    <w:p w14:paraId="347DA290" w14:textId="027549BA" w:rsidR="00630CFC" w:rsidRPr="0079586A" w:rsidRDefault="00630CFC" w:rsidP="0079586A">
      <w:pPr>
        <w:pStyle w:val="ListParagraph"/>
        <w:numPr>
          <w:ilvl w:val="0"/>
          <w:numId w:val="6"/>
        </w:numPr>
        <w:spacing w:before="120" w:after="120"/>
        <w:rPr>
          <w:rFonts w:ascii="Times New Roman" w:hAnsi="Times New Roman"/>
          <w:b/>
          <w:i/>
          <w:lang w:val="en-GB"/>
        </w:rPr>
      </w:pPr>
      <w:r w:rsidRPr="0079586A">
        <w:rPr>
          <w:rFonts w:ascii="Times New Roman" w:hAnsi="Times New Roman"/>
          <w:b/>
          <w:i/>
          <w:lang w:val="en-GB"/>
        </w:rPr>
        <w:t xml:space="preserve">NR Uu enhancement (for V2X use cases) is left to other parallel NR WI (in case of feature overlapping) or to future release (e.g., when multicast/broadcast is supported on NR Uu interface). </w:t>
      </w:r>
    </w:p>
    <w:p w14:paraId="52D238DE" w14:textId="464EC248" w:rsidR="00630CFC" w:rsidRPr="0079586A" w:rsidRDefault="00A401C7" w:rsidP="0079586A">
      <w:pPr>
        <w:pStyle w:val="ListParagraph"/>
        <w:numPr>
          <w:ilvl w:val="0"/>
          <w:numId w:val="6"/>
        </w:numPr>
        <w:spacing w:before="120" w:after="120"/>
        <w:rPr>
          <w:rFonts w:ascii="Times New Roman" w:hAnsi="Times New Roman"/>
          <w:b/>
          <w:i/>
          <w:lang w:val="en-GB"/>
        </w:rPr>
      </w:pPr>
      <w:r w:rsidRPr="0079586A">
        <w:rPr>
          <w:rFonts w:ascii="Times New Roman" w:hAnsi="Times New Roman"/>
          <w:b/>
          <w:i/>
          <w:lang w:val="en-GB"/>
        </w:rPr>
        <w:t xml:space="preserve">The Rel-16 support of LTE Uu controlling NR sidelink is conditioned on no additional impact to physical layer specifications of both LTE V2X and NR V2X; this support is postponed to future release if the condition cannot be met. </w:t>
      </w:r>
      <w:r w:rsidR="00630CFC" w:rsidRPr="0079586A">
        <w:rPr>
          <w:rFonts w:ascii="Times New Roman" w:hAnsi="Times New Roman"/>
          <w:b/>
          <w:i/>
          <w:lang w:val="en-GB"/>
        </w:rPr>
        <w:t xml:space="preserve"> </w:t>
      </w:r>
    </w:p>
    <w:p w14:paraId="65DC6C38" w14:textId="7394C539" w:rsidR="00630CFC" w:rsidRPr="0079586A" w:rsidRDefault="00630CFC" w:rsidP="0079586A">
      <w:pPr>
        <w:pStyle w:val="ListParagraph"/>
        <w:numPr>
          <w:ilvl w:val="0"/>
          <w:numId w:val="6"/>
        </w:numPr>
        <w:spacing w:before="120" w:after="120"/>
        <w:rPr>
          <w:rFonts w:ascii="Times New Roman" w:hAnsi="Times New Roman"/>
          <w:b/>
          <w:i/>
          <w:lang w:val="en-GB"/>
        </w:rPr>
      </w:pPr>
      <w:r w:rsidRPr="0079586A">
        <w:rPr>
          <w:rFonts w:ascii="Times New Roman" w:hAnsi="Times New Roman"/>
          <w:b/>
          <w:i/>
          <w:lang w:val="en-GB"/>
        </w:rPr>
        <w:t xml:space="preserve">Support of in-device co-existence is on low priority. If allowed by forward compatibility, the whole in-device coexistence can be left to implementation. </w:t>
      </w:r>
    </w:p>
    <w:p w14:paraId="54309CCC" w14:textId="429E0979" w:rsidR="00630CFC" w:rsidRPr="0079586A" w:rsidRDefault="00630CFC" w:rsidP="0079586A">
      <w:pPr>
        <w:pStyle w:val="ListParagraph"/>
        <w:numPr>
          <w:ilvl w:val="0"/>
          <w:numId w:val="6"/>
        </w:numPr>
        <w:spacing w:before="120" w:after="120"/>
        <w:rPr>
          <w:rFonts w:ascii="Times New Roman" w:hAnsi="Times New Roman"/>
          <w:b/>
          <w:i/>
          <w:lang w:val="en-GB"/>
        </w:rPr>
      </w:pPr>
      <w:r w:rsidRPr="0079586A">
        <w:rPr>
          <w:rFonts w:ascii="Times New Roman" w:hAnsi="Times New Roman"/>
          <w:b/>
          <w:i/>
          <w:lang w:val="en-GB"/>
        </w:rPr>
        <w:lastRenderedPageBreak/>
        <w:t xml:space="preserve">On LTE side, only the SI-agreed specification impacts to LTE V2X are allowed. </w:t>
      </w:r>
    </w:p>
    <w:p w14:paraId="7464BE2F" w14:textId="1C0BAF53" w:rsidR="00CA1FA8" w:rsidRPr="00BC446A" w:rsidRDefault="00CA1FA8" w:rsidP="00CA1FA8">
      <w:pPr>
        <w:pStyle w:val="ListParagraph"/>
        <w:spacing w:before="120" w:after="120"/>
        <w:ind w:left="0"/>
        <w:rPr>
          <w:rFonts w:ascii="Times New Roman" w:hAnsi="Times New Roman"/>
          <w:b/>
          <w:i/>
          <w:lang w:val="en-GB"/>
        </w:rPr>
      </w:pPr>
      <w:r w:rsidRPr="00BC446A">
        <w:rPr>
          <w:rFonts w:ascii="Times New Roman" w:hAnsi="Times New Roman"/>
          <w:b/>
          <w:i/>
          <w:lang w:val="en-GB"/>
        </w:rPr>
        <w:t>Proposal</w:t>
      </w:r>
      <w:r w:rsidR="00283FAC">
        <w:rPr>
          <w:rFonts w:ascii="Times New Roman" w:hAnsi="Times New Roman"/>
          <w:b/>
          <w:i/>
          <w:lang w:val="en-GB"/>
        </w:rPr>
        <w:t xml:space="preserve"> 2</w:t>
      </w:r>
      <w:r w:rsidRPr="00BC446A">
        <w:rPr>
          <w:rFonts w:ascii="Times New Roman" w:hAnsi="Times New Roman"/>
          <w:b/>
          <w:i/>
          <w:lang w:val="en-GB"/>
        </w:rPr>
        <w:t xml:space="preserve">: The </w:t>
      </w:r>
      <w:r>
        <w:rPr>
          <w:rFonts w:ascii="Times New Roman" w:hAnsi="Times New Roman"/>
          <w:b/>
          <w:i/>
          <w:lang w:val="en-GB"/>
        </w:rPr>
        <w:t>normative discussion on single-stage SCI vs.</w:t>
      </w:r>
      <w:r w:rsidRPr="00BC446A">
        <w:rPr>
          <w:rFonts w:ascii="Times New Roman" w:hAnsi="Times New Roman"/>
          <w:b/>
          <w:i/>
          <w:lang w:val="en-GB"/>
        </w:rPr>
        <w:t xml:space="preserve"> 2-stage</w:t>
      </w:r>
      <w:r>
        <w:rPr>
          <w:rFonts w:ascii="Times New Roman" w:hAnsi="Times New Roman"/>
          <w:b/>
          <w:i/>
          <w:lang w:val="en-GB"/>
        </w:rPr>
        <w:t xml:space="preserve"> SCI should be taken</w:t>
      </w:r>
      <w:r w:rsidRPr="00BC446A">
        <w:rPr>
          <w:rFonts w:ascii="Times New Roman" w:hAnsi="Times New Roman"/>
          <w:b/>
          <w:i/>
          <w:lang w:val="en-GB"/>
        </w:rPr>
        <w:t xml:space="preserve"> in RAN1. In case RAN1 still cannot reach consensus in WI, the conventional control channel structure, i.e., single-stage control channel, is adopted. </w:t>
      </w:r>
    </w:p>
    <w:p w14:paraId="553725BC" w14:textId="0751CA30" w:rsidR="0079586A" w:rsidRPr="0079586A" w:rsidRDefault="0079586A" w:rsidP="0079586A">
      <w:pPr>
        <w:spacing w:before="120" w:after="120"/>
        <w:rPr>
          <w:b/>
          <w:i/>
          <w:sz w:val="22"/>
          <w:szCs w:val="22"/>
          <w:lang w:val="en-GB"/>
        </w:rPr>
      </w:pPr>
      <w:r w:rsidRPr="0079586A">
        <w:rPr>
          <w:b/>
          <w:i/>
          <w:sz w:val="22"/>
          <w:szCs w:val="22"/>
          <w:lang w:val="en-GB"/>
        </w:rPr>
        <w:t>Proposal</w:t>
      </w:r>
      <w:r w:rsidR="00283FAC">
        <w:rPr>
          <w:b/>
          <w:i/>
          <w:sz w:val="22"/>
          <w:szCs w:val="22"/>
          <w:lang w:val="en-GB"/>
        </w:rPr>
        <w:t xml:space="preserve"> 3</w:t>
      </w:r>
      <w:r w:rsidRPr="0079586A">
        <w:rPr>
          <w:b/>
          <w:i/>
          <w:sz w:val="22"/>
          <w:szCs w:val="22"/>
          <w:lang w:val="en-GB"/>
        </w:rPr>
        <w:t>: RAN1 and RAN2 should have a common understanding that “</w:t>
      </w:r>
      <w:r w:rsidRPr="0079586A">
        <w:rPr>
          <w:b/>
          <w:bCs/>
          <w:i/>
          <w:sz w:val="22"/>
          <w:szCs w:val="22"/>
        </w:rPr>
        <w:t>gNB provides individual resource configuration through one UE to another, where the one UE cannot change the configuration</w:t>
      </w:r>
      <w:r w:rsidRPr="0079586A">
        <w:rPr>
          <w:b/>
          <w:i/>
          <w:sz w:val="22"/>
          <w:szCs w:val="22"/>
          <w:lang w:val="en-GB"/>
        </w:rPr>
        <w:t>” is a mode-1 operation, instead of mode-2 operation.</w:t>
      </w:r>
    </w:p>
    <w:p w14:paraId="1726E153" w14:textId="77777777" w:rsidR="00E73D96" w:rsidRDefault="00947C92">
      <w:pPr>
        <w:pStyle w:val="Heading1"/>
        <w:rPr>
          <w:rFonts w:cs="Arial"/>
          <w:sz w:val="32"/>
          <w:szCs w:val="32"/>
        </w:rPr>
      </w:pPr>
      <w:r>
        <w:rPr>
          <w:rFonts w:cs="Arial"/>
          <w:sz w:val="32"/>
          <w:szCs w:val="32"/>
        </w:rPr>
        <w:t>Reference</w:t>
      </w:r>
    </w:p>
    <w:p w14:paraId="499EDD55" w14:textId="77777777" w:rsidR="00E73D96" w:rsidRDefault="00947C92">
      <w:pPr>
        <w:pStyle w:val="ListParagraph"/>
        <w:numPr>
          <w:ilvl w:val="0"/>
          <w:numId w:val="8"/>
        </w:numPr>
        <w:ind w:left="540" w:hanging="540"/>
        <w:rPr>
          <w:rFonts w:ascii="Times New Roman" w:eastAsia="Times New Roman" w:hAnsi="Times New Roman"/>
          <w:lang w:val="en-GB"/>
        </w:rPr>
      </w:pPr>
      <w:bookmarkStart w:id="3" w:name="_Ref2950810"/>
      <w:r>
        <w:rPr>
          <w:rFonts w:ascii="Times New Roman" w:hAnsi="Times New Roman"/>
        </w:rPr>
        <w:t>RP-182491, Study on NR V2X, LG Electronics</w:t>
      </w:r>
      <w:bookmarkEnd w:id="3"/>
    </w:p>
    <w:p w14:paraId="386E9518" w14:textId="57666C1E" w:rsidR="00E73D96" w:rsidRPr="0079586A" w:rsidRDefault="00947C92" w:rsidP="0079586A">
      <w:pPr>
        <w:pStyle w:val="ListParagraph"/>
        <w:numPr>
          <w:ilvl w:val="0"/>
          <w:numId w:val="8"/>
        </w:numPr>
        <w:ind w:left="540" w:hanging="540"/>
        <w:rPr>
          <w:rFonts w:ascii="Times New Roman" w:eastAsia="Times New Roman" w:hAnsi="Times New Roman"/>
          <w:lang w:val="en-GB"/>
        </w:rPr>
      </w:pPr>
      <w:bookmarkStart w:id="4" w:name="_Ref2994869"/>
      <w:r>
        <w:rPr>
          <w:rFonts w:ascii="Times New Roman" w:hAnsi="Times New Roman"/>
          <w:bCs/>
        </w:rPr>
        <w:t>RP-182612</w:t>
      </w:r>
      <w:r>
        <w:rPr>
          <w:rFonts w:ascii="Times New Roman" w:hAnsi="Times New Roman"/>
        </w:rPr>
        <w:t xml:space="preserve">, </w:t>
      </w:r>
      <w:r>
        <w:rPr>
          <w:rFonts w:ascii="Times New Roman" w:hAnsi="Times New Roman"/>
          <w:bCs/>
        </w:rPr>
        <w:t>Observations on RAN1 TU, MediaTek Inc.</w:t>
      </w:r>
      <w:bookmarkEnd w:id="4"/>
    </w:p>
    <w:sectPr w:rsidR="00E73D96" w:rsidRPr="0079586A">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847D3" w14:textId="77777777" w:rsidR="00B15F73" w:rsidRDefault="00B15F73">
      <w:pPr>
        <w:spacing w:after="0" w:line="240" w:lineRule="auto"/>
      </w:pPr>
      <w:r>
        <w:separator/>
      </w:r>
    </w:p>
  </w:endnote>
  <w:endnote w:type="continuationSeparator" w:id="0">
    <w:p w14:paraId="32D117D7" w14:textId="77777777" w:rsidR="00B15F73" w:rsidRDefault="00B15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A07A9" w14:textId="77777777" w:rsidR="00E73D96" w:rsidRDefault="00947C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B4976A" w14:textId="77777777" w:rsidR="00E73D96" w:rsidRDefault="00E73D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docPartObj>
        <w:docPartGallery w:val="Page Numbers (Bottom of Page)"/>
        <w:docPartUnique/>
      </w:docPartObj>
    </w:sdtPr>
    <w:sdtEndPr>
      <w:rPr>
        <w:noProof/>
      </w:rPr>
    </w:sdtEndPr>
    <w:sdtContent>
      <w:p w14:paraId="72C96BBA" w14:textId="2EFA5507" w:rsidR="00832D3C" w:rsidRDefault="00832D3C">
        <w:pPr>
          <w:pStyle w:val="Footer"/>
        </w:pPr>
        <w:r>
          <w:fldChar w:fldCharType="begin"/>
        </w:r>
        <w:r>
          <w:instrText xml:space="preserve"> PAGE   \* MERGEFORMAT </w:instrText>
        </w:r>
        <w:r>
          <w:fldChar w:fldCharType="separate"/>
        </w:r>
        <w:r w:rsidR="00F50346">
          <w:rPr>
            <w:noProof/>
          </w:rPr>
          <w:t>2</w:t>
        </w:r>
        <w:r>
          <w:rPr>
            <w:noProof/>
          </w:rPr>
          <w:fldChar w:fldCharType="end"/>
        </w:r>
      </w:p>
    </w:sdtContent>
  </w:sdt>
  <w:p w14:paraId="5A901977" w14:textId="77777777" w:rsidR="00E73D96" w:rsidRDefault="00E73D9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1BBCE" w14:textId="77777777" w:rsidR="00B15F73" w:rsidRDefault="00B15F73">
      <w:pPr>
        <w:spacing w:after="0" w:line="240" w:lineRule="auto"/>
      </w:pPr>
      <w:r>
        <w:separator/>
      </w:r>
    </w:p>
  </w:footnote>
  <w:footnote w:type="continuationSeparator" w:id="0">
    <w:p w14:paraId="63011254" w14:textId="77777777" w:rsidR="00B15F73" w:rsidRDefault="00B15F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4F34C" w14:textId="77777777" w:rsidR="00E73D96" w:rsidRDefault="00947C9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8B847B2"/>
    <w:multiLevelType w:val="hybridMultilevel"/>
    <w:tmpl w:val="7E20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251667C"/>
    <w:multiLevelType w:val="multilevel"/>
    <w:tmpl w:val="42516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58130EAB"/>
    <w:multiLevelType w:val="hybridMultilevel"/>
    <w:tmpl w:val="AC3AA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E30295"/>
    <w:multiLevelType w:val="multilevel"/>
    <w:tmpl w:val="5EE302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5900484"/>
    <w:multiLevelType w:val="multilevel"/>
    <w:tmpl w:val="65900484"/>
    <w:lvl w:ilvl="0">
      <w:start w:val="1"/>
      <w:numFmt w:val="bullet"/>
      <w:lvlText w:val=""/>
      <w:lvlJc w:val="left"/>
      <w:pPr>
        <w:ind w:left="867" w:hanging="360"/>
      </w:pPr>
      <w:rPr>
        <w:rFonts w:ascii="Symbol" w:hAnsi="Symbol" w:hint="default"/>
      </w:rPr>
    </w:lvl>
    <w:lvl w:ilvl="1">
      <w:start w:val="1"/>
      <w:numFmt w:val="bullet"/>
      <w:lvlText w:val="o"/>
      <w:lvlJc w:val="left"/>
      <w:pPr>
        <w:ind w:left="1587" w:hanging="360"/>
      </w:pPr>
      <w:rPr>
        <w:rFonts w:ascii="Courier New" w:hAnsi="Courier New" w:cs="Courier New" w:hint="default"/>
      </w:rPr>
    </w:lvl>
    <w:lvl w:ilvl="2">
      <w:start w:val="1"/>
      <w:numFmt w:val="bullet"/>
      <w:lvlText w:val=""/>
      <w:lvlJc w:val="left"/>
      <w:pPr>
        <w:ind w:left="2307" w:hanging="360"/>
      </w:pPr>
      <w:rPr>
        <w:rFonts w:ascii="Wingdings" w:hAnsi="Wingdings" w:hint="default"/>
      </w:rPr>
    </w:lvl>
    <w:lvl w:ilvl="3">
      <w:start w:val="1"/>
      <w:numFmt w:val="bullet"/>
      <w:lvlText w:val=""/>
      <w:lvlJc w:val="left"/>
      <w:pPr>
        <w:ind w:left="3027" w:hanging="360"/>
      </w:pPr>
      <w:rPr>
        <w:rFonts w:ascii="Symbol" w:hAnsi="Symbol" w:hint="default"/>
      </w:rPr>
    </w:lvl>
    <w:lvl w:ilvl="4">
      <w:start w:val="1"/>
      <w:numFmt w:val="bullet"/>
      <w:lvlText w:val="o"/>
      <w:lvlJc w:val="left"/>
      <w:pPr>
        <w:ind w:left="3747" w:hanging="360"/>
      </w:pPr>
      <w:rPr>
        <w:rFonts w:ascii="Courier New" w:hAnsi="Courier New" w:cs="Courier New" w:hint="default"/>
      </w:rPr>
    </w:lvl>
    <w:lvl w:ilvl="5">
      <w:start w:val="1"/>
      <w:numFmt w:val="bullet"/>
      <w:lvlText w:val=""/>
      <w:lvlJc w:val="left"/>
      <w:pPr>
        <w:ind w:left="4467" w:hanging="360"/>
      </w:pPr>
      <w:rPr>
        <w:rFonts w:ascii="Wingdings" w:hAnsi="Wingdings" w:hint="default"/>
      </w:rPr>
    </w:lvl>
    <w:lvl w:ilvl="6">
      <w:start w:val="1"/>
      <w:numFmt w:val="bullet"/>
      <w:lvlText w:val=""/>
      <w:lvlJc w:val="left"/>
      <w:pPr>
        <w:ind w:left="5187" w:hanging="360"/>
      </w:pPr>
      <w:rPr>
        <w:rFonts w:ascii="Symbol" w:hAnsi="Symbol" w:hint="default"/>
      </w:rPr>
    </w:lvl>
    <w:lvl w:ilvl="7">
      <w:start w:val="1"/>
      <w:numFmt w:val="bullet"/>
      <w:lvlText w:val="o"/>
      <w:lvlJc w:val="left"/>
      <w:pPr>
        <w:ind w:left="5907" w:hanging="360"/>
      </w:pPr>
      <w:rPr>
        <w:rFonts w:ascii="Courier New" w:hAnsi="Courier New" w:cs="Courier New" w:hint="default"/>
      </w:rPr>
    </w:lvl>
    <w:lvl w:ilvl="8">
      <w:start w:val="1"/>
      <w:numFmt w:val="bullet"/>
      <w:lvlText w:val=""/>
      <w:lvlJc w:val="left"/>
      <w:pPr>
        <w:ind w:left="6627" w:hanging="360"/>
      </w:pPr>
      <w:rPr>
        <w:rFonts w:ascii="Wingdings" w:hAnsi="Wingdings" w:hint="default"/>
      </w:rPr>
    </w:lvl>
  </w:abstractNum>
  <w:abstractNum w:abstractNumId="8">
    <w:nsid w:val="6CF00DF8"/>
    <w:multiLevelType w:val="multilevel"/>
    <w:tmpl w:val="6CF00DF8"/>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9">
    <w:nsid w:val="74B92FB7"/>
    <w:multiLevelType w:val="multilevel"/>
    <w:tmpl w:val="74B92FB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7"/>
  </w:num>
  <w:num w:numId="6">
    <w:abstractNumId w:val="8"/>
  </w:num>
  <w:num w:numId="7">
    <w:abstractNumId w:val="9"/>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F77"/>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B02"/>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9CF"/>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59C"/>
    <w:rsid w:val="00217CE8"/>
    <w:rsid w:val="002202EC"/>
    <w:rsid w:val="002204ED"/>
    <w:rsid w:val="00220E92"/>
    <w:rsid w:val="002211DD"/>
    <w:rsid w:val="0022135D"/>
    <w:rsid w:val="0022193F"/>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40"/>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B63"/>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48"/>
    <w:rsid w:val="0048406D"/>
    <w:rsid w:val="0048410E"/>
    <w:rsid w:val="0048438A"/>
    <w:rsid w:val="00484C46"/>
    <w:rsid w:val="00485969"/>
    <w:rsid w:val="0048598C"/>
    <w:rsid w:val="00485E8A"/>
    <w:rsid w:val="00486094"/>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629"/>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2E5A"/>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11DA"/>
    <w:rsid w:val="005C1225"/>
    <w:rsid w:val="005C132F"/>
    <w:rsid w:val="005C14CC"/>
    <w:rsid w:val="005C1752"/>
    <w:rsid w:val="005C1EC3"/>
    <w:rsid w:val="005C214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25F"/>
    <w:rsid w:val="005E7698"/>
    <w:rsid w:val="005F031E"/>
    <w:rsid w:val="005F04BC"/>
    <w:rsid w:val="005F0863"/>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1F1"/>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1E3"/>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4C27"/>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2B5"/>
    <w:rsid w:val="006F0381"/>
    <w:rsid w:val="006F05C2"/>
    <w:rsid w:val="006F090B"/>
    <w:rsid w:val="006F0C12"/>
    <w:rsid w:val="006F0EB1"/>
    <w:rsid w:val="006F1008"/>
    <w:rsid w:val="006F1436"/>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EE5"/>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30DB"/>
    <w:rsid w:val="00833EF5"/>
    <w:rsid w:val="00834073"/>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2AE"/>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15D"/>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47C92"/>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5D44"/>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4A7D"/>
    <w:rsid w:val="00995360"/>
    <w:rsid w:val="009954AD"/>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FDF"/>
    <w:rsid w:val="00A44480"/>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5F73"/>
    <w:rsid w:val="00B166D9"/>
    <w:rsid w:val="00B167A6"/>
    <w:rsid w:val="00B16B5F"/>
    <w:rsid w:val="00B1736C"/>
    <w:rsid w:val="00B17476"/>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431"/>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A3F"/>
    <w:rsid w:val="00CA4C14"/>
    <w:rsid w:val="00CA4FE7"/>
    <w:rsid w:val="00CA51A0"/>
    <w:rsid w:val="00CA56DB"/>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D7984"/>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D00522"/>
    <w:rsid w:val="00D00B22"/>
    <w:rsid w:val="00D017EE"/>
    <w:rsid w:val="00D0182B"/>
    <w:rsid w:val="00D0186E"/>
    <w:rsid w:val="00D01C73"/>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6EF"/>
    <w:rsid w:val="00D948A0"/>
    <w:rsid w:val="00D94BB0"/>
    <w:rsid w:val="00D94FF3"/>
    <w:rsid w:val="00D95218"/>
    <w:rsid w:val="00D957C0"/>
    <w:rsid w:val="00D95BF0"/>
    <w:rsid w:val="00D95BFF"/>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65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2AF"/>
    <w:rsid w:val="00E40362"/>
    <w:rsid w:val="00E40A1F"/>
    <w:rsid w:val="00E40DAE"/>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346"/>
    <w:rsid w:val="00F50545"/>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 w:val="1BAA3CE3"/>
    <w:rsid w:val="20AE1AAA"/>
    <w:rsid w:val="3B6F4E50"/>
    <w:rsid w:val="72C31C2E"/>
    <w:rsid w:val="743A6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676537-6B18-432D-A9BB-51F1BE4EA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heme="minorEastAsia"/>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6">
    <w:name w:val="Dark List Accent 6"/>
    <w:basedOn w:val="TableNormal"/>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rPr>
  </w:style>
  <w:style w:type="paragraph" w:customStyle="1" w:styleId="Revision1">
    <w:name w:val="Revision1"/>
    <w:hidden/>
    <w:uiPriority w:val="99"/>
    <w:semiHidden/>
    <w:qFormat/>
    <w:rPr>
      <w:rFonts w:eastAsiaTheme="minorEastAsia"/>
      <w:lang w:val="en-GB" w:eastAsia="en-US"/>
    </w:rPr>
  </w:style>
  <w:style w:type="character" w:customStyle="1" w:styleId="CommentTextChar">
    <w:name w:val="Comment Text Char"/>
    <w:link w:val="CommentText"/>
    <w:uiPriority w:val="99"/>
    <w:qFormat/>
    <w:rPr>
      <w:rFonts w:ascii="Times New Roman" w:hAnsi="Times New Roma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DefaultParagraphFont"/>
    <w:link w:val="PL"/>
    <w:qFormat/>
    <w:locked/>
    <w:rPr>
      <w:rFonts w:ascii="Courier New" w:hAnsi="Courier New"/>
      <w:sz w:val="16"/>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character" w:customStyle="1" w:styleId="N1Char">
    <w:name w:val="N1 Char"/>
    <w:basedOn w:val="DefaultParagraphFont"/>
    <w:link w:val="N1"/>
    <w:qFormat/>
    <w:locked/>
    <w:rPr>
      <w:rFonts w:ascii="MS Mincho" w:eastAsiaTheme="minorEastAsia" w:cstheme="minorHAnsi"/>
      <w:lang w:bidi="hi-IN"/>
    </w:rPr>
  </w:style>
  <w:style w:type="paragraph" w:customStyle="1" w:styleId="N1">
    <w:name w:val="N1"/>
    <w:basedOn w:val="Normal"/>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BodyText"/>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Normal"/>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HeaderChar">
    <w:name w:val="Header Char"/>
    <w:basedOn w:val="DefaultParagraphFont"/>
    <w:link w:val="Header"/>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DefaultParagraphFont"/>
  </w:style>
  <w:style w:type="paragraph" w:customStyle="1" w:styleId="gpotbltitle">
    <w:name w:val="gpotbl_title"/>
    <w:basedOn w:val="Normal"/>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Normal"/>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Normal"/>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Normal"/>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Normal"/>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Normal"/>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DefaultParagraphFont"/>
    <w:rPr>
      <w:rFonts w:ascii="TimesNewRomanPS-BoldMT" w:hAnsi="TimesNewRomanPS-BoldMT" w:hint="default"/>
      <w:b/>
      <w:bCs/>
      <w:color w:val="000000"/>
      <w:sz w:val="22"/>
      <w:szCs w:val="22"/>
    </w:rPr>
  </w:style>
  <w:style w:type="character" w:customStyle="1" w:styleId="fontstyle21">
    <w:name w:val="fontstyle21"/>
    <w:basedOn w:val="DefaultParagraphFont"/>
    <w:rPr>
      <w:rFonts w:ascii="TimesNewRomanPSMT" w:hAnsi="TimesNewRomanPSMT" w:hint="default"/>
      <w:color w:val="000000"/>
      <w:sz w:val="22"/>
      <w:szCs w:val="22"/>
    </w:rPr>
  </w:style>
  <w:style w:type="paragraph" w:customStyle="1" w:styleId="Guidance">
    <w:name w:val="Guidance"/>
    <w:basedOn w:val="Normal"/>
    <w:pPr>
      <w:overflowPunct/>
      <w:autoSpaceDE/>
      <w:autoSpaceDN/>
      <w:adjustRightInd/>
      <w:textAlignment w:val="auto"/>
    </w:pPr>
    <w:rPr>
      <w:rFonts w:eastAsia="Times New Roman"/>
      <w:i/>
      <w:color w:val="0000FF"/>
      <w:lang w:val="en-GB"/>
    </w:rPr>
  </w:style>
  <w:style w:type="character" w:customStyle="1" w:styleId="TALChar">
    <w:name w:val="TAL Char"/>
    <w:basedOn w:val="DefaultParagraphFont"/>
    <w:link w:val="TAL"/>
    <w:qFormat/>
    <w:locked/>
    <w:rPr>
      <w:rFonts w:ascii="Arial" w:hAnsi="Arial"/>
      <w:sz w:val="18"/>
      <w:lang w:eastAsia="en-US"/>
    </w:rPr>
  </w:style>
  <w:style w:type="paragraph" w:customStyle="1" w:styleId="Default">
    <w:name w:val="Default"/>
    <w:qFormat/>
    <w:pPr>
      <w:widowControl w:val="0"/>
      <w:autoSpaceDE w:val="0"/>
      <w:autoSpaceDN w:val="0"/>
      <w:adjustRightInd w:val="0"/>
    </w:pPr>
    <w:rPr>
      <w:rFonts w:eastAsia="MS Mincho"/>
      <w:color w:val="000000"/>
      <w:sz w:val="24"/>
      <w:szCs w:val="24"/>
    </w:rPr>
  </w:style>
  <w:style w:type="character" w:customStyle="1" w:styleId="TFChar">
    <w:name w:val="TF Char"/>
    <w:link w:val="TF"/>
    <w:rPr>
      <w:rFonts w:ascii="Arial" w:hAnsi="Arial"/>
      <w:b/>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DefaultParagraphFont"/>
    <w:link w:val="maintext"/>
    <w:rPr>
      <w:rFonts w:ascii="Times New Roman" w:eastAsia="Malgun Gothic" w:hAnsi="Times New Roman" w:cs="Batang"/>
      <w:lang w:val="en-GB"/>
    </w:rPr>
  </w:style>
  <w:style w:type="paragraph" w:customStyle="1" w:styleId="References">
    <w:name w:val="References"/>
    <w:basedOn w:val="Normal"/>
    <w:next w:val="Normal"/>
    <w:qFormat/>
    <w:pPr>
      <w:overflowPunct/>
      <w:adjustRightInd/>
      <w:snapToGrid w:val="0"/>
      <w:spacing w:after="60"/>
      <w:textAlignment w:val="auto"/>
    </w:pPr>
    <w:rPr>
      <w:rFonts w:eastAsia="SimSun"/>
      <w:szCs w:val="16"/>
    </w:rPr>
  </w:style>
  <w:style w:type="paragraph" w:customStyle="1" w:styleId="3GPPAgreements">
    <w:name w:val="3GPP Agreements"/>
    <w:basedOn w:val="Normal"/>
    <w:link w:val="3GPPAgreementsChar"/>
    <w:qFormat/>
    <w:pPr>
      <w:numPr>
        <w:numId w:val="2"/>
      </w:numPr>
      <w:spacing w:before="60" w:after="60"/>
      <w:jc w:val="both"/>
    </w:pPr>
    <w:rPr>
      <w:rFonts w:eastAsia="SimSun"/>
      <w:sz w:val="22"/>
      <w:lang w:eastAsia="zh-CN"/>
    </w:rPr>
  </w:style>
  <w:style w:type="character" w:customStyle="1" w:styleId="3GPPAgreementsChar">
    <w:name w:val="3GPP Agreements Char"/>
    <w:link w:val="3GPPAgreements"/>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213707" w:rsidRDefault="0016739A">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213707" w:rsidRDefault="0016739A">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213707" w:rsidRDefault="0016739A">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213707" w:rsidRDefault="0016739A">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213707" w:rsidRDefault="0016739A">
          <w:pPr>
            <w:pStyle w:val="E8B9599D7D77407D919EFBC4F6E85C90"/>
          </w:pPr>
          <w:r>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4"/>
  </w:compat>
  <w:rsids>
    <w:rsidRoot w:val="001824B7"/>
    <w:rsid w:val="00016EE6"/>
    <w:rsid w:val="000F1181"/>
    <w:rsid w:val="00151444"/>
    <w:rsid w:val="0016739A"/>
    <w:rsid w:val="001824B7"/>
    <w:rsid w:val="001D1E77"/>
    <w:rsid w:val="001F5992"/>
    <w:rsid w:val="00213707"/>
    <w:rsid w:val="00215168"/>
    <w:rsid w:val="002173F6"/>
    <w:rsid w:val="00230FD1"/>
    <w:rsid w:val="0025221E"/>
    <w:rsid w:val="00262E74"/>
    <w:rsid w:val="002B0A19"/>
    <w:rsid w:val="002C1B1C"/>
    <w:rsid w:val="002F16D8"/>
    <w:rsid w:val="00321E54"/>
    <w:rsid w:val="00322EBB"/>
    <w:rsid w:val="0032520F"/>
    <w:rsid w:val="00394E42"/>
    <w:rsid w:val="003A4C15"/>
    <w:rsid w:val="003B3CF1"/>
    <w:rsid w:val="003C264C"/>
    <w:rsid w:val="003E70F9"/>
    <w:rsid w:val="00425316"/>
    <w:rsid w:val="004263E0"/>
    <w:rsid w:val="00431E21"/>
    <w:rsid w:val="0048152C"/>
    <w:rsid w:val="004926CE"/>
    <w:rsid w:val="004B746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7F5D"/>
    <w:rsid w:val="007F3612"/>
    <w:rsid w:val="008056B4"/>
    <w:rsid w:val="00821D80"/>
    <w:rsid w:val="0082419D"/>
    <w:rsid w:val="0083326F"/>
    <w:rsid w:val="0086247A"/>
    <w:rsid w:val="008C1678"/>
    <w:rsid w:val="008D0418"/>
    <w:rsid w:val="009112BC"/>
    <w:rsid w:val="00922AD8"/>
    <w:rsid w:val="0094430A"/>
    <w:rsid w:val="009B255F"/>
    <w:rsid w:val="009C0360"/>
    <w:rsid w:val="009C09D9"/>
    <w:rsid w:val="009D1AFA"/>
    <w:rsid w:val="009E096C"/>
    <w:rsid w:val="00A02489"/>
    <w:rsid w:val="00A06413"/>
    <w:rsid w:val="00A833CA"/>
    <w:rsid w:val="00AA01B9"/>
    <w:rsid w:val="00AA7D6A"/>
    <w:rsid w:val="00AD212F"/>
    <w:rsid w:val="00AF14CE"/>
    <w:rsid w:val="00B51BF0"/>
    <w:rsid w:val="00B81FA1"/>
    <w:rsid w:val="00B86898"/>
    <w:rsid w:val="00BC1075"/>
    <w:rsid w:val="00BC1EA9"/>
    <w:rsid w:val="00BE2801"/>
    <w:rsid w:val="00BE2F1C"/>
    <w:rsid w:val="00C2505B"/>
    <w:rsid w:val="00C4210B"/>
    <w:rsid w:val="00CA564B"/>
    <w:rsid w:val="00CC2133"/>
    <w:rsid w:val="00D26603"/>
    <w:rsid w:val="00DB05FE"/>
    <w:rsid w:val="00DC7E54"/>
    <w:rsid w:val="00DE1FA9"/>
    <w:rsid w:val="00DE6291"/>
    <w:rsid w:val="00E03DE2"/>
    <w:rsid w:val="00E370DE"/>
    <w:rsid w:val="00ED4346"/>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rPr>
      <w:sz w:val="22"/>
      <w:szCs w:val="22"/>
      <w:lang w:eastAsia="ko-KR"/>
    </w:rPr>
  </w:style>
  <w:style w:type="paragraph" w:customStyle="1" w:styleId="8E55DC75492444FE9F5684E6DFBCFF25">
    <w:name w:val="8E55DC75492444FE9F5684E6DFBCFF25"/>
    <w:rPr>
      <w:sz w:val="22"/>
      <w:szCs w:val="22"/>
      <w:lang w:eastAsia="ko-KR"/>
    </w:rPr>
  </w:style>
  <w:style w:type="paragraph" w:customStyle="1" w:styleId="E8B9599D7D77407D919EFBC4F6E85C90">
    <w:name w:val="E8B9599D7D77407D919EFBC4F6E85C90"/>
    <w:rPr>
      <w:sz w:val="22"/>
      <w:szCs w:val="22"/>
      <w:lang w:eastAsia="ko-KR"/>
    </w:rPr>
  </w:style>
  <w:style w:type="paragraph" w:customStyle="1" w:styleId="02067E1D950940ADAF777E209863994A">
    <w:name w:val="02067E1D950940ADAF777E209863994A"/>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BCB6004-DD8B-44E8-BECB-4D43B1A44E35}">
  <ds:schemaRefs>
    <ds:schemaRef ds:uri="http://schemas.openxmlformats.org/officeDocument/2006/bibliography"/>
  </ds:schemaRefs>
</ds:datastoreItem>
</file>

<file path=customXml/itemProps6.xml><?xml version="1.0" encoding="utf-8"?>
<ds:datastoreItem xmlns:ds="http://schemas.openxmlformats.org/officeDocument/2006/customXml" ds:itemID="{E8DBBAB7-513E-4E40-9A53-8D9F8F30F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343</TotalTime>
  <Pages>6</Pages>
  <Words>2279</Words>
  <Characters>12991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Discussion on working scope of V2X</vt:lpstr>
    </vt:vector>
  </TitlesOfParts>
  <Company>ZTE</Company>
  <LinksUpToDate>false</LinksUpToDate>
  <CharactersWithSpaces>15240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working scope of V2X</dc:title>
  <dc:subject>RP-190216</dc:subject>
  <dc:creator>ZTE</dc:creator>
  <dc:description>Shenzhen, China, March 18 - 21, 2019</dc:description>
  <cp:lastModifiedBy>Windows User</cp:lastModifiedBy>
  <cp:revision>89</cp:revision>
  <cp:lastPrinted>2011-11-09T22:49:00Z</cp:lastPrinted>
  <dcterms:created xsi:type="dcterms:W3CDTF">2019-03-06T07:40:00Z</dcterms:created>
  <dcterms:modified xsi:type="dcterms:W3CDTF">2019-03-11T09:55:00Z</dcterms:modified>
  <cp:category>#83</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2052-10.8.2.6613</vt:lpwstr>
  </property>
</Properties>
</file>