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D48" w:rsidRPr="00A079D3" w:rsidRDefault="00012D48" w:rsidP="00012D48">
      <w:pPr>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Pr>
          <w:rFonts w:ascii="Arial" w:hAnsi="Arial" w:cs="Arial"/>
          <w:b/>
          <w:sz w:val="28"/>
          <w:szCs w:val="28"/>
        </w:rPr>
        <w:t>90003</w:t>
      </w:r>
    </w:p>
    <w:p w:rsidR="00012D48" w:rsidRPr="00A079D3" w:rsidRDefault="00012D48" w:rsidP="00012D48">
      <w:pPr>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w:t>
      </w:r>
      <w:r>
        <w:rPr>
          <w:rFonts w:ascii="Arial" w:hAnsi="Arial" w:cs="Arial"/>
          <w:b/>
          <w:sz w:val="28"/>
          <w:szCs w:val="28"/>
        </w:rPr>
        <w:t>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9</w:t>
      </w:r>
    </w:p>
    <w:p w:rsidR="00906219" w:rsidRDefault="00906219" w:rsidP="00906219">
      <w:pPr>
        <w:pStyle w:val="Header"/>
        <w:tabs>
          <w:tab w:val="clear" w:pos="4153"/>
          <w:tab w:val="clear" w:pos="8306"/>
          <w:tab w:val="right" w:pos="9639"/>
        </w:tabs>
        <w:rPr>
          <w:rFonts w:ascii="Arial" w:hAnsi="Arial" w:cs="Arial"/>
          <w:i/>
          <w:iCs/>
        </w:rPr>
      </w:pPr>
    </w:p>
    <w:p w:rsidR="00906219" w:rsidRPr="00EF5B58" w:rsidRDefault="00906219" w:rsidP="00906219">
      <w:pPr>
        <w:pStyle w:val="Header"/>
        <w:tabs>
          <w:tab w:val="clear" w:pos="4153"/>
          <w:tab w:val="clear" w:pos="8306"/>
          <w:tab w:val="right" w:pos="9639"/>
        </w:tabs>
        <w:rPr>
          <w:rFonts w:ascii="Arial" w:hAnsi="Arial" w:cs="Arial"/>
          <w:i/>
          <w:iCs/>
          <w:lang w:eastAsia="zh-CN"/>
        </w:rPr>
      </w:pPr>
      <w:r w:rsidRPr="00EF5B58">
        <w:rPr>
          <w:rFonts w:ascii="Arial" w:hAnsi="Arial" w:cs="Arial"/>
          <w:i/>
          <w:iCs/>
        </w:rPr>
        <w:t>3GPP TSG-RAN ITU-R Ad Hoc</w:t>
      </w:r>
      <w:r w:rsidRPr="00EF5B58">
        <w:rPr>
          <w:rFonts w:ascii="Arial" w:hAnsi="Arial" w:cs="Arial"/>
          <w:i/>
          <w:iCs/>
        </w:rPr>
        <w:tab/>
        <w:t>RT-</w:t>
      </w:r>
      <w:r w:rsidR="00800E9D" w:rsidRPr="00EF5B58">
        <w:rPr>
          <w:rFonts w:ascii="Arial" w:hAnsi="Arial" w:cs="Arial"/>
          <w:i/>
          <w:iCs/>
        </w:rPr>
        <w:t>1</w:t>
      </w:r>
      <w:r w:rsidR="00800E9D">
        <w:rPr>
          <w:rFonts w:ascii="Arial" w:hAnsi="Arial" w:cs="Arial"/>
          <w:i/>
          <w:iCs/>
        </w:rPr>
        <w:t>9</w:t>
      </w:r>
      <w:r w:rsidR="00800E9D" w:rsidRPr="00EF5B58">
        <w:rPr>
          <w:rFonts w:ascii="Arial" w:hAnsi="Arial" w:cs="Arial"/>
          <w:i/>
          <w:iCs/>
        </w:rPr>
        <w:t>00</w:t>
      </w:r>
      <w:r w:rsidR="00800E9D">
        <w:rPr>
          <w:rFonts w:ascii="Arial" w:hAnsi="Arial" w:cs="Arial"/>
          <w:i/>
          <w:iCs/>
          <w:lang w:eastAsia="zh-CN"/>
        </w:rPr>
        <w:t>0</w:t>
      </w:r>
      <w:r w:rsidR="00012D48">
        <w:rPr>
          <w:rFonts w:ascii="Arial" w:hAnsi="Arial" w:cs="Arial"/>
          <w:i/>
          <w:iCs/>
          <w:lang w:eastAsia="zh-CN"/>
        </w:rPr>
        <w:t>2</w:t>
      </w:r>
      <w:bookmarkStart w:id="0" w:name="_GoBack"/>
      <w:bookmarkEnd w:id="0"/>
    </w:p>
    <w:p w:rsidR="00906219" w:rsidRDefault="00906219" w:rsidP="00906219">
      <w:pPr>
        <w:rPr>
          <w:rFonts w:ascii="Arial" w:hAnsi="Arial" w:cs="Arial"/>
        </w:rPr>
      </w:pPr>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w:t>
      </w:r>
      <w:r w:rsidR="00D103A0">
        <w:t>in</w:t>
      </w:r>
      <w:r w:rsidRPr="00906219">
        <w:t xml:space="preserve"> </w:t>
      </w:r>
      <w:r w:rsidR="00D103A0" w:rsidRPr="00D103A0">
        <w:t>r</w:t>
      </w:r>
      <w:r w:rsidR="00D103A0" w:rsidRPr="00927DEA">
        <w:t xml:space="preserve">eply to LS </w:t>
      </w:r>
      <w:r w:rsidR="00D103A0">
        <w:t>on</w:t>
      </w:r>
      <w:r w:rsidR="00D103A0" w:rsidRPr="00927DEA">
        <w:t xml:space="preserve"> Strategies and policies for the deployment of broadband in developing countries</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D7593" w:rsidRPr="002D7593">
        <w:rPr>
          <w:rFonts w:ascii="Arial" w:hAnsi="Arial" w:cs="Arial"/>
          <w:bCs/>
        </w:rPr>
        <w:t xml:space="preserve">TSG </w:t>
      </w:r>
      <w:r w:rsidR="002D7593">
        <w:rPr>
          <w:rFonts w:ascii="Arial" w:hAnsi="Arial" w:cs="Arial"/>
          <w:bCs/>
        </w:rPr>
        <w:t>RAN ITU-R Ad-Hoc</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Erik Guttman</w:t>
      </w:r>
    </w:p>
    <w:p w:rsidR="00906219" w:rsidRPr="00800E9D" w:rsidRDefault="00906219" w:rsidP="00906219">
      <w:pPr>
        <w:pStyle w:val="Heading7"/>
        <w:tabs>
          <w:tab w:val="left" w:pos="2268"/>
        </w:tabs>
        <w:ind w:left="567"/>
        <w:rPr>
          <w:rFonts w:cs="Arial"/>
          <w:b w:val="0"/>
          <w:bCs/>
          <w:color w:val="auto"/>
          <w:lang w:val="de-DE"/>
        </w:rPr>
      </w:pPr>
      <w:r w:rsidRPr="00800E9D">
        <w:rPr>
          <w:rFonts w:cs="Arial"/>
          <w:color w:val="auto"/>
          <w:lang w:val="de-DE"/>
        </w:rPr>
        <w:t>E-mail Address:</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RAN</w:t>
      </w:r>
      <w:r>
        <w:rPr>
          <w:rFonts w:ascii="Arial" w:hAnsi="Arial" w:cs="Arial" w:hint="eastAsia"/>
          <w:b/>
          <w:bCs/>
          <w:color w:val="0000FF"/>
          <w:lang w:eastAsia="zh-CN"/>
        </w:rPr>
        <w:t xml:space="preserve">  </w:t>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15/02/2019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TSG SA</w:t>
      </w:r>
      <w:r w:rsidRPr="000749EE">
        <w:rPr>
          <w:rFonts w:ascii="Arial" w:eastAsia="MS Mincho" w:hAnsi="Arial" w:cs="Arial"/>
          <w:lang w:eastAsia="ja-JP"/>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hAnsi="Arial" w:cs="Arial" w:hint="eastAsia"/>
          <w:b/>
          <w:bCs/>
          <w:color w:val="0000FF"/>
          <w:lang w:eastAsia="zh-CN"/>
        </w:rPr>
        <w:t xml:space="preserve"> </w:t>
      </w:r>
      <w:r>
        <w:rPr>
          <w:rFonts w:ascii="Arial" w:hAnsi="Arial" w:cs="Arial"/>
          <w:b/>
          <w:bCs/>
          <w:color w:val="0000FF"/>
          <w:lang w:eastAsia="zh-CN"/>
        </w:rPr>
        <w:tab/>
      </w:r>
      <w:r>
        <w:rPr>
          <w:rFonts w:ascii="Arial" w:hAnsi="Arial" w:cs="Arial" w:hint="eastAsia"/>
          <w:b/>
          <w:bCs/>
          <w:color w:val="0000FF"/>
          <w:lang w:eastAsia="zh-CN"/>
        </w:rPr>
        <w:t xml:space="preserve"> </w:t>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906219" w:rsidRDefault="00906219" w:rsidP="00906219">
      <w:pPr>
        <w:rPr>
          <w:rFonts w:ascii="Arial" w:eastAsia="MS Mincho" w:hAnsi="Arial" w:cs="Arial"/>
          <w:lang w:eastAsia="ja-JP"/>
        </w:rPr>
      </w:pP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906219" w:rsidP="00906219">
      <w:pPr>
        <w:spacing w:after="60"/>
        <w:rPr>
          <w:rFonts w:ascii="Arial" w:eastAsia="MS Mincho" w:hAnsi="Arial" w:cs="Arial"/>
          <w:lang w:eastAsia="ja-JP"/>
        </w:rPr>
      </w:pPr>
    </w:p>
    <w:p w:rsidR="00EF3E40" w:rsidRDefault="00EF3E40" w:rsidP="00906219">
      <w:pPr>
        <w:spacing w:after="60"/>
        <w:rPr>
          <w:rFonts w:ascii="Arial" w:eastAsia="MS Mincho" w:hAnsi="Arial" w:cs="Arial"/>
          <w:lang w:eastAsia="ja-JP"/>
        </w:rPr>
      </w:pPr>
      <w:r>
        <w:rPr>
          <w:rFonts w:ascii="Arial" w:eastAsia="MS Mincho" w:hAnsi="Arial" w:cs="Arial"/>
          <w:lang w:eastAsia="ja-JP"/>
        </w:rPr>
        <w:t>The deadline for the submission of the answer to ITU-D SG1 is before the March TSGs and before the PCG meeting. Therefore the document must be approved by correspondence.</w:t>
      </w:r>
    </w:p>
    <w:p w:rsidR="00EF3E40" w:rsidRDefault="00EF3E40" w:rsidP="00906219">
      <w:pPr>
        <w:spacing w:after="60"/>
        <w:rPr>
          <w:rFonts w:ascii="Arial" w:eastAsia="MS Mincho" w:hAnsi="Arial" w:cs="Arial"/>
          <w:lang w:eastAsia="ja-JP"/>
        </w:rPr>
      </w:pPr>
    </w:p>
    <w:p w:rsidR="00906219" w:rsidRDefault="00906219" w:rsidP="00906219">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RAN ITU-R Ad Hoc asks 3GPP TSG RAN to review the document, and provide its feedbacks </w:t>
      </w:r>
      <w:r w:rsidR="00EF3E40">
        <w:rPr>
          <w:rFonts w:ascii="Arial" w:eastAsia="MS Mincho" w:hAnsi="Arial" w:cs="Arial"/>
          <w:lang w:eastAsia="ja-JP"/>
        </w:rPr>
        <w:t>by February 15</w:t>
      </w:r>
      <w:r w:rsidR="00EF3E40" w:rsidRPr="00EF3E40">
        <w:rPr>
          <w:rFonts w:ascii="Arial" w:eastAsia="MS Mincho" w:hAnsi="Arial" w:cs="Arial"/>
          <w:vertAlign w:val="superscript"/>
          <w:lang w:eastAsia="ja-JP"/>
        </w:rPr>
        <w:t>th</w:t>
      </w:r>
      <w:r w:rsidR="00EF3E40">
        <w:rPr>
          <w:rFonts w:ascii="Arial" w:eastAsia="MS Mincho" w:hAnsi="Arial" w:cs="Arial"/>
          <w:lang w:eastAsia="ja-JP"/>
        </w:rPr>
        <w:t xml:space="preserve"> </w:t>
      </w:r>
      <w:r>
        <w:rPr>
          <w:rFonts w:ascii="Arial" w:eastAsia="MS Mincho" w:hAnsi="Arial" w:cs="Arial"/>
          <w:lang w:eastAsia="ja-JP"/>
        </w:rPr>
        <w:t>to the TSG SA for their revision</w:t>
      </w:r>
    </w:p>
    <w:p w:rsidR="00906219" w:rsidRDefault="00906219" w:rsidP="00906219">
      <w:pPr>
        <w:spacing w:after="60"/>
        <w:rPr>
          <w:rFonts w:ascii="Arial" w:eastAsia="MS Mincho" w:hAnsi="Arial" w:cs="Arial"/>
          <w:lang w:eastAsia="ja-JP"/>
        </w:rPr>
      </w:pPr>
      <w:r>
        <w:rPr>
          <w:rFonts w:ascii="Arial" w:eastAsia="MS Mincho" w:hAnsi="Arial" w:cs="Arial"/>
          <w:lang w:eastAsia="ja-JP"/>
        </w:rPr>
        <w:t xml:space="preserve">Subsequently, </w:t>
      </w:r>
      <w:r w:rsidRPr="00F31983">
        <w:rPr>
          <w:rFonts w:ascii="Arial" w:eastAsia="MS Mincho" w:hAnsi="Arial" w:cs="Arial"/>
          <w:lang w:eastAsia="ja-JP"/>
        </w:rPr>
        <w:t xml:space="preserve">3GPP </w:t>
      </w:r>
      <w:r>
        <w:rPr>
          <w:rFonts w:ascii="Arial" w:eastAsia="MS Mincho" w:hAnsi="Arial" w:cs="Arial"/>
          <w:lang w:eastAsia="ja-JP"/>
        </w:rPr>
        <w:t>RAN ITU-R Ad Hoc asks 3GPP TSG SA to review the document, and provide its feedbacks</w:t>
      </w:r>
      <w:r w:rsidR="00EF3E40">
        <w:rPr>
          <w:rFonts w:ascii="Arial" w:eastAsia="MS Mincho" w:hAnsi="Arial" w:cs="Arial"/>
          <w:lang w:eastAsia="ja-JP"/>
        </w:rPr>
        <w:t xml:space="preserve"> 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consequence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Pr="00F31983" w:rsidRDefault="00906219" w:rsidP="00906219">
      <w:pPr>
        <w:spacing w:after="60"/>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 xml:space="preserve">Reply </w:t>
      </w:r>
      <w:r w:rsidR="00DB5AA4">
        <w:rPr>
          <w:caps/>
          <w:sz w:val="28"/>
          <w:lang w:val="en-US"/>
        </w:rPr>
        <w:t>to LS ON</w:t>
      </w:r>
      <w:r w:rsidR="00DB5AA4">
        <w:rPr>
          <w:rFonts w:ascii="Arial" w:hAnsi="Arial" w:cs="Arial"/>
          <w:bCs/>
          <w:color w:val="000000"/>
          <w:lang w:val="en-US"/>
        </w:rPr>
        <w:t xml:space="preserve"> </w:t>
      </w:r>
      <w:r w:rsidR="00DB5AA4" w:rsidRPr="00927DEA">
        <w:rPr>
          <w:caps/>
          <w:sz w:val="28"/>
          <w:lang w:val="en-US"/>
        </w:rPr>
        <w:t>Strategies and policies for the deployment of broadband in developing countries</w:t>
      </w:r>
      <w:r w:rsidR="00DB5AA4" w:rsidRPr="00906219">
        <w:rPr>
          <w:rFonts w:ascii="Arial" w:hAnsi="Arial" w:cs="Arial"/>
          <w:bCs/>
          <w:color w:val="000000"/>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regarding </w:t>
      </w:r>
      <w:r w:rsidRPr="00E521E1">
        <w:rPr>
          <w:rFonts w:ascii="Arial" w:hAnsi="Arial" w:cs="Arial"/>
        </w:rPr>
        <w:t xml:space="preserve"> </w:t>
      </w:r>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1A5C78">
      <w:pPr>
        <w:rPr>
          <w:rFonts w:ascii="Arial" w:hAnsi="Arial" w:cs="Arial"/>
        </w:rPr>
      </w:pPr>
      <w:r>
        <w:rPr>
          <w:rFonts w:ascii="Arial" w:hAnsi="Arial" w:cs="Arial"/>
        </w:rPr>
        <w:t>3GPP developed several technologies able to fulfil broadband service requirements, such as HSPA, LTE and NR. 3GPP is contributing to ITU-R towards the creation of IMT-2020, by submitting an SRIT (Set of Radio Interface Technologies) composed by NR and LTE and an RIT based on NR technical specifications.</w:t>
      </w:r>
    </w:p>
    <w:p w:rsidR="001A5C78" w:rsidRDefault="001A5C78">
      <w:pPr>
        <w:rPr>
          <w:rFonts w:ascii="Arial" w:hAnsi="Arial" w:cs="Arial"/>
        </w:rPr>
      </w:pPr>
    </w:p>
    <w:p w:rsidR="001A5C78" w:rsidRDefault="001A5C78">
      <w:pPr>
        <w:rPr>
          <w:rFonts w:ascii="Arial" w:hAnsi="Arial" w:cs="Arial"/>
        </w:rPr>
      </w:pPr>
      <w:r>
        <w:rPr>
          <w:rFonts w:ascii="Arial" w:hAnsi="Arial" w:cs="Arial"/>
        </w:rPr>
        <w:t xml:space="preserve">Within the Release 15 framework, 3GPP developed different radio architecture options able to fulfil the enhanced Mobile BroadBand (eMBB) requirements. The different options are </w:t>
      </w:r>
      <w:r w:rsidR="009E4D3B">
        <w:rPr>
          <w:rFonts w:ascii="Arial" w:hAnsi="Arial" w:cs="Arial"/>
        </w:rPr>
        <w:t>illustrated in a simplified manner</w:t>
      </w:r>
      <w:r>
        <w:rPr>
          <w:rFonts w:ascii="Arial" w:hAnsi="Arial" w:cs="Arial"/>
        </w:rPr>
        <w:t xml:space="preserve"> in the figure </w:t>
      </w:r>
      <w:r w:rsidR="009E4D3B">
        <w:rPr>
          <w:rFonts w:ascii="Arial" w:hAnsi="Arial" w:cs="Arial"/>
        </w:rPr>
        <w:t xml:space="preserve">1 </w:t>
      </w:r>
      <w:r>
        <w:rPr>
          <w:rFonts w:ascii="Arial" w:hAnsi="Arial" w:cs="Arial"/>
        </w:rPr>
        <w:t>and allow service providers to build on existing 4G infrastructure or to develop new services based on a new radio access (NR) and a new Core Network (5G C).</w:t>
      </w:r>
      <w:r w:rsidR="009E4D3B">
        <w:rPr>
          <w:rFonts w:ascii="Arial" w:hAnsi="Arial" w:cs="Arial"/>
        </w:rPr>
        <w:t xml:space="preserve"> </w:t>
      </w:r>
    </w:p>
    <w:p w:rsidR="001A5C78" w:rsidRDefault="001A5C78">
      <w:pPr>
        <w:rPr>
          <w:rFonts w:ascii="Arial" w:hAnsi="Arial" w:cs="Arial"/>
        </w:rPr>
      </w:pPr>
    </w:p>
    <w:p w:rsidR="009E4D3B" w:rsidRDefault="009E4D3B">
      <w:pPr>
        <w:rPr>
          <w:rFonts w:ascii="Arial" w:hAnsi="Arial" w:cs="Arial"/>
        </w:rPr>
      </w:pPr>
      <w:r>
        <w:rPr>
          <w:rFonts w:ascii="Arial" w:hAnsi="Arial" w:cs="Arial"/>
          <w:noProof/>
        </w:rPr>
        <w:drawing>
          <wp:inline distT="0" distB="0" distL="0" distR="0">
            <wp:extent cx="2283567" cy="20447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8441" cy="2049064"/>
                    </a:xfrm>
                    <a:prstGeom prst="rect">
                      <a:avLst/>
                    </a:prstGeom>
                    <a:noFill/>
                    <a:ln>
                      <a:noFill/>
                    </a:ln>
                  </pic:spPr>
                </pic:pic>
              </a:graphicData>
            </a:graphic>
          </wp:inline>
        </w:drawing>
      </w:r>
      <w:r>
        <w:rPr>
          <w:rFonts w:ascii="Arial" w:hAnsi="Arial" w:cs="Arial"/>
          <w:noProof/>
        </w:rPr>
        <w:drawing>
          <wp:inline distT="0" distB="0" distL="0" distR="0">
            <wp:extent cx="2131253" cy="2025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359" cy="2037156"/>
                    </a:xfrm>
                    <a:prstGeom prst="rect">
                      <a:avLst/>
                    </a:prstGeom>
                    <a:noFill/>
                    <a:ln>
                      <a:noFill/>
                    </a:ln>
                  </pic:spPr>
                </pic:pic>
              </a:graphicData>
            </a:graphic>
          </wp:inline>
        </w:drawing>
      </w:r>
    </w:p>
    <w:p w:rsidR="001A5C78" w:rsidRDefault="009E4D3B" w:rsidP="00927DEA">
      <w:pPr>
        <w:ind w:left="142"/>
        <w:rPr>
          <w:rFonts w:ascii="Arial" w:hAnsi="Arial" w:cs="Arial"/>
        </w:rPr>
      </w:pPr>
      <w:r>
        <w:rPr>
          <w:rFonts w:ascii="Arial" w:hAnsi="Arial" w:cs="Arial"/>
          <w:noProof/>
        </w:rPr>
        <w:drawing>
          <wp:inline distT="0" distB="0" distL="0" distR="0">
            <wp:extent cx="2076538"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54" cy="2081888"/>
                    </a:xfrm>
                    <a:prstGeom prst="rect">
                      <a:avLst/>
                    </a:prstGeom>
                    <a:noFill/>
                    <a:ln>
                      <a:noFill/>
                    </a:ln>
                  </pic:spPr>
                </pic:pic>
              </a:graphicData>
            </a:graphic>
          </wp:inline>
        </w:drawing>
      </w:r>
      <w:r>
        <w:rPr>
          <w:rFonts w:ascii="Arial" w:hAnsi="Arial" w:cs="Arial"/>
        </w:rPr>
        <w:t xml:space="preserve">    </w:t>
      </w:r>
      <w:r>
        <w:rPr>
          <w:rFonts w:ascii="Arial" w:hAnsi="Arial" w:cs="Arial"/>
          <w:noProof/>
        </w:rPr>
        <w:drawing>
          <wp:inline distT="0" distB="0" distL="0" distR="0" wp14:anchorId="2C986552" wp14:editId="6D73B767">
            <wp:extent cx="2076655" cy="2029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044" cy="2053295"/>
                    </a:xfrm>
                    <a:prstGeom prst="rect">
                      <a:avLst/>
                    </a:prstGeom>
                    <a:noFill/>
                    <a:ln>
                      <a:noFill/>
                    </a:ln>
                  </pic:spPr>
                </pic:pic>
              </a:graphicData>
            </a:graphic>
          </wp:inline>
        </w:drawing>
      </w:r>
    </w:p>
    <w:p w:rsidR="009E4D3B" w:rsidRDefault="009E4D3B" w:rsidP="00927DEA">
      <w:pPr>
        <w:ind w:left="142"/>
        <w:rPr>
          <w:rFonts w:ascii="Arial" w:hAnsi="Arial" w:cs="Arial"/>
        </w:rPr>
      </w:pPr>
      <w:r>
        <w:rPr>
          <w:rFonts w:ascii="Arial" w:hAnsi="Arial" w:cs="Arial"/>
          <w:noProof/>
        </w:rPr>
        <w:lastRenderedPageBreak/>
        <w:drawing>
          <wp:inline distT="0" distB="0" distL="0" distR="0">
            <wp:extent cx="2065987"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4017" cy="2008025"/>
                    </a:xfrm>
                    <a:prstGeom prst="rect">
                      <a:avLst/>
                    </a:prstGeom>
                    <a:noFill/>
                    <a:ln>
                      <a:noFill/>
                    </a:ln>
                  </pic:spPr>
                </pic:pic>
              </a:graphicData>
            </a:graphic>
          </wp:inline>
        </w:drawing>
      </w:r>
    </w:p>
    <w:p w:rsidR="001A5C78" w:rsidRDefault="001A5C78">
      <w:pPr>
        <w:rPr>
          <w:rFonts w:ascii="Arial" w:hAnsi="Arial" w:cs="Arial"/>
        </w:rPr>
      </w:pPr>
    </w:p>
    <w:p w:rsidR="009E4D3B" w:rsidRDefault="009E4D3B">
      <w:pPr>
        <w:rPr>
          <w:rFonts w:ascii="Arial" w:hAnsi="Arial" w:cs="Arial"/>
        </w:rPr>
      </w:pPr>
      <w:r>
        <w:rPr>
          <w:rFonts w:ascii="Arial" w:hAnsi="Arial" w:cs="Arial"/>
        </w:rPr>
        <w:t xml:space="preserve">Figure 1 – simplified description of 5G radio architecture options </w:t>
      </w:r>
      <w:r w:rsidR="003B59DF">
        <w:rPr>
          <w:rFonts w:ascii="Arial" w:hAnsi="Arial" w:cs="Arial"/>
        </w:rPr>
        <w:t>(see RP-161256)</w:t>
      </w:r>
    </w:p>
    <w:p w:rsidR="009E4D3B" w:rsidRDefault="009E4D3B">
      <w:pPr>
        <w:rPr>
          <w:rFonts w:ascii="Arial" w:hAnsi="Arial" w:cs="Arial"/>
        </w:rPr>
      </w:pPr>
    </w:p>
    <w:p w:rsidR="007D4AAD" w:rsidRPr="007D4AAD" w:rsidRDefault="007D4AAD" w:rsidP="007D4AAD">
      <w:pPr>
        <w:rPr>
          <w:rFonts w:ascii="Arial" w:hAnsi="Arial" w:cs="Arial"/>
        </w:rPr>
      </w:pPr>
      <w:r w:rsidRPr="007D4AAD">
        <w:rPr>
          <w:rFonts w:ascii="Arial" w:hAnsi="Arial" w:cs="Arial"/>
        </w:rPr>
        <w:t>Note that 3GPP has also evaluated its 5G radio technologies (Rel-15 onward) toward IMT-2020 use cases and requirements, and submitted a preliminary report of the evaluation/performance results to ITU-R WP5D (see document PCG41_8, http://www.3gpp.org/ftp/PCG/PCG_41/docs/).</w:t>
      </w:r>
    </w:p>
    <w:p w:rsidR="007D4AAD" w:rsidRDefault="007D4AAD">
      <w:pPr>
        <w:rPr>
          <w:rFonts w:ascii="Arial" w:hAnsi="Arial" w:cs="Arial"/>
        </w:rPr>
      </w:pPr>
    </w:p>
    <w:p w:rsidR="001A5C78" w:rsidRDefault="001A5C78" w:rsidP="001A5C78">
      <w:pPr>
        <w:rPr>
          <w:rFonts w:ascii="Arial" w:hAnsi="Arial" w:cs="Arial"/>
        </w:rPr>
      </w:pPr>
      <w:r>
        <w:rPr>
          <w:rFonts w:ascii="Arial" w:hAnsi="Arial" w:cs="Arial"/>
        </w:rPr>
        <w:t>3GPP gladly responds to your questions below and is looking forward to continuing the collaboration with ITU-D.</w:t>
      </w:r>
    </w:p>
    <w:p w:rsidR="001A5C78" w:rsidRDefault="001A5C78">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28.515, 28.516, </w:t>
            </w:r>
            <w:r>
              <w:rPr>
                <w:rFonts w:ascii="Arial" w:hAnsi="Arial" w:cs="Arial"/>
              </w:rPr>
              <w:lastRenderedPageBreak/>
              <w:t>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lastRenderedPageBreak/>
              <w:t xml:space="preserve">Telecommunication management; Fault Management (FM) for mobile networks that </w:t>
            </w:r>
            <w:r w:rsidRPr="009917C9">
              <w:rPr>
                <w:rFonts w:ascii="Arial" w:hAnsi="Arial" w:cs="Arial"/>
                <w:color w:val="444444"/>
              </w:rPr>
              <w:lastRenderedPageBreak/>
              <w:t>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28.520, 28.521, 28.522, 28.523</w:t>
            </w:r>
          </w:p>
        </w:tc>
        <w:tc>
          <w:tcPr>
            <w:tcW w:w="7938" w:type="dxa"/>
          </w:tcPr>
          <w:p w:rsidR="009917C9" w:rsidRDefault="009917C9" w:rsidP="00814770">
            <w:pPr>
              <w:spacing w:after="120"/>
              <w:rPr>
                <w:rFonts w:ascii="Arial" w:hAnsi="Arial" w:cs="Arial"/>
              </w:rPr>
            </w:pPr>
            <w:r w:rsidRPr="009917C9">
              <w:rPr>
                <w:rFonts w:ascii="Arial" w:hAnsi="Arial" w:cs="Arial"/>
              </w:rPr>
              <w:t>Telecommunication management; Performance Management (PM) for mobile networks 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long distance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p>
    <w:p w:rsidR="00FB5E47" w:rsidRDefault="00461A08" w:rsidP="00290353">
      <w:pPr>
        <w:pStyle w:val="B1"/>
        <w:spacing w:after="120"/>
        <w:ind w:left="0" w:firstLine="0"/>
      </w:pPr>
      <w:r>
        <w:t xml:space="preserve">TS 22.261 specifies many service requirements </w:t>
      </w:r>
      <w:r w:rsidR="00FB5E47">
        <w:t xml:space="preserve">beyond those listed above </w:t>
      </w:r>
      <w:r>
        <w:t xml:space="preserve">that may be relevant to developing countries. </w:t>
      </w:r>
      <w:r w:rsidR="00290353">
        <w:t xml:space="preserve">Some examples include </w:t>
      </w:r>
      <w:r w:rsidR="00016D1E">
        <w:t>Network slicing (</w:t>
      </w:r>
      <w:r w:rsidR="00290353">
        <w:t xml:space="preserve">clause </w:t>
      </w:r>
      <w:r w:rsidR="00016D1E">
        <w:t>6.1), Resource Efficiency (6.4)</w:t>
      </w:r>
      <w:r w:rsidR="00290353">
        <w:t xml:space="preserve"> and</w:t>
      </w:r>
      <w:r w:rsidR="00016D1E">
        <w:t xml:space="preserve"> E</w:t>
      </w:r>
      <w:r w:rsidR="00290353">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t>Energy Efficiency (6.15)</w:t>
      </w:r>
      <w:r w:rsidR="00016D1E">
        <w:t>:</w:t>
      </w:r>
      <w:r>
        <w:t xml:space="preserve"> </w:t>
      </w:r>
      <w:r w:rsidR="00FB5E47">
        <w:t>There are requirements for energy efficient UEs (terminals) that are easily rechargeable.</w:t>
      </w:r>
      <w:r w:rsidR="00290353">
        <w:t xml:space="preserve"> Finally, </w:t>
      </w:r>
      <w:r w:rsidR="00FB5E47">
        <w:t>Markets requiring minimal service levels (6.16)</w:t>
      </w:r>
      <w:r w:rsidR="00016D1E">
        <w:t>:</w:t>
      </w:r>
      <w:r w:rsidR="00FB5E47">
        <w:t xml:space="preserve"> Support for markets where there is sporadic access to power with variable expectations for availability, reliability and data rates that may fluctuate based upon availability of power and (greatly extended) coverage area</w:t>
      </w:r>
      <w:r>
        <w:t xml:space="preserve"> </w:t>
      </w:r>
      <w:r w:rsidR="00FB5E47">
        <w:t>and the ability to delivery content efficiently when there are constraints on transport networks to low-end UEs (e.g. with small screens and limited energy consumption.)</w:t>
      </w: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high-qualilty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3GPP takes into account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taken into account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t>-</w:t>
      </w:r>
      <w:r w:rsidRPr="00093B56">
        <w:rPr>
          <w:color w:val="0070C0"/>
        </w:rPr>
        <w:tab/>
        <w:t>Guidelines and standards for the transition from narrowband to high-speed, high-quality mobile broadband networks (transition to 5G networks), taking into account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lastRenderedPageBreak/>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t>3GPP RAN specified the use of 5G NR in a number of bands (see TS 38.101-1).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r w:rsidRPr="00764BD2">
              <w:t>F</w:t>
            </w:r>
            <w:r w:rsidRPr="00764BD2">
              <w:rPr>
                <w:vertAlign w:val="subscript"/>
              </w:rPr>
              <w:t xml:space="preserve">UL_low </w:t>
            </w:r>
            <w:r w:rsidRPr="00764BD2">
              <w:t xml:space="preserve">  –  F</w:t>
            </w:r>
            <w:r w:rsidRPr="00764BD2">
              <w:rPr>
                <w:vertAlign w:val="subscript"/>
              </w:rPr>
              <w:t>UL_high</w:t>
            </w:r>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r w:rsidRPr="00764BD2">
              <w:t>F</w:t>
            </w:r>
            <w:r w:rsidRPr="00764BD2">
              <w:rPr>
                <w:vertAlign w:val="subscript"/>
              </w:rPr>
              <w:t>DL_low</w:t>
            </w:r>
            <w:r w:rsidRPr="00764BD2">
              <w:t xml:space="preserve">   –  F</w:t>
            </w:r>
            <w:r w:rsidRPr="00764BD2">
              <w:rPr>
                <w:vertAlign w:val="subscript"/>
              </w:rPr>
              <w:t>DL_high</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To the above bands, also the bands specified for LTE should be taken into account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3GPP is also studying solutions to provide self backhauling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46D" w:rsidRDefault="0026246D">
      <w:r>
        <w:separator/>
      </w:r>
    </w:p>
  </w:endnote>
  <w:endnote w:type="continuationSeparator" w:id="0">
    <w:p w:rsidR="0026246D" w:rsidRDefault="0026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46D" w:rsidRDefault="0026246D">
      <w:r>
        <w:separator/>
      </w:r>
    </w:p>
  </w:footnote>
  <w:footnote w:type="continuationSeparator" w:id="0">
    <w:p w:rsidR="0026246D" w:rsidRDefault="0026246D">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2D48"/>
    <w:rsid w:val="00016D1E"/>
    <w:rsid w:val="00093B56"/>
    <w:rsid w:val="000D511D"/>
    <w:rsid w:val="000F4E43"/>
    <w:rsid w:val="0011425D"/>
    <w:rsid w:val="001965C3"/>
    <w:rsid w:val="001A5C78"/>
    <w:rsid w:val="001D77B5"/>
    <w:rsid w:val="0025736F"/>
    <w:rsid w:val="0026246D"/>
    <w:rsid w:val="00290353"/>
    <w:rsid w:val="002B4B82"/>
    <w:rsid w:val="002D7593"/>
    <w:rsid w:val="002E608D"/>
    <w:rsid w:val="002F3CEC"/>
    <w:rsid w:val="0035461B"/>
    <w:rsid w:val="003B59DF"/>
    <w:rsid w:val="003E0D7F"/>
    <w:rsid w:val="00432365"/>
    <w:rsid w:val="00461A08"/>
    <w:rsid w:val="00463675"/>
    <w:rsid w:val="00477908"/>
    <w:rsid w:val="004A18CC"/>
    <w:rsid w:val="004E72D8"/>
    <w:rsid w:val="00584B08"/>
    <w:rsid w:val="005D7EA0"/>
    <w:rsid w:val="005E6601"/>
    <w:rsid w:val="00654A90"/>
    <w:rsid w:val="00726FC3"/>
    <w:rsid w:val="00730A84"/>
    <w:rsid w:val="00733309"/>
    <w:rsid w:val="007961B4"/>
    <w:rsid w:val="007D4AAD"/>
    <w:rsid w:val="007F045F"/>
    <w:rsid w:val="00800E9D"/>
    <w:rsid w:val="00814770"/>
    <w:rsid w:val="008C11D6"/>
    <w:rsid w:val="00906219"/>
    <w:rsid w:val="00923E7C"/>
    <w:rsid w:val="00927DEA"/>
    <w:rsid w:val="00963B2C"/>
    <w:rsid w:val="009917C9"/>
    <w:rsid w:val="009E4D3B"/>
    <w:rsid w:val="009F14AB"/>
    <w:rsid w:val="00A22A85"/>
    <w:rsid w:val="00A44A7D"/>
    <w:rsid w:val="00AC0E49"/>
    <w:rsid w:val="00B60201"/>
    <w:rsid w:val="00BB6612"/>
    <w:rsid w:val="00BF454A"/>
    <w:rsid w:val="00C475D4"/>
    <w:rsid w:val="00C843A4"/>
    <w:rsid w:val="00C969B2"/>
    <w:rsid w:val="00D103A0"/>
    <w:rsid w:val="00D44B77"/>
    <w:rsid w:val="00DB5AA4"/>
    <w:rsid w:val="00E521E1"/>
    <w:rsid w:val="00E60652"/>
    <w:rsid w:val="00E871F1"/>
    <w:rsid w:val="00EF3E40"/>
    <w:rsid w:val="00FA58CB"/>
    <w:rsid w:val="00FB5E47"/>
    <w:rsid w:val="00FE6248"/>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489CD"/>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60201"/>
    <w:rPr>
      <w:b/>
    </w:rPr>
  </w:style>
  <w:style w:type="paragraph" w:customStyle="1" w:styleId="TAC">
    <w:name w:val="TAC"/>
    <w:basedOn w:val="Normal"/>
    <w:link w:val="TACChar"/>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4177">
      <w:bodyDiv w:val="1"/>
      <w:marLeft w:val="0"/>
      <w:marRight w:val="0"/>
      <w:marTop w:val="0"/>
      <w:marBottom w:val="0"/>
      <w:divBdr>
        <w:top w:val="none" w:sz="0" w:space="0" w:color="auto"/>
        <w:left w:val="none" w:sz="0" w:space="0" w:color="auto"/>
        <w:bottom w:val="none" w:sz="0" w:space="0" w:color="auto"/>
        <w:right w:val="none" w:sz="0" w:space="0" w:color="auto"/>
      </w:divBdr>
    </w:div>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 w:id="1996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5</cp:revision>
  <cp:lastPrinted>2002-04-23T08:10:00Z</cp:lastPrinted>
  <dcterms:created xsi:type="dcterms:W3CDTF">2019-02-09T06:43:00Z</dcterms:created>
  <dcterms:modified xsi:type="dcterms:W3CDTF">2019-02-09T23:00:00Z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