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D035C8" w:rsidRDefault="00EC1B73" w:rsidP="00CE6BA1">
      <w:pPr>
        <w:pStyle w:val="CRCoverPage"/>
        <w:tabs>
          <w:tab w:val="right" w:pos="9639"/>
        </w:tabs>
        <w:spacing w:after="0"/>
        <w:rPr>
          <w:b/>
          <w:noProof/>
          <w:sz w:val="28"/>
          <w:lang w:eastAsia="ja-JP"/>
        </w:rPr>
      </w:pPr>
      <w:r w:rsidRPr="00EC1B73">
        <w:rPr>
          <w:b/>
          <w:noProof/>
          <w:sz w:val="24"/>
        </w:rPr>
        <w:t>3GPP TSG RAN Meeting #75</w:t>
      </w:r>
      <w:r w:rsidRPr="00EC1B73">
        <w:rPr>
          <w:b/>
          <w:i/>
          <w:noProof/>
          <w:sz w:val="28"/>
        </w:rPr>
        <w:tab/>
      </w:r>
      <w:r w:rsidRPr="00EC1B73">
        <w:rPr>
          <w:b/>
          <w:noProof/>
          <w:sz w:val="28"/>
          <w:lang w:eastAsia="ja-JP"/>
        </w:rPr>
        <w:t>RP-170388</w:t>
      </w:r>
    </w:p>
    <w:p w:rsidR="00AE25BF" w:rsidRDefault="00EC1B73" w:rsidP="00517E5C">
      <w:pPr>
        <w:pStyle w:val="CRCoverPage"/>
        <w:tabs>
          <w:tab w:val="left" w:pos="7797"/>
        </w:tabs>
        <w:spacing w:after="0"/>
        <w:outlineLvl w:val="0"/>
        <w:rPr>
          <w:b/>
          <w:noProof/>
          <w:sz w:val="24"/>
        </w:rPr>
      </w:pPr>
      <w:r w:rsidRPr="00EC1B73">
        <w:rPr>
          <w:b/>
          <w:noProof/>
          <w:sz w:val="24"/>
        </w:rPr>
        <w:t>Dubrovnik, Croatia, Mar 6 - 9, 2017</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9F011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C4761A">
        <w:rPr>
          <w:rFonts w:ascii="Arial" w:hAnsi="Arial"/>
          <w:b/>
          <w:lang w:val="en-US" w:eastAsia="ja-JP"/>
        </w:rPr>
        <w:t>ZTE</w:t>
      </w:r>
      <w:r w:rsidR="00D035C8">
        <w:rPr>
          <w:rFonts w:ascii="Arial" w:hAnsi="Arial"/>
          <w:b/>
          <w:lang w:val="en-US" w:eastAsia="ja-JP"/>
        </w:rPr>
        <w:t>, ZTE Microelectronics</w:t>
      </w:r>
      <w:r w:rsidR="00A20C0C">
        <w:rPr>
          <w:rFonts w:ascii="Arial" w:hAnsi="Arial" w:hint="eastAsia"/>
          <w:b/>
          <w:lang w:val="en-US" w:eastAsia="ja-JP"/>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761A">
        <w:rPr>
          <w:rFonts w:ascii="Arial" w:hAnsi="Arial" w:cs="Arial"/>
          <w:b/>
          <w:lang w:eastAsia="ja-JP"/>
        </w:rPr>
        <w:t>Considerations on LTE-NR uplink sharing</w:t>
      </w:r>
    </w:p>
    <w:p w:rsidR="00AE25BF" w:rsidRPr="00A50E46"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ja-JP"/>
        </w:rPr>
      </w:pPr>
      <w:r w:rsidRPr="006E5DD5">
        <w:rPr>
          <w:rFonts w:ascii="Arial" w:eastAsia="Batang" w:hAnsi="Arial"/>
          <w:b/>
          <w:lang w:eastAsia="zh-CN"/>
        </w:rPr>
        <w:t>Document for:</w:t>
      </w:r>
      <w:r w:rsidRPr="006E5DD5">
        <w:rPr>
          <w:rFonts w:ascii="Arial" w:eastAsia="Batang" w:hAnsi="Arial"/>
          <w:b/>
          <w:lang w:eastAsia="zh-CN"/>
        </w:rPr>
        <w:tab/>
      </w:r>
      <w:r w:rsidR="002F2EC8" w:rsidRPr="00A50E46">
        <w:rPr>
          <w:rFonts w:ascii="Arial" w:hAnsi="Arial" w:hint="eastAsia"/>
          <w:b/>
          <w:lang w:eastAsia="ja-JP"/>
        </w:rPr>
        <w:t>Discussion</w:t>
      </w:r>
    </w:p>
    <w:p w:rsidR="00AE25BF" w:rsidRPr="00A50E4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ja-JP"/>
        </w:rPr>
      </w:pPr>
      <w:r w:rsidRPr="006E5DD5">
        <w:rPr>
          <w:rFonts w:ascii="Arial" w:eastAsia="Batang" w:hAnsi="Arial"/>
          <w:b/>
          <w:lang w:eastAsia="zh-CN"/>
        </w:rPr>
        <w:t>Agenda Item:</w:t>
      </w:r>
      <w:r w:rsidRPr="006E5DD5">
        <w:rPr>
          <w:rFonts w:ascii="Arial" w:eastAsia="Batang" w:hAnsi="Arial"/>
          <w:b/>
          <w:lang w:eastAsia="zh-CN"/>
        </w:rPr>
        <w:tab/>
      </w:r>
      <w:r w:rsidR="00AC1F1E">
        <w:rPr>
          <w:rFonts w:ascii="Arial" w:hAnsi="Arial"/>
          <w:b/>
          <w:lang w:eastAsia="ja-JP"/>
        </w:rPr>
        <w:t>9.1</w:t>
      </w:r>
    </w:p>
    <w:p w:rsidR="008A76FD" w:rsidRDefault="008A76FD" w:rsidP="001C5C86">
      <w:pPr>
        <w:pStyle w:val="Heading2"/>
      </w:pPr>
      <w:r>
        <w:t>1</w:t>
      </w:r>
      <w:r>
        <w:tab/>
      </w:r>
      <w:r w:rsidR="004B5C3F">
        <w:rPr>
          <w:rFonts w:hint="eastAsia"/>
          <w:lang w:eastAsia="ja-JP"/>
        </w:rPr>
        <w:t>Introduction</w:t>
      </w:r>
    </w:p>
    <w:p w:rsidR="00F57120" w:rsidRDefault="00173C72">
      <w:pPr>
        <w:ind w:right="-99"/>
        <w:jc w:val="both"/>
        <w:rPr>
          <w:lang w:eastAsia="ja-JP"/>
        </w:rPr>
      </w:pPr>
      <w:r>
        <w:rPr>
          <w:lang w:eastAsia="ja-JP"/>
        </w:rPr>
        <w:t>Recen</w:t>
      </w:r>
      <w:r w:rsidR="00FB3698">
        <w:rPr>
          <w:lang w:eastAsia="ja-JP"/>
        </w:rPr>
        <w:t>tly</w:t>
      </w:r>
      <w:r>
        <w:rPr>
          <w:lang w:eastAsia="ja-JP"/>
        </w:rPr>
        <w:t xml:space="preserve"> LTE-NR uplink sharing </w:t>
      </w:r>
      <w:r w:rsidR="00D035C8">
        <w:rPr>
          <w:lang w:eastAsia="ja-JP"/>
        </w:rPr>
        <w:t xml:space="preserve">has been discussed </w:t>
      </w:r>
      <w:r>
        <w:rPr>
          <w:lang w:eastAsia="ja-JP"/>
        </w:rPr>
        <w:t>in the scope of LTE-NR coexis</w:t>
      </w:r>
      <w:r w:rsidR="008243CF">
        <w:rPr>
          <w:lang w:eastAsia="ja-JP"/>
        </w:rPr>
        <w:t>tence</w:t>
      </w:r>
      <w:r w:rsidR="00963E1B">
        <w:rPr>
          <w:lang w:eastAsia="ja-JP"/>
        </w:rPr>
        <w:t>,</w:t>
      </w:r>
      <w:r>
        <w:rPr>
          <w:lang w:eastAsia="ja-JP"/>
        </w:rPr>
        <w:t xml:space="preserve"> </w:t>
      </w:r>
      <w:r w:rsidR="008243CF">
        <w:rPr>
          <w:lang w:eastAsia="ja-JP"/>
        </w:rPr>
        <w:t>where</w:t>
      </w:r>
      <w:r>
        <w:rPr>
          <w:lang w:eastAsia="ja-JP"/>
        </w:rPr>
        <w:t xml:space="preserve"> </w:t>
      </w:r>
      <w:r w:rsidR="004314AF">
        <w:rPr>
          <w:lang w:eastAsia="ja-JP"/>
        </w:rPr>
        <w:t xml:space="preserve">an </w:t>
      </w:r>
      <w:r>
        <w:rPr>
          <w:lang w:eastAsia="ja-JP"/>
        </w:rPr>
        <w:t>NR uplink shares the same</w:t>
      </w:r>
      <w:r w:rsidR="00C31334">
        <w:rPr>
          <w:lang w:eastAsia="ja-JP"/>
        </w:rPr>
        <w:t xml:space="preserve"> fre</w:t>
      </w:r>
      <w:r w:rsidR="00363BDA">
        <w:rPr>
          <w:lang w:eastAsia="ja-JP"/>
        </w:rPr>
        <w:t>quency</w:t>
      </w:r>
      <w:r>
        <w:rPr>
          <w:lang w:eastAsia="ja-JP"/>
        </w:rPr>
        <w:t xml:space="preserve"> resources as an LTE uplink</w:t>
      </w:r>
      <w:r w:rsidR="00192138">
        <w:rPr>
          <w:lang w:eastAsia="ja-JP"/>
        </w:rPr>
        <w:t>,</w:t>
      </w:r>
      <w:r w:rsidR="00192138" w:rsidRPr="00192138">
        <w:rPr>
          <w:lang w:eastAsia="ja-JP"/>
        </w:rPr>
        <w:t xml:space="preserve"> </w:t>
      </w:r>
      <w:r w:rsidR="00192138">
        <w:rPr>
          <w:lang w:eastAsia="ja-JP"/>
        </w:rPr>
        <w:t>provided that LTE and NR base stations are collocated</w:t>
      </w:r>
      <w:r w:rsidR="008243CF">
        <w:rPr>
          <w:lang w:eastAsia="ja-JP"/>
        </w:rPr>
        <w:t xml:space="preserve"> [1]</w:t>
      </w:r>
      <w:r w:rsidR="00190748">
        <w:rPr>
          <w:lang w:eastAsia="ja-JP"/>
        </w:rPr>
        <w:t xml:space="preserve"> [2]</w:t>
      </w:r>
      <w:r>
        <w:rPr>
          <w:lang w:eastAsia="ja-JP"/>
        </w:rPr>
        <w:t xml:space="preserve">. Furthermore some specific band combinations for LTE uplink and NR downlink </w:t>
      </w:r>
      <w:r w:rsidR="00D035C8">
        <w:rPr>
          <w:lang w:eastAsia="ja-JP"/>
        </w:rPr>
        <w:t>were</w:t>
      </w:r>
      <w:r>
        <w:rPr>
          <w:lang w:eastAsia="ja-JP"/>
        </w:rPr>
        <w:t xml:space="preserve"> proposed, e.g., band 28 (700MHz) LTE uplink and C-band (3.5GHz) NR downlink</w:t>
      </w:r>
      <w:r w:rsidR="00D9755E">
        <w:rPr>
          <w:lang w:eastAsia="ja-JP"/>
        </w:rPr>
        <w:t xml:space="preserve"> [3</w:t>
      </w:r>
      <w:r>
        <w:rPr>
          <w:lang w:eastAsia="ja-JP"/>
        </w:rPr>
        <w:t>].</w:t>
      </w:r>
    </w:p>
    <w:p w:rsidR="00F57120" w:rsidRDefault="00173C72">
      <w:pPr>
        <w:ind w:right="-99"/>
        <w:jc w:val="both"/>
        <w:rPr>
          <w:lang w:eastAsia="ja-JP"/>
        </w:rPr>
      </w:pPr>
      <w:r>
        <w:rPr>
          <w:lang w:eastAsia="ja-JP"/>
        </w:rPr>
        <w:t>In t</w:t>
      </w:r>
      <w:r w:rsidR="007967BB">
        <w:rPr>
          <w:rFonts w:hint="eastAsia"/>
          <w:lang w:eastAsia="ja-JP"/>
        </w:rPr>
        <w:t>his document</w:t>
      </w:r>
      <w:r>
        <w:rPr>
          <w:lang w:eastAsia="ja-JP"/>
        </w:rPr>
        <w:t>, we</w:t>
      </w:r>
      <w:r w:rsidR="007967BB">
        <w:rPr>
          <w:rFonts w:hint="eastAsia"/>
          <w:lang w:eastAsia="ja-JP"/>
        </w:rPr>
        <w:t xml:space="preserve"> </w:t>
      </w:r>
      <w:r>
        <w:rPr>
          <w:lang w:eastAsia="ja-JP"/>
        </w:rPr>
        <w:t>discuss some potential issues with LTE-NR uplink sharing</w:t>
      </w:r>
      <w:r>
        <w:rPr>
          <w:bCs/>
          <w:lang w:eastAsia="ja-JP"/>
        </w:rPr>
        <w:t xml:space="preserve">, and propose that </w:t>
      </w:r>
      <w:r w:rsidR="00D754AD">
        <w:rPr>
          <w:bCs/>
          <w:lang w:eastAsia="ja-JP"/>
        </w:rPr>
        <w:t xml:space="preserve">3GPP </w:t>
      </w:r>
      <w:r w:rsidR="00440256">
        <w:rPr>
          <w:bCs/>
          <w:lang w:eastAsia="ja-JP"/>
        </w:rPr>
        <w:t xml:space="preserve">may </w:t>
      </w:r>
      <w:r w:rsidR="003F1D3D">
        <w:rPr>
          <w:bCs/>
          <w:lang w:eastAsia="ja-JP"/>
        </w:rPr>
        <w:t>consider</w:t>
      </w:r>
      <w:r w:rsidR="00D754AD">
        <w:rPr>
          <w:bCs/>
          <w:lang w:eastAsia="ja-JP"/>
        </w:rPr>
        <w:t xml:space="preserve"> </w:t>
      </w:r>
      <w:r w:rsidR="00440256">
        <w:rPr>
          <w:bCs/>
          <w:lang w:eastAsia="ja-JP"/>
        </w:rPr>
        <w:t>such deployment</w:t>
      </w:r>
      <w:r w:rsidR="00D754AD">
        <w:rPr>
          <w:bCs/>
          <w:lang w:eastAsia="ja-JP"/>
        </w:rPr>
        <w:t xml:space="preserve"> only after these issues and challenges are </w:t>
      </w:r>
      <w:r w:rsidR="00440256">
        <w:rPr>
          <w:bCs/>
          <w:lang w:eastAsia="ja-JP"/>
        </w:rPr>
        <w:t xml:space="preserve">fully </w:t>
      </w:r>
      <w:r w:rsidR="00D754AD">
        <w:rPr>
          <w:bCs/>
          <w:lang w:eastAsia="ja-JP"/>
        </w:rPr>
        <w:t xml:space="preserve">addressed and enough overall benefits are </w:t>
      </w:r>
      <w:r w:rsidR="00F84F72">
        <w:rPr>
          <w:bCs/>
          <w:lang w:eastAsia="ja-JP"/>
        </w:rPr>
        <w:t>justified</w:t>
      </w:r>
      <w:r w:rsidR="00D754AD">
        <w:rPr>
          <w:bCs/>
          <w:lang w:eastAsia="ja-JP"/>
        </w:rPr>
        <w:t>.</w:t>
      </w:r>
    </w:p>
    <w:p w:rsidR="00F57120" w:rsidRDefault="00DA74F3">
      <w:pPr>
        <w:pStyle w:val="Heading2"/>
        <w:jc w:val="both"/>
        <w:rPr>
          <w:lang w:eastAsia="ja-JP"/>
        </w:rPr>
      </w:pPr>
      <w:r>
        <w:t>2</w:t>
      </w:r>
      <w:r>
        <w:tab/>
      </w:r>
      <w:r w:rsidR="004B5C3F">
        <w:rPr>
          <w:rFonts w:hint="eastAsia"/>
          <w:lang w:eastAsia="ja-JP"/>
        </w:rPr>
        <w:t>Discussion</w:t>
      </w:r>
    </w:p>
    <w:p w:rsidR="00F57120" w:rsidRDefault="007967BB">
      <w:pPr>
        <w:pStyle w:val="Heading3"/>
        <w:jc w:val="both"/>
        <w:rPr>
          <w:lang w:eastAsia="ja-JP"/>
        </w:rPr>
      </w:pPr>
      <w:r>
        <w:t>2.</w:t>
      </w:r>
      <w:r>
        <w:rPr>
          <w:rFonts w:hint="eastAsia"/>
          <w:lang w:eastAsia="ja-JP"/>
        </w:rPr>
        <w:t>1</w:t>
      </w:r>
      <w:r>
        <w:tab/>
      </w:r>
      <w:r w:rsidR="009C27AD">
        <w:rPr>
          <w:rFonts w:hint="eastAsia"/>
          <w:lang w:eastAsia="ja-JP"/>
        </w:rPr>
        <w:t>Overview</w:t>
      </w:r>
    </w:p>
    <w:p w:rsidR="00F57120" w:rsidRDefault="00F10759">
      <w:pPr>
        <w:ind w:right="-99"/>
        <w:jc w:val="both"/>
        <w:rPr>
          <w:bCs/>
          <w:lang w:eastAsia="ja-JP"/>
        </w:rPr>
      </w:pPr>
      <w:r>
        <w:rPr>
          <w:bCs/>
          <w:lang w:eastAsia="ja-JP"/>
        </w:rPr>
        <w:t>One of fundamental principles in cellular networks is the balanced uplink and downlink coverage.</w:t>
      </w:r>
      <w:r w:rsidR="00E705C1">
        <w:rPr>
          <w:bCs/>
          <w:lang w:eastAsia="ja-JP"/>
        </w:rPr>
        <w:t xml:space="preserve"> This is required by the bi-directional nature of </w:t>
      </w:r>
      <w:r w:rsidR="00E705C1" w:rsidRPr="00DE0EB6">
        <w:rPr>
          <w:lang w:eastAsia="ja-JP"/>
        </w:rPr>
        <w:t>telecommunications</w:t>
      </w:r>
      <w:r w:rsidR="00E705C1">
        <w:rPr>
          <w:bCs/>
          <w:lang w:eastAsia="ja-JP"/>
        </w:rPr>
        <w:t>:</w:t>
      </w:r>
    </w:p>
    <w:p w:rsidR="00F57120" w:rsidRDefault="00E705C1">
      <w:pPr>
        <w:pStyle w:val="ListParagraph"/>
        <w:numPr>
          <w:ilvl w:val="0"/>
          <w:numId w:val="9"/>
        </w:numPr>
        <w:spacing w:after="0"/>
        <w:jc w:val="both"/>
        <w:rPr>
          <w:bCs/>
          <w:lang w:eastAsia="ja-JP"/>
        </w:rPr>
      </w:pPr>
      <w:r>
        <w:rPr>
          <w:bCs/>
          <w:lang w:eastAsia="ja-JP"/>
        </w:rPr>
        <w:t>Most services provided by cellular networks are bi-directional</w:t>
      </w:r>
      <w:r w:rsidR="00B25585">
        <w:rPr>
          <w:bCs/>
          <w:lang w:eastAsia="ja-JP"/>
        </w:rPr>
        <w:t>, e.g., voice call, video conference etc.</w:t>
      </w:r>
    </w:p>
    <w:p w:rsidR="00F57120" w:rsidRDefault="00E705C1">
      <w:pPr>
        <w:pStyle w:val="ListParagraph"/>
        <w:numPr>
          <w:ilvl w:val="0"/>
          <w:numId w:val="9"/>
        </w:numPr>
        <w:spacing w:after="120"/>
        <w:ind w:left="714" w:hanging="357"/>
        <w:jc w:val="both"/>
        <w:rPr>
          <w:bCs/>
          <w:lang w:eastAsia="ja-JP"/>
        </w:rPr>
      </w:pPr>
      <w:r>
        <w:rPr>
          <w:bCs/>
          <w:lang w:eastAsia="ja-JP"/>
        </w:rPr>
        <w:t xml:space="preserve">The data transmission service provided by cellular networks is guaranteed </w:t>
      </w:r>
      <w:r w:rsidR="00440256">
        <w:rPr>
          <w:bCs/>
          <w:lang w:eastAsia="ja-JP"/>
        </w:rPr>
        <w:t>with</w:t>
      </w:r>
      <w:r>
        <w:rPr>
          <w:bCs/>
          <w:lang w:eastAsia="ja-JP"/>
        </w:rPr>
        <w:t xml:space="preserve"> certain quality</w:t>
      </w:r>
      <w:r w:rsidR="00440256">
        <w:rPr>
          <w:bCs/>
          <w:lang w:eastAsia="ja-JP"/>
        </w:rPr>
        <w:t xml:space="preserve"> measures</w:t>
      </w:r>
      <w:r>
        <w:rPr>
          <w:bCs/>
          <w:lang w:eastAsia="ja-JP"/>
        </w:rPr>
        <w:t xml:space="preserve">. And this is ensured by </w:t>
      </w:r>
      <w:r w:rsidR="00FE1CFA">
        <w:rPr>
          <w:bCs/>
          <w:lang w:eastAsia="ja-JP"/>
        </w:rPr>
        <w:t>transmission</w:t>
      </w:r>
      <w:r w:rsidR="00D00556">
        <w:rPr>
          <w:bCs/>
          <w:lang w:eastAsia="ja-JP"/>
        </w:rPr>
        <w:t xml:space="preserve"> in one direction and acknowledge</w:t>
      </w:r>
      <w:r w:rsidR="00FE1CFA">
        <w:rPr>
          <w:bCs/>
          <w:lang w:eastAsia="ja-JP"/>
        </w:rPr>
        <w:t>ment</w:t>
      </w:r>
      <w:r w:rsidR="00D00556">
        <w:rPr>
          <w:bCs/>
          <w:lang w:eastAsia="ja-JP"/>
        </w:rPr>
        <w:t xml:space="preserve"> in the other direction from technical prospective</w:t>
      </w:r>
      <w:r w:rsidR="000668AE">
        <w:rPr>
          <w:bCs/>
          <w:lang w:eastAsia="ja-JP"/>
        </w:rPr>
        <w:t>.</w:t>
      </w:r>
    </w:p>
    <w:p w:rsidR="00F57120" w:rsidRDefault="00106B79">
      <w:pPr>
        <w:ind w:right="-99"/>
        <w:jc w:val="both"/>
        <w:rPr>
          <w:bCs/>
          <w:lang w:eastAsia="ja-JP"/>
        </w:rPr>
      </w:pPr>
      <w:r>
        <w:rPr>
          <w:bCs/>
          <w:lang w:eastAsia="ja-JP"/>
        </w:rPr>
        <w:t xml:space="preserve">This requires that </w:t>
      </w:r>
      <w:r w:rsidRPr="00DE0EB6">
        <w:rPr>
          <w:lang w:eastAsia="ja-JP"/>
        </w:rPr>
        <w:t>uplink</w:t>
      </w:r>
      <w:r>
        <w:rPr>
          <w:bCs/>
          <w:lang w:eastAsia="ja-JP"/>
        </w:rPr>
        <w:t xml:space="preserve"> and downlink </w:t>
      </w:r>
      <w:r w:rsidR="00557038">
        <w:rPr>
          <w:bCs/>
          <w:lang w:eastAsia="ja-JP"/>
        </w:rPr>
        <w:t>coverage</w:t>
      </w:r>
      <w:r>
        <w:rPr>
          <w:bCs/>
          <w:lang w:eastAsia="ja-JP"/>
        </w:rPr>
        <w:t xml:space="preserve"> need to be carefully calculated </w:t>
      </w:r>
      <w:r w:rsidR="003307B6">
        <w:rPr>
          <w:bCs/>
          <w:lang w:eastAsia="ja-JP"/>
        </w:rPr>
        <w:t xml:space="preserve">and designed </w:t>
      </w:r>
      <w:r>
        <w:rPr>
          <w:bCs/>
          <w:lang w:eastAsia="ja-JP"/>
        </w:rPr>
        <w:t xml:space="preserve">by considering practical situation and implementation impairment etc. </w:t>
      </w:r>
      <w:r w:rsidR="00440256">
        <w:rPr>
          <w:bCs/>
          <w:lang w:eastAsia="ja-JP"/>
        </w:rPr>
        <w:t xml:space="preserve">In </w:t>
      </w:r>
      <w:r>
        <w:rPr>
          <w:bCs/>
          <w:lang w:eastAsia="ja-JP"/>
        </w:rPr>
        <w:t>any wireless cellular communication system, in order to make sure that a UE can successfully receive the signal transmitted from the base station, while at the same time, the base station can successfully receive the signal transmitted from the UE.</w:t>
      </w:r>
      <w:r w:rsidR="003C543F">
        <w:rPr>
          <w:bCs/>
          <w:lang w:eastAsia="ja-JP"/>
        </w:rPr>
        <w:t xml:space="preserve"> </w:t>
      </w:r>
      <w:r w:rsidR="00A2335E">
        <w:rPr>
          <w:bCs/>
          <w:lang w:eastAsia="ja-JP"/>
        </w:rPr>
        <w:t>D</w:t>
      </w:r>
      <w:r w:rsidR="00422415">
        <w:rPr>
          <w:bCs/>
          <w:lang w:eastAsia="ja-JP"/>
        </w:rPr>
        <w:t>ifferences</w:t>
      </w:r>
      <w:r w:rsidR="00DE0EB6">
        <w:rPr>
          <w:bCs/>
          <w:lang w:eastAsia="ja-JP"/>
        </w:rPr>
        <w:t xml:space="preserve"> </w:t>
      </w:r>
      <w:r w:rsidR="00422415">
        <w:rPr>
          <w:bCs/>
          <w:lang w:eastAsia="ja-JP"/>
        </w:rPr>
        <w:t>between</w:t>
      </w:r>
      <w:r w:rsidR="00DE0EB6">
        <w:rPr>
          <w:bCs/>
          <w:lang w:eastAsia="ja-JP"/>
        </w:rPr>
        <w:t xml:space="preserve"> the</w:t>
      </w:r>
      <w:r w:rsidR="003C543F">
        <w:rPr>
          <w:bCs/>
          <w:lang w:eastAsia="ja-JP"/>
        </w:rPr>
        <w:t xml:space="preserve"> transceivers at BS and UE side and frequencies for both downlink and uplink</w:t>
      </w:r>
      <w:r w:rsidR="00A2335E">
        <w:rPr>
          <w:bCs/>
          <w:lang w:eastAsia="ja-JP"/>
        </w:rPr>
        <w:t xml:space="preserve"> should be taken into account</w:t>
      </w:r>
      <w:r w:rsidR="003C543F">
        <w:rPr>
          <w:bCs/>
          <w:lang w:eastAsia="ja-JP"/>
        </w:rPr>
        <w:t>:</w:t>
      </w:r>
    </w:p>
    <w:p w:rsidR="00422415" w:rsidRDefault="00422415" w:rsidP="00422415">
      <w:pPr>
        <w:pStyle w:val="ListParagraph"/>
        <w:numPr>
          <w:ilvl w:val="0"/>
          <w:numId w:val="11"/>
        </w:numPr>
        <w:spacing w:after="120"/>
        <w:rPr>
          <w:bCs/>
          <w:lang w:eastAsia="ja-JP"/>
        </w:rPr>
      </w:pPr>
      <w:r>
        <w:rPr>
          <w:bCs/>
          <w:lang w:eastAsia="ja-JP"/>
        </w:rPr>
        <w:t>BS side:</w:t>
      </w:r>
    </w:p>
    <w:p w:rsidR="00422415" w:rsidRDefault="00422415" w:rsidP="00422415">
      <w:pPr>
        <w:pStyle w:val="ListParagraph"/>
        <w:numPr>
          <w:ilvl w:val="1"/>
          <w:numId w:val="11"/>
        </w:numPr>
        <w:spacing w:after="120"/>
        <w:rPr>
          <w:bCs/>
          <w:lang w:eastAsia="ja-JP"/>
        </w:rPr>
      </w:pPr>
      <w:r>
        <w:rPr>
          <w:bCs/>
          <w:lang w:eastAsia="ja-JP"/>
        </w:rPr>
        <w:t>Higher transmit power</w:t>
      </w:r>
    </w:p>
    <w:p w:rsidR="00422415" w:rsidRDefault="00422415" w:rsidP="00422415">
      <w:pPr>
        <w:pStyle w:val="ListParagraph"/>
        <w:numPr>
          <w:ilvl w:val="2"/>
          <w:numId w:val="11"/>
        </w:numPr>
        <w:spacing w:after="120"/>
        <w:rPr>
          <w:bCs/>
          <w:lang w:eastAsia="ja-JP"/>
        </w:rPr>
      </w:pPr>
      <w:r>
        <w:rPr>
          <w:bCs/>
          <w:lang w:eastAsia="ja-JP"/>
        </w:rPr>
        <w:t>Shared by multiple UEs</w:t>
      </w:r>
    </w:p>
    <w:p w:rsidR="00422415" w:rsidRDefault="00422415" w:rsidP="00422415">
      <w:pPr>
        <w:pStyle w:val="ListParagraph"/>
        <w:numPr>
          <w:ilvl w:val="2"/>
          <w:numId w:val="11"/>
        </w:numPr>
        <w:spacing w:after="120"/>
        <w:rPr>
          <w:bCs/>
          <w:lang w:eastAsia="ja-JP"/>
        </w:rPr>
      </w:pPr>
      <w:r>
        <w:rPr>
          <w:bCs/>
          <w:lang w:eastAsia="ja-JP"/>
        </w:rPr>
        <w:t>Shared by necessary common downlink channels</w:t>
      </w:r>
    </w:p>
    <w:p w:rsidR="00422415" w:rsidRDefault="00422415" w:rsidP="00422415">
      <w:pPr>
        <w:pStyle w:val="ListParagraph"/>
        <w:numPr>
          <w:ilvl w:val="1"/>
          <w:numId w:val="11"/>
        </w:numPr>
        <w:spacing w:after="120"/>
        <w:rPr>
          <w:bCs/>
          <w:lang w:eastAsia="ja-JP"/>
        </w:rPr>
      </w:pPr>
      <w:r>
        <w:rPr>
          <w:bCs/>
          <w:lang w:eastAsia="ja-JP"/>
        </w:rPr>
        <w:t>Multiple antennas</w:t>
      </w:r>
    </w:p>
    <w:p w:rsidR="00763D02" w:rsidRDefault="00763D02" w:rsidP="00763D02">
      <w:pPr>
        <w:pStyle w:val="ListParagraph"/>
        <w:numPr>
          <w:ilvl w:val="2"/>
          <w:numId w:val="11"/>
        </w:numPr>
        <w:spacing w:after="120"/>
        <w:rPr>
          <w:bCs/>
          <w:lang w:eastAsia="ja-JP"/>
        </w:rPr>
      </w:pPr>
      <w:r>
        <w:rPr>
          <w:bCs/>
          <w:lang w:eastAsia="ja-JP"/>
        </w:rPr>
        <w:t>Higher transmit antenna gain</w:t>
      </w:r>
    </w:p>
    <w:p w:rsidR="00763D02" w:rsidRDefault="00763D02" w:rsidP="00763D02">
      <w:pPr>
        <w:pStyle w:val="ListParagraph"/>
        <w:numPr>
          <w:ilvl w:val="2"/>
          <w:numId w:val="11"/>
        </w:numPr>
        <w:spacing w:after="120"/>
        <w:rPr>
          <w:bCs/>
          <w:lang w:eastAsia="ja-JP"/>
        </w:rPr>
      </w:pPr>
      <w:r>
        <w:rPr>
          <w:bCs/>
          <w:lang w:eastAsia="ja-JP"/>
        </w:rPr>
        <w:t>Higher receive antenna gain</w:t>
      </w:r>
    </w:p>
    <w:p w:rsidR="00763D02" w:rsidRDefault="00763D02" w:rsidP="00422415">
      <w:pPr>
        <w:pStyle w:val="ListParagraph"/>
        <w:numPr>
          <w:ilvl w:val="1"/>
          <w:numId w:val="11"/>
        </w:numPr>
        <w:spacing w:after="120"/>
        <w:rPr>
          <w:bCs/>
          <w:lang w:eastAsia="ja-JP"/>
        </w:rPr>
      </w:pPr>
      <w:r>
        <w:rPr>
          <w:bCs/>
          <w:lang w:eastAsia="ja-JP"/>
        </w:rPr>
        <w:t xml:space="preserve">Higher minimum guaranteed </w:t>
      </w:r>
      <w:r w:rsidR="005365FA">
        <w:rPr>
          <w:bCs/>
          <w:lang w:eastAsia="ja-JP"/>
        </w:rPr>
        <w:t xml:space="preserve">downlink </w:t>
      </w:r>
      <w:r>
        <w:rPr>
          <w:bCs/>
          <w:lang w:eastAsia="ja-JP"/>
        </w:rPr>
        <w:t>data rate</w:t>
      </w:r>
    </w:p>
    <w:p w:rsidR="00422415" w:rsidRDefault="00422415" w:rsidP="00422415">
      <w:pPr>
        <w:pStyle w:val="ListParagraph"/>
        <w:numPr>
          <w:ilvl w:val="0"/>
          <w:numId w:val="11"/>
        </w:numPr>
        <w:spacing w:after="120"/>
        <w:rPr>
          <w:bCs/>
          <w:lang w:eastAsia="ja-JP"/>
        </w:rPr>
      </w:pPr>
      <w:r>
        <w:rPr>
          <w:bCs/>
          <w:lang w:eastAsia="ja-JP"/>
        </w:rPr>
        <w:t>UE side</w:t>
      </w:r>
    </w:p>
    <w:p w:rsidR="00422415" w:rsidRDefault="005365FA" w:rsidP="00422415">
      <w:pPr>
        <w:pStyle w:val="ListParagraph"/>
        <w:numPr>
          <w:ilvl w:val="1"/>
          <w:numId w:val="11"/>
        </w:numPr>
        <w:spacing w:after="120"/>
        <w:rPr>
          <w:bCs/>
          <w:lang w:eastAsia="ja-JP"/>
        </w:rPr>
      </w:pPr>
      <w:r>
        <w:rPr>
          <w:bCs/>
          <w:lang w:eastAsia="ja-JP"/>
        </w:rPr>
        <w:t>Lower transmit power</w:t>
      </w:r>
    </w:p>
    <w:p w:rsidR="005365FA" w:rsidRDefault="005365FA" w:rsidP="00422415">
      <w:pPr>
        <w:pStyle w:val="ListParagraph"/>
        <w:numPr>
          <w:ilvl w:val="1"/>
          <w:numId w:val="11"/>
        </w:numPr>
        <w:spacing w:after="120"/>
        <w:rPr>
          <w:bCs/>
          <w:lang w:eastAsia="ja-JP"/>
        </w:rPr>
      </w:pPr>
      <w:r>
        <w:rPr>
          <w:bCs/>
          <w:lang w:eastAsia="ja-JP"/>
        </w:rPr>
        <w:t>Less antennas</w:t>
      </w:r>
    </w:p>
    <w:p w:rsidR="005365FA" w:rsidRDefault="00511C67" w:rsidP="00422415">
      <w:pPr>
        <w:pStyle w:val="ListParagraph"/>
        <w:numPr>
          <w:ilvl w:val="1"/>
          <w:numId w:val="11"/>
        </w:numPr>
        <w:spacing w:after="120"/>
        <w:rPr>
          <w:bCs/>
          <w:lang w:eastAsia="ja-JP"/>
        </w:rPr>
      </w:pPr>
      <w:r>
        <w:rPr>
          <w:bCs/>
          <w:lang w:eastAsia="ja-JP"/>
        </w:rPr>
        <w:t xml:space="preserve">Lower </w:t>
      </w:r>
      <w:r w:rsidR="005365FA">
        <w:rPr>
          <w:bCs/>
          <w:lang w:eastAsia="ja-JP"/>
        </w:rPr>
        <w:t>minimum guaranteed uplink data rate</w:t>
      </w:r>
    </w:p>
    <w:p w:rsidR="006F2376" w:rsidRDefault="00DF5B20" w:rsidP="006F2376">
      <w:pPr>
        <w:pStyle w:val="ListParagraph"/>
        <w:numPr>
          <w:ilvl w:val="0"/>
          <w:numId w:val="11"/>
        </w:numPr>
        <w:spacing w:after="120"/>
        <w:rPr>
          <w:bCs/>
          <w:lang w:eastAsia="ja-JP"/>
        </w:rPr>
      </w:pPr>
      <w:r>
        <w:rPr>
          <w:bCs/>
          <w:lang w:eastAsia="ja-JP"/>
        </w:rPr>
        <w:t>Downlink</w:t>
      </w:r>
      <w:r w:rsidR="006F2376">
        <w:rPr>
          <w:bCs/>
          <w:lang w:eastAsia="ja-JP"/>
        </w:rPr>
        <w:t xml:space="preserve"> and </w:t>
      </w:r>
      <w:r>
        <w:rPr>
          <w:bCs/>
          <w:lang w:eastAsia="ja-JP"/>
        </w:rPr>
        <w:t>up</w:t>
      </w:r>
      <w:r w:rsidR="006F2376">
        <w:rPr>
          <w:bCs/>
          <w:lang w:eastAsia="ja-JP"/>
        </w:rPr>
        <w:t>link frequencies</w:t>
      </w:r>
    </w:p>
    <w:p w:rsidR="006F2376" w:rsidRDefault="006F2376" w:rsidP="006F2376">
      <w:pPr>
        <w:pStyle w:val="ListParagraph"/>
        <w:numPr>
          <w:ilvl w:val="1"/>
          <w:numId w:val="11"/>
        </w:numPr>
        <w:spacing w:after="120"/>
        <w:rPr>
          <w:bCs/>
          <w:lang w:eastAsia="ja-JP"/>
        </w:rPr>
      </w:pPr>
      <w:r>
        <w:rPr>
          <w:bCs/>
          <w:lang w:eastAsia="ja-JP"/>
        </w:rPr>
        <w:t xml:space="preserve">In TDD, downlink and uplink have the same frequency </w:t>
      </w:r>
    </w:p>
    <w:p w:rsidR="006F2376" w:rsidRDefault="006F2376" w:rsidP="006F2376">
      <w:pPr>
        <w:pStyle w:val="ListParagraph"/>
        <w:numPr>
          <w:ilvl w:val="1"/>
          <w:numId w:val="11"/>
        </w:numPr>
        <w:spacing w:after="120"/>
        <w:rPr>
          <w:bCs/>
          <w:lang w:eastAsia="ja-JP"/>
        </w:rPr>
      </w:pPr>
      <w:r w:rsidRPr="006F2376">
        <w:rPr>
          <w:bCs/>
          <w:lang w:eastAsia="ja-JP"/>
        </w:rPr>
        <w:t>In FDD, the frequency of downlink is chosen in the same band as</w:t>
      </w:r>
      <w:r>
        <w:rPr>
          <w:bCs/>
          <w:lang w:eastAsia="ja-JP"/>
        </w:rPr>
        <w:t xml:space="preserve"> uplink, therefore the statistical properties of path-loss </w:t>
      </w:r>
      <w:r w:rsidR="00847904">
        <w:rPr>
          <w:bCs/>
          <w:lang w:eastAsia="ja-JP"/>
        </w:rPr>
        <w:t>are similar for both downlink and uplink</w:t>
      </w:r>
      <w:r w:rsidR="00E26448">
        <w:rPr>
          <w:bCs/>
          <w:lang w:eastAsia="ja-JP"/>
        </w:rPr>
        <w:t xml:space="preserve"> as shown in Table 4.1 </w:t>
      </w:r>
      <w:r w:rsidR="00AD3A7B">
        <w:rPr>
          <w:bCs/>
          <w:lang w:eastAsia="ja-JP"/>
        </w:rPr>
        <w:t xml:space="preserve">in </w:t>
      </w:r>
      <w:r w:rsidR="00E26448">
        <w:rPr>
          <w:bCs/>
          <w:lang w:eastAsia="ja-JP"/>
        </w:rPr>
        <w:t>[8]</w:t>
      </w:r>
    </w:p>
    <w:p w:rsidR="008A02D8" w:rsidRDefault="00AD3A7B" w:rsidP="008A02D8">
      <w:pPr>
        <w:spacing w:after="120"/>
        <w:ind w:left="1080"/>
        <w:jc w:val="center"/>
        <w:rPr>
          <w:bCs/>
          <w:lang w:eastAsia="ja-JP"/>
        </w:rPr>
      </w:pPr>
      <w:r>
        <w:rPr>
          <w:bCs/>
          <w:lang w:eastAsia="ja-JP"/>
        </w:rPr>
        <w:t xml:space="preserve">Table – 4.1 [8] </w:t>
      </w:r>
      <w:r w:rsidRPr="007F4011">
        <w:t>Simulation frequencies for FDD mode E-UTRA frequency bands</w:t>
      </w:r>
    </w:p>
    <w:tbl>
      <w:tblPr>
        <w:tblW w:w="9332" w:type="dxa"/>
        <w:jc w:val="center"/>
        <w:tblInd w:w="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48"/>
        <w:gridCol w:w="783"/>
        <w:gridCol w:w="861"/>
        <w:gridCol w:w="783"/>
        <w:gridCol w:w="861"/>
        <w:gridCol w:w="1150"/>
        <w:gridCol w:w="1736"/>
        <w:gridCol w:w="1810"/>
      </w:tblGrid>
      <w:tr w:rsidR="00E26448" w:rsidRPr="007F4011" w:rsidTr="00E26448">
        <w:trPr>
          <w:trHeight w:val="170"/>
          <w:jc w:val="center"/>
        </w:trPr>
        <w:tc>
          <w:tcPr>
            <w:tcW w:w="1348" w:type="dxa"/>
            <w:vMerge w:val="restart"/>
            <w:shd w:val="clear" w:color="auto" w:fill="auto"/>
            <w:noWrap/>
            <w:vAlign w:val="center"/>
          </w:tcPr>
          <w:p w:rsidR="00E26448" w:rsidRPr="007F4011" w:rsidRDefault="00E26448" w:rsidP="00317E45">
            <w:pPr>
              <w:pStyle w:val="TAH"/>
            </w:pPr>
            <w:bookmarkStart w:id="0" w:name="OLE_LINK12"/>
            <w:bookmarkStart w:id="1" w:name="OLE_LINK13"/>
            <w:r w:rsidRPr="007F4011">
              <w:lastRenderedPageBreak/>
              <w:t>E-UTRA Band</w:t>
            </w:r>
          </w:p>
        </w:tc>
        <w:tc>
          <w:tcPr>
            <w:tcW w:w="1644" w:type="dxa"/>
            <w:gridSpan w:val="2"/>
            <w:shd w:val="clear" w:color="auto" w:fill="auto"/>
            <w:noWrap/>
            <w:vAlign w:val="center"/>
          </w:tcPr>
          <w:p w:rsidR="00E26448" w:rsidRPr="007F4011" w:rsidRDefault="00E26448" w:rsidP="00317E45">
            <w:pPr>
              <w:pStyle w:val="TAH"/>
            </w:pPr>
            <w:r w:rsidRPr="007F4011">
              <w:t>UL frequencies (MHz)</w:t>
            </w:r>
          </w:p>
        </w:tc>
        <w:tc>
          <w:tcPr>
            <w:tcW w:w="1644" w:type="dxa"/>
            <w:gridSpan w:val="2"/>
            <w:shd w:val="clear" w:color="auto" w:fill="auto"/>
            <w:noWrap/>
            <w:vAlign w:val="center"/>
          </w:tcPr>
          <w:p w:rsidR="00E26448" w:rsidRPr="007F4011" w:rsidRDefault="00E26448" w:rsidP="00317E45">
            <w:pPr>
              <w:pStyle w:val="TAH"/>
            </w:pPr>
            <w:r w:rsidRPr="007F4011">
              <w:t>DL frequencies (MHz)</w:t>
            </w:r>
          </w:p>
        </w:tc>
        <w:tc>
          <w:tcPr>
            <w:tcW w:w="1150" w:type="dxa"/>
            <w:vMerge w:val="restart"/>
            <w:shd w:val="clear" w:color="auto" w:fill="auto"/>
            <w:noWrap/>
            <w:vAlign w:val="center"/>
          </w:tcPr>
          <w:p w:rsidR="00E26448" w:rsidRPr="007F4011" w:rsidRDefault="00E26448" w:rsidP="00317E45">
            <w:pPr>
              <w:pStyle w:val="TAH"/>
            </w:pPr>
            <w:r w:rsidRPr="007F4011">
              <w:t>Simulation frequency</w:t>
            </w:r>
          </w:p>
          <w:p w:rsidR="00E26448" w:rsidRPr="007F4011" w:rsidRDefault="00E26448" w:rsidP="00317E45">
            <w:pPr>
              <w:pStyle w:val="TAH"/>
            </w:pPr>
            <w:r w:rsidRPr="007F4011">
              <w:t>(MHz)</w:t>
            </w:r>
          </w:p>
        </w:tc>
        <w:tc>
          <w:tcPr>
            <w:tcW w:w="3546" w:type="dxa"/>
            <w:gridSpan w:val="2"/>
            <w:shd w:val="clear" w:color="auto" w:fill="auto"/>
            <w:noWrap/>
            <w:vAlign w:val="center"/>
          </w:tcPr>
          <w:p w:rsidR="00E26448" w:rsidRPr="007F4011" w:rsidRDefault="00E26448" w:rsidP="00317E45">
            <w:pPr>
              <w:pStyle w:val="TAH"/>
            </w:pPr>
            <w:r w:rsidRPr="007F4011">
              <w:t>Path loss difference (dB)</w:t>
            </w:r>
          </w:p>
        </w:tc>
      </w:tr>
      <w:tr w:rsidR="00E26448" w:rsidRPr="007F4011" w:rsidTr="00E26448">
        <w:trPr>
          <w:trHeight w:val="170"/>
          <w:jc w:val="center"/>
        </w:trPr>
        <w:tc>
          <w:tcPr>
            <w:tcW w:w="1348" w:type="dxa"/>
            <w:vMerge/>
            <w:shd w:val="clear" w:color="auto" w:fill="auto"/>
            <w:noWrap/>
            <w:vAlign w:val="center"/>
          </w:tcPr>
          <w:p w:rsidR="00E26448" w:rsidRPr="007F4011" w:rsidRDefault="00E26448" w:rsidP="00317E45">
            <w:pPr>
              <w:pStyle w:val="TAH"/>
            </w:pPr>
          </w:p>
        </w:tc>
        <w:tc>
          <w:tcPr>
            <w:tcW w:w="783" w:type="dxa"/>
            <w:shd w:val="clear" w:color="auto" w:fill="auto"/>
            <w:noWrap/>
            <w:vAlign w:val="center"/>
          </w:tcPr>
          <w:p w:rsidR="00E26448" w:rsidRPr="007F4011" w:rsidRDefault="00E26448" w:rsidP="00317E45">
            <w:pPr>
              <w:pStyle w:val="TAH"/>
            </w:pPr>
            <w:r w:rsidRPr="007F4011">
              <w:t>lowest</w:t>
            </w:r>
          </w:p>
        </w:tc>
        <w:tc>
          <w:tcPr>
            <w:tcW w:w="861" w:type="dxa"/>
            <w:shd w:val="clear" w:color="auto" w:fill="auto"/>
            <w:noWrap/>
            <w:vAlign w:val="center"/>
          </w:tcPr>
          <w:p w:rsidR="00E26448" w:rsidRPr="007F4011" w:rsidRDefault="00E26448" w:rsidP="00317E45">
            <w:pPr>
              <w:pStyle w:val="TAH"/>
            </w:pPr>
            <w:r w:rsidRPr="007F4011">
              <w:t>highest</w:t>
            </w:r>
          </w:p>
        </w:tc>
        <w:tc>
          <w:tcPr>
            <w:tcW w:w="783" w:type="dxa"/>
            <w:shd w:val="clear" w:color="auto" w:fill="auto"/>
            <w:noWrap/>
            <w:vAlign w:val="center"/>
          </w:tcPr>
          <w:p w:rsidR="00E26448" w:rsidRPr="007F4011" w:rsidRDefault="00E26448" w:rsidP="00317E45">
            <w:pPr>
              <w:pStyle w:val="TAH"/>
            </w:pPr>
            <w:r w:rsidRPr="007F4011">
              <w:t>lowest</w:t>
            </w:r>
          </w:p>
        </w:tc>
        <w:tc>
          <w:tcPr>
            <w:tcW w:w="861" w:type="dxa"/>
            <w:shd w:val="clear" w:color="auto" w:fill="auto"/>
            <w:noWrap/>
            <w:vAlign w:val="center"/>
          </w:tcPr>
          <w:p w:rsidR="00E26448" w:rsidRPr="007F4011" w:rsidRDefault="00E26448" w:rsidP="00317E45">
            <w:pPr>
              <w:pStyle w:val="TAH"/>
            </w:pPr>
            <w:r w:rsidRPr="007F4011">
              <w:t>highest</w:t>
            </w:r>
          </w:p>
        </w:tc>
        <w:tc>
          <w:tcPr>
            <w:tcW w:w="1150" w:type="dxa"/>
            <w:vMerge/>
            <w:shd w:val="clear" w:color="auto" w:fill="auto"/>
            <w:noWrap/>
            <w:vAlign w:val="center"/>
          </w:tcPr>
          <w:p w:rsidR="00E26448" w:rsidRPr="007F4011" w:rsidRDefault="00E26448" w:rsidP="00317E45">
            <w:pPr>
              <w:pStyle w:val="TAH"/>
            </w:pPr>
          </w:p>
        </w:tc>
        <w:tc>
          <w:tcPr>
            <w:tcW w:w="1736" w:type="dxa"/>
            <w:shd w:val="clear" w:color="auto" w:fill="auto"/>
            <w:noWrap/>
            <w:vAlign w:val="center"/>
          </w:tcPr>
          <w:p w:rsidR="00E26448" w:rsidRPr="007F4011" w:rsidRDefault="00E26448" w:rsidP="00317E45">
            <w:pPr>
              <w:pStyle w:val="TAH"/>
            </w:pPr>
            <w:r w:rsidRPr="007F4011">
              <w:t>lowest UL frequency</w:t>
            </w:r>
          </w:p>
        </w:tc>
        <w:tc>
          <w:tcPr>
            <w:tcW w:w="1810" w:type="dxa"/>
            <w:shd w:val="clear" w:color="auto" w:fill="auto"/>
            <w:noWrap/>
            <w:vAlign w:val="center"/>
          </w:tcPr>
          <w:p w:rsidR="00E26448" w:rsidRPr="007F4011" w:rsidRDefault="00E26448" w:rsidP="00317E45">
            <w:pPr>
              <w:pStyle w:val="TAH"/>
            </w:pPr>
            <w:r w:rsidRPr="007F4011">
              <w:t>highest DL frequency</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1</w:t>
            </w:r>
          </w:p>
        </w:tc>
        <w:tc>
          <w:tcPr>
            <w:tcW w:w="783" w:type="dxa"/>
            <w:shd w:val="clear" w:color="auto" w:fill="auto"/>
            <w:noWrap/>
            <w:vAlign w:val="center"/>
          </w:tcPr>
          <w:p w:rsidR="00E26448" w:rsidRPr="007F4011" w:rsidRDefault="00E26448" w:rsidP="00317E45">
            <w:pPr>
              <w:pStyle w:val="TAC"/>
            </w:pPr>
            <w:r w:rsidRPr="007F4011">
              <w:t>1920</w:t>
            </w:r>
          </w:p>
        </w:tc>
        <w:tc>
          <w:tcPr>
            <w:tcW w:w="861" w:type="dxa"/>
            <w:shd w:val="clear" w:color="auto" w:fill="auto"/>
            <w:noWrap/>
            <w:vAlign w:val="center"/>
          </w:tcPr>
          <w:p w:rsidR="00E26448" w:rsidRPr="007F4011" w:rsidRDefault="00E26448" w:rsidP="00317E45">
            <w:pPr>
              <w:pStyle w:val="TAC"/>
            </w:pPr>
            <w:r w:rsidRPr="007F4011">
              <w:t>1980</w:t>
            </w:r>
          </w:p>
        </w:tc>
        <w:tc>
          <w:tcPr>
            <w:tcW w:w="783" w:type="dxa"/>
            <w:shd w:val="clear" w:color="auto" w:fill="auto"/>
            <w:noWrap/>
            <w:vAlign w:val="center"/>
          </w:tcPr>
          <w:p w:rsidR="00E26448" w:rsidRPr="007F4011" w:rsidRDefault="00E26448" w:rsidP="00317E45">
            <w:pPr>
              <w:pStyle w:val="TAC"/>
            </w:pPr>
            <w:r w:rsidRPr="007F4011">
              <w:t>2110</w:t>
            </w:r>
          </w:p>
        </w:tc>
        <w:tc>
          <w:tcPr>
            <w:tcW w:w="861" w:type="dxa"/>
            <w:shd w:val="clear" w:color="auto" w:fill="auto"/>
            <w:noWrap/>
            <w:vAlign w:val="center"/>
          </w:tcPr>
          <w:p w:rsidR="00E26448" w:rsidRPr="007F4011" w:rsidRDefault="00E26448" w:rsidP="00317E45">
            <w:pPr>
              <w:pStyle w:val="TAC"/>
            </w:pPr>
            <w:r w:rsidRPr="007F4011">
              <w:t>2170</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0.37</w:t>
            </w:r>
          </w:p>
        </w:tc>
        <w:tc>
          <w:tcPr>
            <w:tcW w:w="1810" w:type="dxa"/>
            <w:shd w:val="clear" w:color="auto" w:fill="auto"/>
            <w:noWrap/>
            <w:vAlign w:val="center"/>
          </w:tcPr>
          <w:p w:rsidR="00E26448" w:rsidRPr="007F4011" w:rsidRDefault="00E26448" w:rsidP="00317E45">
            <w:pPr>
              <w:pStyle w:val="TAC"/>
            </w:pPr>
            <w:r w:rsidRPr="007F4011">
              <w:t>0.74</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2</w:t>
            </w:r>
          </w:p>
        </w:tc>
        <w:tc>
          <w:tcPr>
            <w:tcW w:w="783" w:type="dxa"/>
            <w:shd w:val="clear" w:color="auto" w:fill="auto"/>
            <w:noWrap/>
            <w:vAlign w:val="center"/>
          </w:tcPr>
          <w:p w:rsidR="00E26448" w:rsidRPr="007F4011" w:rsidRDefault="00E26448" w:rsidP="00317E45">
            <w:pPr>
              <w:pStyle w:val="TAC"/>
            </w:pPr>
            <w:r w:rsidRPr="007F4011">
              <w:t>1850</w:t>
            </w:r>
          </w:p>
        </w:tc>
        <w:tc>
          <w:tcPr>
            <w:tcW w:w="861" w:type="dxa"/>
            <w:shd w:val="clear" w:color="auto" w:fill="auto"/>
            <w:noWrap/>
            <w:vAlign w:val="center"/>
          </w:tcPr>
          <w:p w:rsidR="00E26448" w:rsidRPr="007F4011" w:rsidRDefault="00E26448" w:rsidP="00317E45">
            <w:pPr>
              <w:pStyle w:val="TAC"/>
            </w:pPr>
            <w:r w:rsidRPr="007F4011">
              <w:t>1910</w:t>
            </w:r>
          </w:p>
        </w:tc>
        <w:tc>
          <w:tcPr>
            <w:tcW w:w="783" w:type="dxa"/>
            <w:shd w:val="clear" w:color="auto" w:fill="auto"/>
            <w:noWrap/>
            <w:vAlign w:val="center"/>
          </w:tcPr>
          <w:p w:rsidR="00E26448" w:rsidRPr="007F4011" w:rsidRDefault="00E26448" w:rsidP="00317E45">
            <w:pPr>
              <w:pStyle w:val="TAC"/>
            </w:pPr>
            <w:r w:rsidRPr="007F4011">
              <w:t>1930</w:t>
            </w:r>
          </w:p>
        </w:tc>
        <w:tc>
          <w:tcPr>
            <w:tcW w:w="861" w:type="dxa"/>
            <w:shd w:val="clear" w:color="auto" w:fill="auto"/>
            <w:noWrap/>
            <w:vAlign w:val="center"/>
          </w:tcPr>
          <w:p w:rsidR="00E26448" w:rsidRPr="007F4011" w:rsidRDefault="00E26448" w:rsidP="00317E45">
            <w:pPr>
              <w:pStyle w:val="TAC"/>
            </w:pPr>
            <w:r w:rsidRPr="007F4011">
              <w:t>1990</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0.71</w:t>
            </w:r>
          </w:p>
        </w:tc>
        <w:tc>
          <w:tcPr>
            <w:tcW w:w="1810" w:type="dxa"/>
            <w:shd w:val="clear" w:color="auto" w:fill="auto"/>
            <w:noWrap/>
            <w:vAlign w:val="center"/>
          </w:tcPr>
          <w:p w:rsidR="00E26448" w:rsidRPr="007F4011" w:rsidRDefault="00E26448" w:rsidP="00317E45">
            <w:pPr>
              <w:pStyle w:val="TAC"/>
            </w:pPr>
            <w:r w:rsidRPr="007F4011">
              <w:t>0.05</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3</w:t>
            </w:r>
          </w:p>
        </w:tc>
        <w:tc>
          <w:tcPr>
            <w:tcW w:w="783" w:type="dxa"/>
            <w:shd w:val="clear" w:color="auto" w:fill="auto"/>
            <w:noWrap/>
            <w:vAlign w:val="center"/>
          </w:tcPr>
          <w:p w:rsidR="00E26448" w:rsidRPr="007F4011" w:rsidRDefault="00E26448" w:rsidP="00317E45">
            <w:pPr>
              <w:pStyle w:val="TAC"/>
            </w:pPr>
            <w:r w:rsidRPr="007F4011">
              <w:t>1710</w:t>
            </w:r>
          </w:p>
        </w:tc>
        <w:tc>
          <w:tcPr>
            <w:tcW w:w="861" w:type="dxa"/>
            <w:shd w:val="clear" w:color="auto" w:fill="auto"/>
            <w:noWrap/>
            <w:vAlign w:val="center"/>
          </w:tcPr>
          <w:p w:rsidR="00E26448" w:rsidRPr="007F4011" w:rsidRDefault="00E26448" w:rsidP="00317E45">
            <w:pPr>
              <w:pStyle w:val="TAC"/>
            </w:pPr>
            <w:r w:rsidRPr="007F4011">
              <w:t>1785</w:t>
            </w:r>
          </w:p>
        </w:tc>
        <w:tc>
          <w:tcPr>
            <w:tcW w:w="783" w:type="dxa"/>
            <w:shd w:val="clear" w:color="auto" w:fill="auto"/>
            <w:noWrap/>
            <w:vAlign w:val="center"/>
          </w:tcPr>
          <w:p w:rsidR="00E26448" w:rsidRPr="007F4011" w:rsidRDefault="00E26448" w:rsidP="00317E45">
            <w:pPr>
              <w:pStyle w:val="TAC"/>
            </w:pPr>
            <w:r w:rsidRPr="007F4011">
              <w:t>1805</w:t>
            </w:r>
          </w:p>
        </w:tc>
        <w:tc>
          <w:tcPr>
            <w:tcW w:w="861" w:type="dxa"/>
            <w:shd w:val="clear" w:color="auto" w:fill="auto"/>
            <w:noWrap/>
            <w:vAlign w:val="center"/>
          </w:tcPr>
          <w:p w:rsidR="00E26448" w:rsidRPr="007F4011" w:rsidRDefault="00E26448" w:rsidP="00317E45">
            <w:pPr>
              <w:pStyle w:val="TAC"/>
            </w:pPr>
            <w:r w:rsidRPr="007F4011">
              <w:t>1880</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1.43</w:t>
            </w:r>
          </w:p>
        </w:tc>
        <w:tc>
          <w:tcPr>
            <w:tcW w:w="1810" w:type="dxa"/>
            <w:shd w:val="clear" w:color="auto" w:fill="auto"/>
            <w:noWrap/>
            <w:vAlign w:val="center"/>
          </w:tcPr>
          <w:p w:rsidR="00E26448" w:rsidRPr="007F4011" w:rsidRDefault="00E26448" w:rsidP="00317E45">
            <w:pPr>
              <w:pStyle w:val="TAC"/>
            </w:pPr>
            <w:r w:rsidRPr="007F4011">
              <w:t>0.56</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4</w:t>
            </w:r>
          </w:p>
        </w:tc>
        <w:tc>
          <w:tcPr>
            <w:tcW w:w="783" w:type="dxa"/>
            <w:shd w:val="clear" w:color="auto" w:fill="auto"/>
            <w:noWrap/>
            <w:vAlign w:val="center"/>
          </w:tcPr>
          <w:p w:rsidR="00E26448" w:rsidRPr="007F4011" w:rsidRDefault="00E26448" w:rsidP="00317E45">
            <w:pPr>
              <w:pStyle w:val="TAC"/>
            </w:pPr>
            <w:r w:rsidRPr="007F4011">
              <w:t>1710</w:t>
            </w:r>
          </w:p>
        </w:tc>
        <w:tc>
          <w:tcPr>
            <w:tcW w:w="861" w:type="dxa"/>
            <w:shd w:val="clear" w:color="auto" w:fill="auto"/>
            <w:noWrap/>
            <w:vAlign w:val="center"/>
          </w:tcPr>
          <w:p w:rsidR="00E26448" w:rsidRPr="007F4011" w:rsidRDefault="00E26448" w:rsidP="00317E45">
            <w:pPr>
              <w:pStyle w:val="TAC"/>
            </w:pPr>
            <w:r w:rsidRPr="007F4011">
              <w:t>1755</w:t>
            </w:r>
          </w:p>
        </w:tc>
        <w:tc>
          <w:tcPr>
            <w:tcW w:w="783" w:type="dxa"/>
            <w:shd w:val="clear" w:color="auto" w:fill="auto"/>
            <w:noWrap/>
            <w:vAlign w:val="center"/>
          </w:tcPr>
          <w:p w:rsidR="00E26448" w:rsidRPr="007F4011" w:rsidRDefault="00E26448" w:rsidP="00317E45">
            <w:pPr>
              <w:pStyle w:val="TAC"/>
            </w:pPr>
            <w:r w:rsidRPr="007F4011">
              <w:t>2110</w:t>
            </w:r>
          </w:p>
        </w:tc>
        <w:tc>
          <w:tcPr>
            <w:tcW w:w="861" w:type="dxa"/>
            <w:shd w:val="clear" w:color="auto" w:fill="auto"/>
            <w:noWrap/>
            <w:vAlign w:val="center"/>
          </w:tcPr>
          <w:p w:rsidR="00E26448" w:rsidRPr="007F4011" w:rsidRDefault="00E26448" w:rsidP="00317E45">
            <w:pPr>
              <w:pStyle w:val="TAC"/>
            </w:pPr>
            <w:r w:rsidRPr="007F4011">
              <w:t>2155</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1.43</w:t>
            </w:r>
          </w:p>
        </w:tc>
        <w:tc>
          <w:tcPr>
            <w:tcW w:w="1810" w:type="dxa"/>
            <w:shd w:val="clear" w:color="auto" w:fill="auto"/>
            <w:noWrap/>
            <w:vAlign w:val="center"/>
          </w:tcPr>
          <w:p w:rsidR="00E26448" w:rsidRPr="007F4011" w:rsidRDefault="00E26448" w:rsidP="00317E45">
            <w:pPr>
              <w:pStyle w:val="TAC"/>
            </w:pPr>
            <w:r w:rsidRPr="007F4011">
              <w:t>0.68</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5</w:t>
            </w:r>
          </w:p>
        </w:tc>
        <w:tc>
          <w:tcPr>
            <w:tcW w:w="783" w:type="dxa"/>
            <w:shd w:val="clear" w:color="auto" w:fill="auto"/>
            <w:noWrap/>
            <w:vAlign w:val="center"/>
          </w:tcPr>
          <w:p w:rsidR="00E26448" w:rsidRPr="007F4011" w:rsidRDefault="00E26448" w:rsidP="00317E45">
            <w:pPr>
              <w:pStyle w:val="TAC"/>
            </w:pPr>
            <w:r w:rsidRPr="007F4011">
              <w:t>824</w:t>
            </w:r>
          </w:p>
        </w:tc>
        <w:tc>
          <w:tcPr>
            <w:tcW w:w="861" w:type="dxa"/>
            <w:shd w:val="clear" w:color="auto" w:fill="auto"/>
            <w:noWrap/>
            <w:vAlign w:val="center"/>
          </w:tcPr>
          <w:p w:rsidR="00E26448" w:rsidRPr="007F4011" w:rsidRDefault="00E26448" w:rsidP="00317E45">
            <w:pPr>
              <w:pStyle w:val="TAC"/>
            </w:pPr>
            <w:r w:rsidRPr="007F4011">
              <w:t>849</w:t>
            </w:r>
          </w:p>
        </w:tc>
        <w:tc>
          <w:tcPr>
            <w:tcW w:w="783" w:type="dxa"/>
            <w:shd w:val="clear" w:color="auto" w:fill="auto"/>
            <w:noWrap/>
            <w:vAlign w:val="center"/>
          </w:tcPr>
          <w:p w:rsidR="00E26448" w:rsidRPr="007F4011" w:rsidRDefault="00E26448" w:rsidP="00317E45">
            <w:pPr>
              <w:pStyle w:val="TAC"/>
            </w:pPr>
            <w:r w:rsidRPr="007F4011">
              <w:t>869</w:t>
            </w:r>
          </w:p>
        </w:tc>
        <w:tc>
          <w:tcPr>
            <w:tcW w:w="861" w:type="dxa"/>
            <w:shd w:val="clear" w:color="auto" w:fill="auto"/>
            <w:noWrap/>
            <w:vAlign w:val="center"/>
          </w:tcPr>
          <w:p w:rsidR="00E26448" w:rsidRPr="007F4011" w:rsidRDefault="00E26448" w:rsidP="00317E45">
            <w:pPr>
              <w:pStyle w:val="TAC"/>
            </w:pPr>
            <w:r w:rsidRPr="007F4011">
              <w:t>894</w:t>
            </w:r>
          </w:p>
        </w:tc>
        <w:tc>
          <w:tcPr>
            <w:tcW w:w="1150" w:type="dxa"/>
            <w:shd w:val="clear" w:color="auto" w:fill="auto"/>
            <w:noWrap/>
            <w:vAlign w:val="center"/>
          </w:tcPr>
          <w:p w:rsidR="00E26448" w:rsidRPr="007F4011" w:rsidRDefault="00E26448" w:rsidP="00317E45">
            <w:pPr>
              <w:pStyle w:val="TAC"/>
            </w:pPr>
            <w:r w:rsidRPr="007F4011">
              <w:t>900</w:t>
            </w:r>
          </w:p>
        </w:tc>
        <w:tc>
          <w:tcPr>
            <w:tcW w:w="1736" w:type="dxa"/>
            <w:shd w:val="clear" w:color="auto" w:fill="auto"/>
            <w:noWrap/>
            <w:vAlign w:val="center"/>
          </w:tcPr>
          <w:p w:rsidR="00E26448" w:rsidRPr="007F4011" w:rsidRDefault="00E26448" w:rsidP="00317E45">
            <w:pPr>
              <w:pStyle w:val="TAC"/>
            </w:pPr>
            <w:r w:rsidRPr="007F4011">
              <w:t>0.80</w:t>
            </w:r>
          </w:p>
        </w:tc>
        <w:tc>
          <w:tcPr>
            <w:tcW w:w="1810" w:type="dxa"/>
            <w:shd w:val="clear" w:color="auto" w:fill="auto"/>
            <w:noWrap/>
            <w:vAlign w:val="center"/>
          </w:tcPr>
          <w:p w:rsidR="00E26448" w:rsidRPr="007F4011" w:rsidRDefault="00E26448" w:rsidP="00317E45">
            <w:pPr>
              <w:pStyle w:val="TAC"/>
            </w:pPr>
            <w:r w:rsidRPr="007F4011">
              <w:t>0.06</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6</w:t>
            </w:r>
          </w:p>
        </w:tc>
        <w:tc>
          <w:tcPr>
            <w:tcW w:w="783" w:type="dxa"/>
            <w:shd w:val="clear" w:color="auto" w:fill="auto"/>
            <w:noWrap/>
            <w:vAlign w:val="center"/>
          </w:tcPr>
          <w:p w:rsidR="00E26448" w:rsidRPr="007F4011" w:rsidRDefault="00E26448" w:rsidP="00317E45">
            <w:pPr>
              <w:pStyle w:val="TAC"/>
            </w:pPr>
            <w:r w:rsidRPr="007F4011">
              <w:t>830</w:t>
            </w:r>
          </w:p>
        </w:tc>
        <w:tc>
          <w:tcPr>
            <w:tcW w:w="861" w:type="dxa"/>
            <w:shd w:val="clear" w:color="auto" w:fill="auto"/>
            <w:noWrap/>
            <w:vAlign w:val="center"/>
          </w:tcPr>
          <w:p w:rsidR="00E26448" w:rsidRPr="007F4011" w:rsidRDefault="00E26448" w:rsidP="00317E45">
            <w:pPr>
              <w:pStyle w:val="TAC"/>
            </w:pPr>
            <w:r w:rsidRPr="007F4011">
              <w:t>840</w:t>
            </w:r>
          </w:p>
        </w:tc>
        <w:tc>
          <w:tcPr>
            <w:tcW w:w="783" w:type="dxa"/>
            <w:shd w:val="clear" w:color="auto" w:fill="auto"/>
            <w:noWrap/>
            <w:vAlign w:val="center"/>
          </w:tcPr>
          <w:p w:rsidR="00E26448" w:rsidRPr="007F4011" w:rsidRDefault="00E26448" w:rsidP="00317E45">
            <w:pPr>
              <w:pStyle w:val="TAC"/>
            </w:pPr>
            <w:r w:rsidRPr="007F4011">
              <w:t>875</w:t>
            </w:r>
          </w:p>
        </w:tc>
        <w:tc>
          <w:tcPr>
            <w:tcW w:w="861" w:type="dxa"/>
            <w:shd w:val="clear" w:color="auto" w:fill="auto"/>
            <w:noWrap/>
            <w:vAlign w:val="center"/>
          </w:tcPr>
          <w:p w:rsidR="00E26448" w:rsidRPr="007F4011" w:rsidRDefault="00E26448" w:rsidP="00317E45">
            <w:pPr>
              <w:pStyle w:val="TAC"/>
            </w:pPr>
            <w:r w:rsidRPr="007F4011">
              <w:t>885</w:t>
            </w:r>
          </w:p>
        </w:tc>
        <w:tc>
          <w:tcPr>
            <w:tcW w:w="1150" w:type="dxa"/>
            <w:shd w:val="clear" w:color="auto" w:fill="auto"/>
            <w:noWrap/>
            <w:vAlign w:val="center"/>
          </w:tcPr>
          <w:p w:rsidR="00E26448" w:rsidRPr="007F4011" w:rsidRDefault="00E26448" w:rsidP="00317E45">
            <w:pPr>
              <w:pStyle w:val="TAC"/>
            </w:pPr>
            <w:r w:rsidRPr="007F4011">
              <w:t>900</w:t>
            </w:r>
          </w:p>
        </w:tc>
        <w:tc>
          <w:tcPr>
            <w:tcW w:w="1736" w:type="dxa"/>
            <w:shd w:val="clear" w:color="auto" w:fill="auto"/>
            <w:noWrap/>
            <w:vAlign w:val="center"/>
          </w:tcPr>
          <w:p w:rsidR="00E26448" w:rsidRPr="007F4011" w:rsidRDefault="00E26448" w:rsidP="00317E45">
            <w:pPr>
              <w:pStyle w:val="TAC"/>
            </w:pPr>
            <w:r w:rsidRPr="007F4011">
              <w:t>0.74</w:t>
            </w:r>
          </w:p>
        </w:tc>
        <w:tc>
          <w:tcPr>
            <w:tcW w:w="1810" w:type="dxa"/>
            <w:shd w:val="clear" w:color="auto" w:fill="auto"/>
            <w:noWrap/>
            <w:vAlign w:val="center"/>
          </w:tcPr>
          <w:p w:rsidR="00E26448" w:rsidRPr="007F4011" w:rsidRDefault="00E26448" w:rsidP="00317E45">
            <w:pPr>
              <w:pStyle w:val="TAC"/>
            </w:pPr>
            <w:r w:rsidRPr="007F4011">
              <w:t>0.15</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7</w:t>
            </w:r>
          </w:p>
        </w:tc>
        <w:tc>
          <w:tcPr>
            <w:tcW w:w="783" w:type="dxa"/>
            <w:shd w:val="clear" w:color="auto" w:fill="auto"/>
            <w:noWrap/>
            <w:vAlign w:val="center"/>
          </w:tcPr>
          <w:p w:rsidR="00E26448" w:rsidRPr="007F4011" w:rsidRDefault="00E26448" w:rsidP="00317E45">
            <w:pPr>
              <w:pStyle w:val="TAC"/>
            </w:pPr>
            <w:r w:rsidRPr="007F4011">
              <w:t>2500</w:t>
            </w:r>
          </w:p>
        </w:tc>
        <w:tc>
          <w:tcPr>
            <w:tcW w:w="861" w:type="dxa"/>
            <w:shd w:val="clear" w:color="auto" w:fill="auto"/>
            <w:noWrap/>
            <w:vAlign w:val="center"/>
          </w:tcPr>
          <w:p w:rsidR="00E26448" w:rsidRPr="007F4011" w:rsidRDefault="00E26448" w:rsidP="00317E45">
            <w:pPr>
              <w:pStyle w:val="TAC"/>
            </w:pPr>
            <w:r w:rsidRPr="007F4011">
              <w:t>2570</w:t>
            </w:r>
          </w:p>
        </w:tc>
        <w:tc>
          <w:tcPr>
            <w:tcW w:w="783" w:type="dxa"/>
            <w:shd w:val="clear" w:color="auto" w:fill="auto"/>
            <w:noWrap/>
            <w:vAlign w:val="center"/>
          </w:tcPr>
          <w:p w:rsidR="00E26448" w:rsidRPr="007F4011" w:rsidRDefault="00E26448" w:rsidP="00317E45">
            <w:pPr>
              <w:pStyle w:val="TAC"/>
            </w:pPr>
            <w:r w:rsidRPr="007F4011">
              <w:t>2620</w:t>
            </w:r>
          </w:p>
        </w:tc>
        <w:tc>
          <w:tcPr>
            <w:tcW w:w="861" w:type="dxa"/>
            <w:shd w:val="clear" w:color="auto" w:fill="auto"/>
            <w:noWrap/>
            <w:vAlign w:val="center"/>
          </w:tcPr>
          <w:p w:rsidR="00E26448" w:rsidRPr="007F4011" w:rsidRDefault="00E26448" w:rsidP="00317E45">
            <w:pPr>
              <w:pStyle w:val="TAC"/>
            </w:pPr>
            <w:r w:rsidRPr="007F4011">
              <w:t>2690</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2.04</w:t>
            </w:r>
          </w:p>
        </w:tc>
        <w:tc>
          <w:tcPr>
            <w:tcW w:w="1810" w:type="dxa"/>
            <w:shd w:val="clear" w:color="auto" w:fill="auto"/>
            <w:noWrap/>
            <w:vAlign w:val="center"/>
          </w:tcPr>
          <w:p w:rsidR="00E26448" w:rsidRPr="007F4011" w:rsidRDefault="00E26448" w:rsidP="00317E45">
            <w:pPr>
              <w:pStyle w:val="TAC"/>
            </w:pPr>
            <w:r w:rsidRPr="007F4011">
              <w:t>2.70</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8</w:t>
            </w:r>
          </w:p>
        </w:tc>
        <w:tc>
          <w:tcPr>
            <w:tcW w:w="783" w:type="dxa"/>
            <w:shd w:val="clear" w:color="auto" w:fill="auto"/>
            <w:noWrap/>
            <w:vAlign w:val="center"/>
          </w:tcPr>
          <w:p w:rsidR="00E26448" w:rsidRPr="007F4011" w:rsidRDefault="00E26448" w:rsidP="00317E45">
            <w:pPr>
              <w:pStyle w:val="TAC"/>
            </w:pPr>
            <w:r w:rsidRPr="007F4011">
              <w:t>880</w:t>
            </w:r>
          </w:p>
        </w:tc>
        <w:tc>
          <w:tcPr>
            <w:tcW w:w="861" w:type="dxa"/>
            <w:shd w:val="clear" w:color="auto" w:fill="auto"/>
            <w:noWrap/>
            <w:vAlign w:val="center"/>
          </w:tcPr>
          <w:p w:rsidR="00E26448" w:rsidRPr="007F4011" w:rsidRDefault="00E26448" w:rsidP="00317E45">
            <w:pPr>
              <w:pStyle w:val="TAC"/>
            </w:pPr>
            <w:r w:rsidRPr="007F4011">
              <w:t>915</w:t>
            </w:r>
          </w:p>
        </w:tc>
        <w:tc>
          <w:tcPr>
            <w:tcW w:w="783" w:type="dxa"/>
            <w:shd w:val="clear" w:color="auto" w:fill="auto"/>
            <w:noWrap/>
            <w:vAlign w:val="center"/>
          </w:tcPr>
          <w:p w:rsidR="00E26448" w:rsidRPr="007F4011" w:rsidRDefault="00E26448" w:rsidP="00317E45">
            <w:pPr>
              <w:pStyle w:val="TAC"/>
            </w:pPr>
            <w:r w:rsidRPr="007F4011">
              <w:t>925</w:t>
            </w:r>
          </w:p>
        </w:tc>
        <w:tc>
          <w:tcPr>
            <w:tcW w:w="861" w:type="dxa"/>
            <w:shd w:val="clear" w:color="auto" w:fill="auto"/>
            <w:noWrap/>
            <w:vAlign w:val="center"/>
          </w:tcPr>
          <w:p w:rsidR="00E26448" w:rsidRPr="007F4011" w:rsidRDefault="00E26448" w:rsidP="00317E45">
            <w:pPr>
              <w:pStyle w:val="TAC"/>
            </w:pPr>
            <w:r w:rsidRPr="007F4011">
              <w:t>960</w:t>
            </w:r>
          </w:p>
        </w:tc>
        <w:tc>
          <w:tcPr>
            <w:tcW w:w="1150" w:type="dxa"/>
            <w:shd w:val="clear" w:color="auto" w:fill="auto"/>
            <w:noWrap/>
            <w:vAlign w:val="center"/>
          </w:tcPr>
          <w:p w:rsidR="00E26448" w:rsidRPr="007F4011" w:rsidRDefault="00E26448" w:rsidP="00317E45">
            <w:pPr>
              <w:pStyle w:val="TAC"/>
            </w:pPr>
            <w:r w:rsidRPr="007F4011">
              <w:t>900</w:t>
            </w:r>
          </w:p>
        </w:tc>
        <w:tc>
          <w:tcPr>
            <w:tcW w:w="1736" w:type="dxa"/>
            <w:shd w:val="clear" w:color="auto" w:fill="auto"/>
            <w:noWrap/>
            <w:vAlign w:val="center"/>
          </w:tcPr>
          <w:p w:rsidR="00E26448" w:rsidRPr="007F4011" w:rsidRDefault="00E26448" w:rsidP="00317E45">
            <w:pPr>
              <w:pStyle w:val="TAC"/>
            </w:pPr>
            <w:r w:rsidRPr="007F4011">
              <w:t>0.20</w:t>
            </w:r>
          </w:p>
        </w:tc>
        <w:tc>
          <w:tcPr>
            <w:tcW w:w="1810" w:type="dxa"/>
            <w:shd w:val="clear" w:color="auto" w:fill="auto"/>
            <w:noWrap/>
            <w:vAlign w:val="center"/>
          </w:tcPr>
          <w:p w:rsidR="00E26448" w:rsidRPr="007F4011" w:rsidRDefault="00E26448" w:rsidP="00317E45">
            <w:pPr>
              <w:pStyle w:val="TAC"/>
            </w:pPr>
            <w:r w:rsidRPr="007F4011">
              <w:t>0.59</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9</w:t>
            </w:r>
          </w:p>
        </w:tc>
        <w:tc>
          <w:tcPr>
            <w:tcW w:w="783" w:type="dxa"/>
            <w:shd w:val="clear" w:color="auto" w:fill="auto"/>
            <w:noWrap/>
            <w:vAlign w:val="center"/>
          </w:tcPr>
          <w:p w:rsidR="00E26448" w:rsidRPr="007F4011" w:rsidRDefault="00E26448" w:rsidP="00317E45">
            <w:pPr>
              <w:pStyle w:val="TAC"/>
            </w:pPr>
            <w:r w:rsidRPr="007F4011">
              <w:t>1749.9</w:t>
            </w:r>
          </w:p>
        </w:tc>
        <w:tc>
          <w:tcPr>
            <w:tcW w:w="861" w:type="dxa"/>
            <w:shd w:val="clear" w:color="auto" w:fill="auto"/>
            <w:noWrap/>
            <w:vAlign w:val="center"/>
          </w:tcPr>
          <w:p w:rsidR="00E26448" w:rsidRPr="007F4011" w:rsidRDefault="00E26448" w:rsidP="00317E45">
            <w:pPr>
              <w:pStyle w:val="TAC"/>
            </w:pPr>
            <w:r w:rsidRPr="007F4011">
              <w:t>1784.9</w:t>
            </w:r>
          </w:p>
        </w:tc>
        <w:tc>
          <w:tcPr>
            <w:tcW w:w="783" w:type="dxa"/>
            <w:shd w:val="clear" w:color="auto" w:fill="auto"/>
            <w:noWrap/>
            <w:vAlign w:val="center"/>
          </w:tcPr>
          <w:p w:rsidR="00E26448" w:rsidRPr="007F4011" w:rsidRDefault="00E26448" w:rsidP="00317E45">
            <w:pPr>
              <w:pStyle w:val="TAC"/>
            </w:pPr>
            <w:r w:rsidRPr="007F4011">
              <w:t>1844.9</w:t>
            </w:r>
          </w:p>
        </w:tc>
        <w:tc>
          <w:tcPr>
            <w:tcW w:w="861" w:type="dxa"/>
            <w:shd w:val="clear" w:color="auto" w:fill="auto"/>
            <w:noWrap/>
            <w:vAlign w:val="center"/>
          </w:tcPr>
          <w:p w:rsidR="00E26448" w:rsidRPr="007F4011" w:rsidRDefault="00E26448" w:rsidP="00317E45">
            <w:pPr>
              <w:pStyle w:val="TAC"/>
            </w:pPr>
            <w:r w:rsidRPr="007F4011">
              <w:t>1879.9</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1.22</w:t>
            </w:r>
          </w:p>
        </w:tc>
        <w:tc>
          <w:tcPr>
            <w:tcW w:w="1810" w:type="dxa"/>
            <w:shd w:val="clear" w:color="auto" w:fill="auto"/>
            <w:noWrap/>
            <w:vAlign w:val="center"/>
          </w:tcPr>
          <w:p w:rsidR="00E26448" w:rsidRPr="007F4011" w:rsidRDefault="00E26448" w:rsidP="00317E45">
            <w:pPr>
              <w:pStyle w:val="TAC"/>
            </w:pPr>
            <w:r w:rsidRPr="007F4011">
              <w:t>0.56</w:t>
            </w:r>
          </w:p>
        </w:tc>
      </w:tr>
      <w:tr w:rsidR="00E26448" w:rsidRPr="007F4011" w:rsidTr="00E26448">
        <w:trPr>
          <w:trHeight w:val="170"/>
          <w:jc w:val="center"/>
        </w:trPr>
        <w:tc>
          <w:tcPr>
            <w:tcW w:w="1348" w:type="dxa"/>
            <w:shd w:val="clear" w:color="auto" w:fill="auto"/>
            <w:noWrap/>
            <w:vAlign w:val="center"/>
          </w:tcPr>
          <w:p w:rsidR="00E26448" w:rsidRPr="007F4011" w:rsidRDefault="00E26448" w:rsidP="00317E45">
            <w:pPr>
              <w:pStyle w:val="TAC"/>
            </w:pPr>
            <w:r w:rsidRPr="007F4011">
              <w:t>10</w:t>
            </w:r>
          </w:p>
        </w:tc>
        <w:tc>
          <w:tcPr>
            <w:tcW w:w="783" w:type="dxa"/>
            <w:shd w:val="clear" w:color="auto" w:fill="auto"/>
            <w:noWrap/>
            <w:vAlign w:val="center"/>
          </w:tcPr>
          <w:p w:rsidR="00E26448" w:rsidRPr="007F4011" w:rsidRDefault="00E26448" w:rsidP="00317E45">
            <w:pPr>
              <w:pStyle w:val="TAC"/>
            </w:pPr>
            <w:r w:rsidRPr="007F4011">
              <w:t>1710</w:t>
            </w:r>
          </w:p>
        </w:tc>
        <w:tc>
          <w:tcPr>
            <w:tcW w:w="861" w:type="dxa"/>
            <w:shd w:val="clear" w:color="auto" w:fill="auto"/>
            <w:noWrap/>
            <w:vAlign w:val="center"/>
          </w:tcPr>
          <w:p w:rsidR="00E26448" w:rsidRPr="007F4011" w:rsidRDefault="00E26448" w:rsidP="00317E45">
            <w:pPr>
              <w:pStyle w:val="TAC"/>
            </w:pPr>
            <w:r w:rsidRPr="007F4011">
              <w:t>1770</w:t>
            </w:r>
          </w:p>
        </w:tc>
        <w:tc>
          <w:tcPr>
            <w:tcW w:w="783" w:type="dxa"/>
            <w:shd w:val="clear" w:color="auto" w:fill="auto"/>
            <w:noWrap/>
            <w:vAlign w:val="center"/>
          </w:tcPr>
          <w:p w:rsidR="00E26448" w:rsidRPr="007F4011" w:rsidRDefault="00E26448" w:rsidP="00317E45">
            <w:pPr>
              <w:pStyle w:val="TAC"/>
            </w:pPr>
            <w:r w:rsidRPr="007F4011">
              <w:t>2110</w:t>
            </w:r>
          </w:p>
        </w:tc>
        <w:tc>
          <w:tcPr>
            <w:tcW w:w="861" w:type="dxa"/>
            <w:shd w:val="clear" w:color="auto" w:fill="auto"/>
            <w:noWrap/>
            <w:vAlign w:val="center"/>
          </w:tcPr>
          <w:p w:rsidR="00E26448" w:rsidRPr="007F4011" w:rsidRDefault="00E26448" w:rsidP="00317E45">
            <w:pPr>
              <w:pStyle w:val="TAC"/>
            </w:pPr>
            <w:r w:rsidRPr="007F4011">
              <w:t>2170</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1.43</w:t>
            </w:r>
          </w:p>
        </w:tc>
        <w:tc>
          <w:tcPr>
            <w:tcW w:w="1810" w:type="dxa"/>
            <w:shd w:val="clear" w:color="auto" w:fill="auto"/>
            <w:noWrap/>
            <w:vAlign w:val="center"/>
          </w:tcPr>
          <w:p w:rsidR="00E26448" w:rsidRPr="007F4011" w:rsidRDefault="00E26448" w:rsidP="00317E45">
            <w:pPr>
              <w:pStyle w:val="TAC"/>
            </w:pPr>
            <w:r w:rsidRPr="007F4011">
              <w:t>0.74</w:t>
            </w:r>
          </w:p>
        </w:tc>
      </w:tr>
      <w:tr w:rsidR="00E26448" w:rsidRPr="007F4011" w:rsidTr="00E26448">
        <w:trPr>
          <w:trHeight w:val="170"/>
          <w:jc w:val="center"/>
        </w:trPr>
        <w:tc>
          <w:tcPr>
            <w:tcW w:w="1348" w:type="dxa"/>
            <w:shd w:val="clear" w:color="auto" w:fill="auto"/>
            <w:noWrap/>
            <w:vAlign w:val="center"/>
          </w:tcPr>
          <w:p w:rsidR="00E26448" w:rsidRPr="007F4011" w:rsidDel="0025644F" w:rsidRDefault="00E26448" w:rsidP="00317E45">
            <w:pPr>
              <w:pStyle w:val="TAC"/>
            </w:pPr>
            <w:r w:rsidRPr="007F4011">
              <w:t>11</w:t>
            </w:r>
          </w:p>
        </w:tc>
        <w:tc>
          <w:tcPr>
            <w:tcW w:w="783" w:type="dxa"/>
            <w:shd w:val="clear" w:color="auto" w:fill="auto"/>
            <w:noWrap/>
            <w:vAlign w:val="center"/>
          </w:tcPr>
          <w:p w:rsidR="00E26448" w:rsidRPr="007F4011" w:rsidRDefault="00E26448" w:rsidP="00317E45">
            <w:pPr>
              <w:pStyle w:val="TAC"/>
            </w:pPr>
            <w:r w:rsidRPr="007F4011">
              <w:t>1427.9</w:t>
            </w:r>
          </w:p>
        </w:tc>
        <w:tc>
          <w:tcPr>
            <w:tcW w:w="861" w:type="dxa"/>
            <w:shd w:val="clear" w:color="auto" w:fill="auto"/>
            <w:noWrap/>
            <w:vAlign w:val="center"/>
          </w:tcPr>
          <w:p w:rsidR="00E26448" w:rsidRPr="007F4011" w:rsidRDefault="00E26448" w:rsidP="00317E45">
            <w:pPr>
              <w:pStyle w:val="TAC"/>
            </w:pPr>
            <w:r w:rsidRPr="007F4011">
              <w:t>1452.9</w:t>
            </w:r>
          </w:p>
        </w:tc>
        <w:tc>
          <w:tcPr>
            <w:tcW w:w="783" w:type="dxa"/>
            <w:shd w:val="clear" w:color="auto" w:fill="auto"/>
            <w:noWrap/>
            <w:vAlign w:val="center"/>
          </w:tcPr>
          <w:p w:rsidR="00E26448" w:rsidRPr="007F4011" w:rsidRDefault="00E26448" w:rsidP="00317E45">
            <w:pPr>
              <w:pStyle w:val="TAC"/>
            </w:pPr>
            <w:r w:rsidRPr="007F4011">
              <w:t>1475.9</w:t>
            </w:r>
          </w:p>
        </w:tc>
        <w:tc>
          <w:tcPr>
            <w:tcW w:w="861" w:type="dxa"/>
            <w:shd w:val="clear" w:color="auto" w:fill="auto"/>
            <w:noWrap/>
            <w:vAlign w:val="center"/>
          </w:tcPr>
          <w:p w:rsidR="00E26448" w:rsidRPr="007F4011" w:rsidRDefault="00E26448" w:rsidP="00317E45">
            <w:pPr>
              <w:pStyle w:val="TAC"/>
            </w:pPr>
            <w:r w:rsidRPr="007F4011">
              <w:t>1500.9</w:t>
            </w:r>
          </w:p>
        </w:tc>
        <w:tc>
          <w:tcPr>
            <w:tcW w:w="1150" w:type="dxa"/>
            <w:shd w:val="clear" w:color="auto" w:fill="auto"/>
            <w:noWrap/>
            <w:vAlign w:val="center"/>
          </w:tcPr>
          <w:p w:rsidR="00E26448" w:rsidRPr="007F4011" w:rsidRDefault="00E26448" w:rsidP="00317E45">
            <w:pPr>
              <w:pStyle w:val="TAC"/>
            </w:pPr>
            <w:r w:rsidRPr="007F4011">
              <w:t>2000</w:t>
            </w:r>
          </w:p>
        </w:tc>
        <w:tc>
          <w:tcPr>
            <w:tcW w:w="1736" w:type="dxa"/>
            <w:shd w:val="clear" w:color="auto" w:fill="auto"/>
            <w:noWrap/>
            <w:vAlign w:val="center"/>
          </w:tcPr>
          <w:p w:rsidR="00E26448" w:rsidRPr="007F4011" w:rsidRDefault="00E26448" w:rsidP="00317E45">
            <w:pPr>
              <w:pStyle w:val="TAC"/>
            </w:pPr>
            <w:r w:rsidRPr="007F4011">
              <w:t>3.07</w:t>
            </w:r>
          </w:p>
        </w:tc>
        <w:tc>
          <w:tcPr>
            <w:tcW w:w="1810" w:type="dxa"/>
            <w:shd w:val="clear" w:color="auto" w:fill="auto"/>
            <w:noWrap/>
            <w:vAlign w:val="center"/>
          </w:tcPr>
          <w:p w:rsidR="00E26448" w:rsidRPr="007F4011" w:rsidRDefault="00E26448" w:rsidP="00317E45">
            <w:pPr>
              <w:pStyle w:val="TAC"/>
            </w:pPr>
            <w:r w:rsidRPr="007F4011">
              <w:t>2.62</w:t>
            </w:r>
          </w:p>
        </w:tc>
      </w:tr>
      <w:bookmarkEnd w:id="0"/>
      <w:bookmarkEnd w:id="1"/>
    </w:tbl>
    <w:p w:rsidR="00E26448" w:rsidRDefault="00E26448" w:rsidP="00422415">
      <w:pPr>
        <w:spacing w:after="120"/>
        <w:rPr>
          <w:bCs/>
          <w:lang w:eastAsia="ja-JP"/>
        </w:rPr>
      </w:pPr>
    </w:p>
    <w:p w:rsidR="00F57120" w:rsidRDefault="002E271A">
      <w:pPr>
        <w:spacing w:after="120"/>
        <w:jc w:val="both"/>
        <w:rPr>
          <w:bCs/>
          <w:lang w:eastAsia="ja-JP"/>
        </w:rPr>
      </w:pPr>
      <w:r>
        <w:rPr>
          <w:bCs/>
          <w:lang w:eastAsia="ja-JP"/>
        </w:rPr>
        <w:t>Therefore</w:t>
      </w:r>
      <w:r w:rsidR="0044605A">
        <w:rPr>
          <w:bCs/>
          <w:lang w:eastAsia="ja-JP"/>
        </w:rPr>
        <w:t xml:space="preserve"> we may ensure balanced downlink and uplink </w:t>
      </w:r>
      <w:r w:rsidR="00E06F6E">
        <w:rPr>
          <w:bCs/>
          <w:lang w:eastAsia="ja-JP"/>
        </w:rPr>
        <w:t xml:space="preserve">coverage by </w:t>
      </w:r>
      <w:r w:rsidR="000B54D5">
        <w:rPr>
          <w:bCs/>
          <w:lang w:eastAsia="ja-JP"/>
        </w:rPr>
        <w:t>designing</w:t>
      </w:r>
      <w:r w:rsidR="00E06F6E">
        <w:rPr>
          <w:bCs/>
          <w:lang w:eastAsia="ja-JP"/>
        </w:rPr>
        <w:t xml:space="preserve"> </w:t>
      </w:r>
      <w:r w:rsidR="00487B01">
        <w:rPr>
          <w:bCs/>
          <w:lang w:eastAsia="ja-JP"/>
        </w:rPr>
        <w:t xml:space="preserve">a </w:t>
      </w:r>
      <w:r w:rsidR="0044605A">
        <w:rPr>
          <w:bCs/>
          <w:lang w:eastAsia="ja-JP"/>
        </w:rPr>
        <w:t xml:space="preserve">balanced </w:t>
      </w:r>
      <w:r w:rsidR="00487B01">
        <w:rPr>
          <w:bCs/>
          <w:lang w:eastAsia="ja-JP"/>
        </w:rPr>
        <w:t>link budget</w:t>
      </w:r>
      <w:r w:rsidR="00E06F6E">
        <w:rPr>
          <w:bCs/>
          <w:lang w:eastAsia="ja-JP"/>
        </w:rPr>
        <w:t xml:space="preserve"> for </w:t>
      </w:r>
      <w:r w:rsidR="0044605A">
        <w:rPr>
          <w:bCs/>
          <w:lang w:eastAsia="ja-JP"/>
        </w:rPr>
        <w:t xml:space="preserve">downlink and uplink </w:t>
      </w:r>
      <w:r>
        <w:rPr>
          <w:bCs/>
          <w:lang w:eastAsia="ja-JP"/>
        </w:rPr>
        <w:t xml:space="preserve">because of </w:t>
      </w:r>
      <w:r w:rsidR="0044605A">
        <w:rPr>
          <w:bCs/>
          <w:lang w:eastAsia="ja-JP"/>
        </w:rPr>
        <w:t>the</w:t>
      </w:r>
      <w:r w:rsidR="00651D5D">
        <w:rPr>
          <w:bCs/>
          <w:lang w:eastAsia="ja-JP"/>
        </w:rPr>
        <w:t>ir</w:t>
      </w:r>
      <w:r w:rsidR="0044605A">
        <w:rPr>
          <w:bCs/>
          <w:lang w:eastAsia="ja-JP"/>
        </w:rPr>
        <w:t xml:space="preserve"> similar </w:t>
      </w:r>
      <w:r w:rsidR="00127E81">
        <w:rPr>
          <w:bCs/>
          <w:lang w:eastAsia="ja-JP"/>
        </w:rPr>
        <w:t xml:space="preserve">large scale </w:t>
      </w:r>
      <w:r w:rsidR="0044605A">
        <w:rPr>
          <w:bCs/>
          <w:lang w:eastAsia="ja-JP"/>
        </w:rPr>
        <w:t>statistical properties</w:t>
      </w:r>
      <w:r>
        <w:rPr>
          <w:bCs/>
          <w:lang w:eastAsia="ja-JP"/>
        </w:rPr>
        <w:t xml:space="preserve"> of radio pr</w:t>
      </w:r>
      <w:r w:rsidR="00651D5D">
        <w:rPr>
          <w:bCs/>
          <w:lang w:eastAsia="ja-JP"/>
        </w:rPr>
        <w:t>opagation</w:t>
      </w:r>
      <w:r w:rsidR="0044605A">
        <w:rPr>
          <w:bCs/>
          <w:lang w:eastAsia="ja-JP"/>
        </w:rPr>
        <w:t xml:space="preserve">. </w:t>
      </w:r>
    </w:p>
    <w:p w:rsidR="00F57120" w:rsidRDefault="00D60016">
      <w:pPr>
        <w:spacing w:after="120"/>
        <w:jc w:val="both"/>
        <w:rPr>
          <w:bCs/>
          <w:lang w:eastAsia="ja-JP"/>
        </w:rPr>
      </w:pPr>
      <w:r>
        <w:rPr>
          <w:bCs/>
          <w:lang w:eastAsia="ja-JP"/>
        </w:rPr>
        <w:t>As one example, F</w:t>
      </w:r>
      <w:r w:rsidR="00923922">
        <w:rPr>
          <w:bCs/>
          <w:lang w:eastAsia="ja-JP"/>
        </w:rPr>
        <w:t xml:space="preserve">igure </w:t>
      </w:r>
      <w:r>
        <w:rPr>
          <w:bCs/>
          <w:lang w:eastAsia="ja-JP"/>
        </w:rPr>
        <w:t xml:space="preserve">1 </w:t>
      </w:r>
      <w:r w:rsidR="00923922">
        <w:rPr>
          <w:bCs/>
          <w:lang w:eastAsia="ja-JP"/>
        </w:rPr>
        <w:t xml:space="preserve">shows the </w:t>
      </w:r>
      <w:r w:rsidR="00B8520D">
        <w:rPr>
          <w:bCs/>
          <w:lang w:eastAsia="ja-JP"/>
        </w:rPr>
        <w:t>downlink and uplink coverage</w:t>
      </w:r>
      <w:r w:rsidR="00923922">
        <w:rPr>
          <w:bCs/>
          <w:lang w:eastAsia="ja-JP"/>
        </w:rPr>
        <w:t xml:space="preserve"> </w:t>
      </w:r>
      <w:r w:rsidR="00DD3C51">
        <w:rPr>
          <w:bCs/>
          <w:lang w:eastAsia="ja-JP"/>
        </w:rPr>
        <w:t>in</w:t>
      </w:r>
      <w:r w:rsidR="000051AD">
        <w:rPr>
          <w:bCs/>
          <w:lang w:eastAsia="ja-JP"/>
        </w:rPr>
        <w:t xml:space="preserve"> </w:t>
      </w:r>
      <w:r w:rsidR="00923922">
        <w:rPr>
          <w:bCs/>
          <w:lang w:eastAsia="ja-JP"/>
        </w:rPr>
        <w:t>LTE for different scenarios [4]</w:t>
      </w:r>
      <w:r>
        <w:rPr>
          <w:bCs/>
          <w:lang w:eastAsia="ja-JP"/>
        </w:rPr>
        <w:t>, and similar observations for different systems</w:t>
      </w:r>
      <w:r w:rsidR="003C0C75">
        <w:rPr>
          <w:bCs/>
          <w:lang w:eastAsia="ja-JP"/>
        </w:rPr>
        <w:t xml:space="preserve"> can also be found in</w:t>
      </w:r>
      <w:r>
        <w:rPr>
          <w:bCs/>
          <w:lang w:eastAsia="ja-JP"/>
        </w:rPr>
        <w:t xml:space="preserve"> [5][6].</w:t>
      </w:r>
    </w:p>
    <w:p w:rsidR="00923922" w:rsidRDefault="00923922" w:rsidP="00422415">
      <w:pPr>
        <w:spacing w:after="120"/>
        <w:rPr>
          <w:bCs/>
          <w:lang w:eastAsia="ja-JP"/>
        </w:rPr>
      </w:pPr>
      <w:r w:rsidRPr="00923922">
        <w:rPr>
          <w:bCs/>
          <w:noProof/>
          <w:lang w:val="en-US" w:eastAsia="zh-CN"/>
        </w:rPr>
        <w:drawing>
          <wp:inline distT="0" distB="0" distL="0" distR="0">
            <wp:extent cx="6120130" cy="2996314"/>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130" cy="2996314"/>
                    </a:xfrm>
                    <a:prstGeom prst="rect">
                      <a:avLst/>
                    </a:prstGeom>
                    <a:noFill/>
                    <a:ln w="9525">
                      <a:noFill/>
                      <a:miter lim="800000"/>
                      <a:headEnd/>
                      <a:tailEnd/>
                    </a:ln>
                  </pic:spPr>
                </pic:pic>
              </a:graphicData>
            </a:graphic>
          </wp:inline>
        </w:drawing>
      </w:r>
    </w:p>
    <w:p w:rsidR="00923922" w:rsidRDefault="006171F0" w:rsidP="006171F0">
      <w:pPr>
        <w:spacing w:after="120"/>
        <w:jc w:val="center"/>
        <w:rPr>
          <w:bCs/>
          <w:lang w:eastAsia="ja-JP"/>
        </w:rPr>
      </w:pPr>
      <w:r>
        <w:rPr>
          <w:bCs/>
          <w:lang w:eastAsia="ja-JP"/>
        </w:rPr>
        <w:t>Figure 1. LTE coverage for different scenarios</w:t>
      </w:r>
      <w:r w:rsidR="00EE193D">
        <w:rPr>
          <w:bCs/>
          <w:lang w:eastAsia="ja-JP"/>
        </w:rPr>
        <w:t xml:space="preserve"> [4]</w:t>
      </w:r>
    </w:p>
    <w:p w:rsidR="009C27AD" w:rsidRDefault="009C27AD" w:rsidP="009C27AD">
      <w:pPr>
        <w:pStyle w:val="Heading3"/>
        <w:rPr>
          <w:lang w:eastAsia="ja-JP"/>
        </w:rPr>
      </w:pPr>
      <w:bookmarkStart w:id="2" w:name="OLE_LINK1"/>
      <w:bookmarkStart w:id="3" w:name="OLE_LINK2"/>
      <w:r>
        <w:t>2.</w:t>
      </w:r>
      <w:r>
        <w:rPr>
          <w:rFonts w:hint="eastAsia"/>
          <w:lang w:eastAsia="ja-JP"/>
        </w:rPr>
        <w:t>2</w:t>
      </w:r>
      <w:r>
        <w:tab/>
      </w:r>
      <w:r w:rsidR="003B2840">
        <w:rPr>
          <w:lang w:eastAsia="ja-JP"/>
        </w:rPr>
        <w:t>Unbalanced uplink and downlink coverage in LTE-NR uplink sharing</w:t>
      </w:r>
    </w:p>
    <w:bookmarkEnd w:id="2"/>
    <w:bookmarkEnd w:id="3"/>
    <w:p w:rsidR="00F57120" w:rsidRDefault="00C53608">
      <w:pPr>
        <w:spacing w:after="0"/>
        <w:jc w:val="both"/>
        <w:rPr>
          <w:bCs/>
          <w:lang w:eastAsia="ja-JP"/>
        </w:rPr>
      </w:pPr>
      <w:r>
        <w:rPr>
          <w:bCs/>
          <w:lang w:eastAsia="ja-JP"/>
        </w:rPr>
        <w:t xml:space="preserve">In LTE-NR uplink sharing, NR uplink is carried on an LTE uplink </w:t>
      </w:r>
      <w:r w:rsidR="009C1347">
        <w:rPr>
          <w:bCs/>
          <w:lang w:eastAsia="ja-JP"/>
        </w:rPr>
        <w:t xml:space="preserve">of </w:t>
      </w:r>
      <w:r>
        <w:rPr>
          <w:bCs/>
          <w:lang w:eastAsia="ja-JP"/>
        </w:rPr>
        <w:t>much lower frequency than that of NR downlink</w:t>
      </w:r>
      <w:r w:rsidR="0010515D">
        <w:rPr>
          <w:bCs/>
          <w:lang w:eastAsia="ja-JP"/>
        </w:rPr>
        <w:t>.</w:t>
      </w:r>
      <w:r>
        <w:rPr>
          <w:bCs/>
          <w:lang w:eastAsia="ja-JP"/>
        </w:rPr>
        <w:t xml:space="preserve"> </w:t>
      </w:r>
      <w:r w:rsidR="002B214F">
        <w:rPr>
          <w:bCs/>
          <w:lang w:eastAsia="ja-JP"/>
        </w:rPr>
        <w:t>It means that for the same maximum allowed pathloss in downlink and uplink, the achieved downlink and uplink coverage could differ a lot due to the different attenuation</w:t>
      </w:r>
      <w:r w:rsidR="00C65456">
        <w:rPr>
          <w:bCs/>
          <w:lang w:eastAsia="ja-JP"/>
        </w:rPr>
        <w:t xml:space="preserve"> as shown in F</w:t>
      </w:r>
      <w:r w:rsidR="00AC3C3D">
        <w:rPr>
          <w:bCs/>
          <w:lang w:eastAsia="ja-JP"/>
        </w:rPr>
        <w:t>igure 2, which</w:t>
      </w:r>
      <w:r>
        <w:rPr>
          <w:bCs/>
          <w:lang w:eastAsia="ja-JP"/>
        </w:rPr>
        <w:t xml:space="preserve"> </w:t>
      </w:r>
      <w:r w:rsidR="008908A2">
        <w:rPr>
          <w:bCs/>
          <w:lang w:eastAsia="ja-JP"/>
        </w:rPr>
        <w:t>shows the coverage against maximum allowed pathloss according to the macro rural model specified in TR36.942 [8]</w:t>
      </w:r>
      <w:r>
        <w:rPr>
          <w:bCs/>
          <w:lang w:eastAsia="ja-JP"/>
        </w:rPr>
        <w:t>.</w:t>
      </w:r>
    </w:p>
    <w:p w:rsidR="007D1B53" w:rsidRDefault="007D1B53" w:rsidP="00AF7D61">
      <w:pPr>
        <w:spacing w:after="0"/>
        <w:rPr>
          <w:bCs/>
          <w:lang w:eastAsia="ja-JP"/>
        </w:rPr>
      </w:pPr>
    </w:p>
    <w:p w:rsidR="008A02D8" w:rsidRDefault="00F32F4C" w:rsidP="008A02D8">
      <w:pPr>
        <w:spacing w:after="0"/>
        <w:jc w:val="center"/>
        <w:rPr>
          <w:bCs/>
          <w:lang w:eastAsia="ja-JP"/>
        </w:rPr>
      </w:pPr>
      <w:r>
        <w:rPr>
          <w:bCs/>
          <w:noProof/>
          <w:lang w:val="en-US" w:eastAsia="zh-CN"/>
        </w:rPr>
        <w:lastRenderedPageBreak/>
        <w:drawing>
          <wp:inline distT="0" distB="0" distL="0" distR="0">
            <wp:extent cx="4268470" cy="3200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68470" cy="3200400"/>
                    </a:xfrm>
                    <a:prstGeom prst="rect">
                      <a:avLst/>
                    </a:prstGeom>
                    <a:noFill/>
                    <a:ln w="9525">
                      <a:noFill/>
                      <a:miter lim="800000"/>
                      <a:headEnd/>
                      <a:tailEnd/>
                    </a:ln>
                  </pic:spPr>
                </pic:pic>
              </a:graphicData>
            </a:graphic>
          </wp:inline>
        </w:drawing>
      </w:r>
    </w:p>
    <w:p w:rsidR="008A02D8" w:rsidRDefault="00826AF8" w:rsidP="008A02D8">
      <w:pPr>
        <w:spacing w:after="0"/>
        <w:jc w:val="center"/>
        <w:rPr>
          <w:bCs/>
          <w:lang w:eastAsia="ja-JP"/>
        </w:rPr>
      </w:pPr>
      <w:r>
        <w:rPr>
          <w:bCs/>
          <w:lang w:eastAsia="ja-JP"/>
        </w:rPr>
        <w:t>Figure 2. Coverage vs maximum allowed pathloss</w:t>
      </w:r>
    </w:p>
    <w:p w:rsidR="00950E8E" w:rsidRDefault="00950E8E" w:rsidP="00AF7D61">
      <w:pPr>
        <w:spacing w:after="0"/>
        <w:rPr>
          <w:bCs/>
          <w:lang w:eastAsia="ja-JP"/>
        </w:rPr>
      </w:pPr>
    </w:p>
    <w:p w:rsidR="00950E8E" w:rsidRDefault="00950E8E" w:rsidP="00950E8E">
      <w:pPr>
        <w:spacing w:after="0"/>
        <w:jc w:val="center"/>
        <w:rPr>
          <w:bCs/>
          <w:lang w:eastAsia="ja-JP"/>
        </w:rPr>
      </w:pPr>
      <w:r>
        <w:rPr>
          <w:bCs/>
          <w:noProof/>
          <w:lang w:val="en-US" w:eastAsia="zh-CN"/>
        </w:rPr>
        <w:drawing>
          <wp:inline distT="0" distB="0" distL="0" distR="0">
            <wp:extent cx="4704024" cy="3277911"/>
            <wp:effectExtent l="19050" t="0" r="13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707113" cy="3280064"/>
                    </a:xfrm>
                    <a:prstGeom prst="rect">
                      <a:avLst/>
                    </a:prstGeom>
                    <a:noFill/>
                    <a:ln w="9525">
                      <a:noFill/>
                      <a:miter lim="800000"/>
                      <a:headEnd/>
                      <a:tailEnd/>
                    </a:ln>
                  </pic:spPr>
                </pic:pic>
              </a:graphicData>
            </a:graphic>
          </wp:inline>
        </w:drawing>
      </w:r>
    </w:p>
    <w:p w:rsidR="00CE1C0F" w:rsidRDefault="00CE1C0F" w:rsidP="007107E2">
      <w:pPr>
        <w:spacing w:after="120"/>
        <w:jc w:val="center"/>
        <w:rPr>
          <w:bCs/>
          <w:lang w:eastAsia="ja-JP"/>
        </w:rPr>
      </w:pPr>
      <w:r>
        <w:rPr>
          <w:bCs/>
          <w:lang w:eastAsia="ja-JP"/>
        </w:rPr>
        <w:t xml:space="preserve">Figure </w:t>
      </w:r>
      <w:r w:rsidR="0034476F">
        <w:rPr>
          <w:bCs/>
          <w:lang w:eastAsia="ja-JP"/>
        </w:rPr>
        <w:t>3</w:t>
      </w:r>
      <w:r>
        <w:rPr>
          <w:bCs/>
          <w:lang w:eastAsia="ja-JP"/>
        </w:rPr>
        <w:t>. Unbalanced uplink and downlink coverage in LTE-NR uplink sharing</w:t>
      </w:r>
    </w:p>
    <w:p w:rsidR="00F57120" w:rsidRDefault="00BB05E7">
      <w:pPr>
        <w:spacing w:after="120"/>
        <w:jc w:val="both"/>
        <w:rPr>
          <w:bCs/>
          <w:lang w:eastAsia="ja-JP"/>
        </w:rPr>
      </w:pPr>
      <w:r>
        <w:rPr>
          <w:bCs/>
          <w:lang w:eastAsia="ja-JP"/>
        </w:rPr>
        <w:t>Consequently this may lead to an inherent issue that the NR uplink coverage is not balanced with NR downlink coverage</w:t>
      </w:r>
      <w:r w:rsidR="0028314A">
        <w:rPr>
          <w:bCs/>
          <w:lang w:eastAsia="ja-JP"/>
        </w:rPr>
        <w:t>, as illustrated in Figure 3</w:t>
      </w:r>
      <w:r>
        <w:rPr>
          <w:bCs/>
          <w:lang w:eastAsia="ja-JP"/>
        </w:rPr>
        <w:t xml:space="preserve">. </w:t>
      </w:r>
      <w:r w:rsidR="007107E2">
        <w:rPr>
          <w:bCs/>
          <w:lang w:eastAsia="ja-JP"/>
        </w:rPr>
        <w:t xml:space="preserve">In Figure </w:t>
      </w:r>
      <w:r w:rsidR="00D556EE">
        <w:rPr>
          <w:bCs/>
          <w:lang w:eastAsia="ja-JP"/>
        </w:rPr>
        <w:t>3</w:t>
      </w:r>
      <w:r w:rsidR="007107E2">
        <w:rPr>
          <w:bCs/>
          <w:lang w:eastAsia="ja-JP"/>
        </w:rPr>
        <w:t xml:space="preserve">, </w:t>
      </w:r>
      <w:r w:rsidR="004F7650">
        <w:rPr>
          <w:bCs/>
          <w:lang w:eastAsia="ja-JP"/>
        </w:rPr>
        <w:t xml:space="preserve">for UE #1 which is located within the LTE uplink coverage but not in NR downlink coverage, even it can transmit NR uplink signal via LTE uplink frequency and base station can successfully receive the signal, but the UE cannot receive NR downlink signal correctly, therefore LTE-NR uplink sharing is not feasible. </w:t>
      </w:r>
      <w:r w:rsidR="00C274A8">
        <w:rPr>
          <w:bCs/>
          <w:lang w:eastAsia="ja-JP"/>
        </w:rPr>
        <w:t>Only UEs within both LTE uplink coverage and NR downlink coverage</w:t>
      </w:r>
      <w:r w:rsidR="004F7650">
        <w:rPr>
          <w:bCs/>
          <w:lang w:eastAsia="ja-JP"/>
        </w:rPr>
        <w:t xml:space="preserve"> </w:t>
      </w:r>
      <w:r w:rsidR="00C274A8">
        <w:rPr>
          <w:bCs/>
          <w:lang w:eastAsia="ja-JP"/>
        </w:rPr>
        <w:t>can operate</w:t>
      </w:r>
      <w:r w:rsidR="004F7650">
        <w:rPr>
          <w:bCs/>
          <w:lang w:eastAsia="ja-JP"/>
        </w:rPr>
        <w:t xml:space="preserve"> LTE-NR uplink sharing</w:t>
      </w:r>
      <w:r w:rsidR="00C274A8">
        <w:rPr>
          <w:bCs/>
          <w:lang w:eastAsia="ja-JP"/>
        </w:rPr>
        <w:t>, e.g., UE #2 in the figure. So the claim is actually not valid that LTE-NR uplink sharing can enhance NR uplink coverage.</w:t>
      </w:r>
    </w:p>
    <w:p w:rsidR="00F57120" w:rsidRDefault="00D471D1">
      <w:pPr>
        <w:spacing w:after="120"/>
        <w:jc w:val="both"/>
        <w:rPr>
          <w:bCs/>
          <w:lang w:eastAsia="ja-JP"/>
        </w:rPr>
      </w:pPr>
      <w:r>
        <w:rPr>
          <w:bCs/>
          <w:lang w:eastAsia="ja-JP"/>
        </w:rPr>
        <w:t xml:space="preserve">Furthermore, if the band combination of LTE uplink and NR downlink is dynamically configurable and flexible, it becomes very complicated for the network planning and </w:t>
      </w:r>
      <w:r w:rsidR="006421EA">
        <w:rPr>
          <w:bCs/>
          <w:lang w:eastAsia="ja-JP"/>
        </w:rPr>
        <w:t>operation</w:t>
      </w:r>
      <w:r>
        <w:rPr>
          <w:bCs/>
          <w:lang w:eastAsia="ja-JP"/>
        </w:rPr>
        <w:t xml:space="preserve">, and we can anticipate the huge potential challenges. </w:t>
      </w:r>
      <w:r w:rsidR="002B0E01">
        <w:rPr>
          <w:bCs/>
          <w:lang w:eastAsia="ja-JP"/>
        </w:rPr>
        <w:t>The inherent issue and the challenges should be addressed</w:t>
      </w:r>
      <w:r w:rsidR="002A3789">
        <w:rPr>
          <w:bCs/>
          <w:lang w:eastAsia="ja-JP"/>
        </w:rPr>
        <w:t>.</w:t>
      </w:r>
    </w:p>
    <w:p w:rsidR="00950E8E" w:rsidRDefault="00950E8E" w:rsidP="00AF7D61">
      <w:pPr>
        <w:spacing w:after="0"/>
        <w:rPr>
          <w:bCs/>
          <w:lang w:eastAsia="ja-JP"/>
        </w:rPr>
      </w:pPr>
    </w:p>
    <w:p w:rsidR="0075478D" w:rsidRDefault="0075478D" w:rsidP="0075478D">
      <w:pPr>
        <w:pStyle w:val="Heading3"/>
        <w:rPr>
          <w:lang w:eastAsia="ja-JP"/>
        </w:rPr>
      </w:pPr>
      <w:r>
        <w:lastRenderedPageBreak/>
        <w:t>2.</w:t>
      </w:r>
      <w:r>
        <w:rPr>
          <w:lang w:eastAsia="ja-JP"/>
        </w:rPr>
        <w:t>3</w:t>
      </w:r>
      <w:r>
        <w:tab/>
      </w:r>
      <w:r w:rsidR="006470B3">
        <w:rPr>
          <w:lang w:eastAsia="ja-JP"/>
        </w:rPr>
        <w:t xml:space="preserve">Standardization </w:t>
      </w:r>
      <w:r w:rsidR="00875456">
        <w:rPr>
          <w:lang w:eastAsia="ja-JP"/>
        </w:rPr>
        <w:t>consideration</w:t>
      </w:r>
    </w:p>
    <w:p w:rsidR="00F57120" w:rsidRDefault="00127BB7">
      <w:pPr>
        <w:spacing w:after="120"/>
        <w:jc w:val="both"/>
        <w:rPr>
          <w:bCs/>
          <w:lang w:eastAsia="ja-JP"/>
        </w:rPr>
      </w:pPr>
      <w:r>
        <w:rPr>
          <w:bCs/>
          <w:lang w:eastAsia="ja-JP"/>
        </w:rPr>
        <w:t>Since NR is also OFDM based as that in LTE in spite that new numerologies aligned with LTE can be supported in NR, the co-existence between LTE and NR is actually not a co-existence issue between two different RATs, therefore operations supported by the current specifications may be applied and extended to NR by treating NR as an LTE carrier.</w:t>
      </w:r>
    </w:p>
    <w:p w:rsidR="00F57120" w:rsidRDefault="00DD342F">
      <w:pPr>
        <w:spacing w:after="120"/>
        <w:jc w:val="both"/>
        <w:rPr>
          <w:bCs/>
          <w:lang w:eastAsia="ja-JP"/>
        </w:rPr>
      </w:pPr>
      <w:r>
        <w:rPr>
          <w:bCs/>
          <w:lang w:eastAsia="ja-JP"/>
        </w:rPr>
        <w:t>So for the scenario discussed above where</w:t>
      </w:r>
      <w:r w:rsidR="00FC5766">
        <w:rPr>
          <w:bCs/>
          <w:lang w:eastAsia="ja-JP"/>
        </w:rPr>
        <w:t xml:space="preserve"> </w:t>
      </w:r>
      <w:r>
        <w:rPr>
          <w:bCs/>
          <w:lang w:eastAsia="ja-JP"/>
        </w:rPr>
        <w:t xml:space="preserve">only </w:t>
      </w:r>
      <w:r w:rsidR="00FC5766">
        <w:rPr>
          <w:bCs/>
          <w:lang w:eastAsia="ja-JP"/>
        </w:rPr>
        <w:t>UEs located in both LTE uplink and NR downlink coverage can operate LTE-NR uplink sharing</w:t>
      </w:r>
      <w:r>
        <w:rPr>
          <w:bCs/>
          <w:lang w:eastAsia="ja-JP"/>
        </w:rPr>
        <w:t xml:space="preserve">, </w:t>
      </w:r>
      <w:r w:rsidR="00735A34">
        <w:rPr>
          <w:bCs/>
          <w:lang w:eastAsia="ja-JP"/>
        </w:rPr>
        <w:t>there are also other options, which are illustrated in Figure 4.</w:t>
      </w:r>
      <w:r w:rsidR="006628F4">
        <w:rPr>
          <w:bCs/>
          <w:lang w:eastAsia="ja-JP"/>
        </w:rPr>
        <w:t xml:space="preserve"> In LTE-NR uplink sharing shown in Figure 4(a), NR uplink shares the same LTE uplink band</w:t>
      </w:r>
      <w:r w:rsidR="006B5C85">
        <w:rPr>
          <w:bCs/>
          <w:lang w:eastAsia="ja-JP"/>
        </w:rPr>
        <w:t xml:space="preserve"> F1</w:t>
      </w:r>
      <w:r w:rsidR="006628F4">
        <w:rPr>
          <w:bCs/>
          <w:lang w:eastAsia="ja-JP"/>
        </w:rPr>
        <w:t xml:space="preserve">, and </w:t>
      </w:r>
      <w:r w:rsidR="006B5C85">
        <w:rPr>
          <w:bCs/>
          <w:lang w:eastAsia="ja-JP"/>
        </w:rPr>
        <w:t xml:space="preserve">two downlinks running at LTE downlink band F3 and NR downlink band F2. </w:t>
      </w:r>
      <w:r w:rsidR="00B54B44">
        <w:rPr>
          <w:bCs/>
          <w:lang w:eastAsia="ja-JP"/>
        </w:rPr>
        <w:t>F</w:t>
      </w:r>
      <w:r w:rsidR="00B53764">
        <w:rPr>
          <w:bCs/>
          <w:lang w:eastAsia="ja-JP"/>
        </w:rPr>
        <w:t>igure 4(b) shows another option of dual connectivity, in which two radio bearers are carried by NR F2 in TDD and LTE F1/F3 in FDD</w:t>
      </w:r>
      <w:r w:rsidR="003B3AD9">
        <w:rPr>
          <w:bCs/>
          <w:lang w:eastAsia="ja-JP"/>
        </w:rPr>
        <w:t>.</w:t>
      </w:r>
    </w:p>
    <w:p w:rsidR="00F57120" w:rsidRDefault="00245E72">
      <w:pPr>
        <w:spacing w:after="120"/>
        <w:jc w:val="both"/>
        <w:rPr>
          <w:bCs/>
          <w:lang w:eastAsia="ja-JP"/>
        </w:rPr>
      </w:pPr>
      <w:r>
        <w:rPr>
          <w:bCs/>
          <w:lang w:eastAsia="ja-JP"/>
        </w:rPr>
        <w:t xml:space="preserve">In the case of Option 1 (Fig. 4a), the multiplexing between NR and LTE in an LTE uplink subframe would be FDM, since most of LTE uplink physical channels span over an entire subframe and are confined in frequency (instead of the entire system bandwidth). Even with LTE SRS, its power spectral density is typically low when spanning over large bandwidth, and it occupies only the last SC-OFDM symbol. Hence, it can coexist with NR uplink in FDM manner, without significantly losing the performance. </w:t>
      </w:r>
      <w:r w:rsidR="00F27F16">
        <w:rPr>
          <w:bCs/>
          <w:lang w:eastAsia="ja-JP"/>
        </w:rPr>
        <w:t>The choice is up to the scheduler and</w:t>
      </w:r>
      <w:r w:rsidR="00603287">
        <w:rPr>
          <w:bCs/>
          <w:lang w:eastAsia="ja-JP"/>
        </w:rPr>
        <w:t xml:space="preserve"> it </w:t>
      </w:r>
      <w:r w:rsidR="00330F6B">
        <w:rPr>
          <w:bCs/>
          <w:lang w:eastAsia="ja-JP"/>
        </w:rPr>
        <w:t>can be</w:t>
      </w:r>
      <w:r w:rsidR="00F27F16">
        <w:rPr>
          <w:bCs/>
          <w:lang w:eastAsia="ja-JP"/>
        </w:rPr>
        <w:t xml:space="preserve"> transparent to UE.</w:t>
      </w:r>
      <w:r w:rsidR="00330F6B">
        <w:rPr>
          <w:bCs/>
          <w:lang w:eastAsia="ja-JP"/>
        </w:rPr>
        <w:t xml:space="preserve"> </w:t>
      </w:r>
      <w:r w:rsidR="008C19DC">
        <w:rPr>
          <w:bCs/>
          <w:lang w:eastAsia="ja-JP"/>
        </w:rPr>
        <w:t>From standardization prospective f</w:t>
      </w:r>
      <w:r w:rsidR="000B71F0">
        <w:rPr>
          <w:bCs/>
          <w:lang w:eastAsia="ja-JP"/>
        </w:rPr>
        <w:t>urther enhancement can be added only if the sufficient overall benefits are justified</w:t>
      </w:r>
      <w:r w:rsidR="00F70227">
        <w:rPr>
          <w:bCs/>
          <w:lang w:eastAsia="ja-JP"/>
        </w:rPr>
        <w:t xml:space="preserve"> [7]</w:t>
      </w:r>
      <w:r w:rsidR="000B71F0">
        <w:rPr>
          <w:bCs/>
          <w:lang w:eastAsia="ja-JP"/>
        </w:rPr>
        <w:t>.</w:t>
      </w:r>
    </w:p>
    <w:p w:rsidR="00DF1EE2" w:rsidRDefault="002F6250">
      <w:pPr>
        <w:spacing w:after="120"/>
        <w:jc w:val="center"/>
        <w:rPr>
          <w:bCs/>
          <w:lang w:eastAsia="ja-JP"/>
        </w:rPr>
      </w:pPr>
      <w:r>
        <w:rPr>
          <w:bCs/>
          <w:noProof/>
          <w:lang w:val="en-US" w:eastAsia="zh-CN"/>
        </w:rPr>
        <w:drawing>
          <wp:inline distT="0" distB="0" distL="0" distR="0">
            <wp:extent cx="3681454" cy="2695492"/>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02166" cy="4155546"/>
                      <a:chOff x="428596" y="2071678"/>
                      <a:chExt cx="5002166" cy="4155546"/>
                    </a:xfrm>
                  </a:grpSpPr>
                  <a:cxnSp>
                    <a:nvCxnSpPr>
                      <a:cNvPr id="5" name="Straight Arrow Connector 4"/>
                      <a:cNvCxnSpPr/>
                    </a:nvCxnSpPr>
                    <a:spPr>
                      <a:xfrm flipV="1">
                        <a:off x="785786" y="5857892"/>
                        <a:ext cx="4286280" cy="26260"/>
                      </a:xfrm>
                      <a:prstGeom prst="straightConnector1">
                        <a:avLst/>
                      </a:prstGeom>
                      <a:ln w="25400">
                        <a:tailEnd type="arrow"/>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rot="5400000" flipH="1" flipV="1">
                        <a:off x="-1013293" y="4085072"/>
                        <a:ext cx="3598159" cy="0"/>
                      </a:xfrm>
                      <a:prstGeom prst="line">
                        <a:avLst/>
                      </a:prstGeom>
                      <a:ln w="25400">
                        <a:tailEnd type="triangle"/>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rot="5400000" flipH="1" flipV="1">
                        <a:off x="1237004" y="5263799"/>
                        <a:ext cx="1240705"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rot="5400000" flipH="1" flipV="1">
                        <a:off x="3094392" y="5263799"/>
                        <a:ext cx="1240705"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sp>
                    <a:nvSpPr>
                      <a:cNvPr id="12" name="TextBox 11"/>
                      <a:cNvSpPr txBox="1"/>
                    </a:nvSpPr>
                    <a:spPr>
                      <a:xfrm>
                        <a:off x="5143504" y="5715016"/>
                        <a:ext cx="28725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dirty="0" smtClean="0"/>
                            <a:t>t</a:t>
                          </a:r>
                          <a:endParaRPr lang="en-US" sz="2400" dirty="0"/>
                        </a:p>
                      </a:txBody>
                      <a:useSpRect/>
                    </a:txSp>
                  </a:sp>
                  <a:sp>
                    <a:nvSpPr>
                      <a:cNvPr id="13" name="TextBox 12"/>
                      <a:cNvSpPr txBox="1"/>
                    </a:nvSpPr>
                    <a:spPr>
                      <a:xfrm>
                        <a:off x="428596" y="2071678"/>
                        <a:ext cx="29046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a:t>
                          </a:r>
                          <a:endParaRPr lang="en-US" dirty="0"/>
                        </a:p>
                      </a:txBody>
                      <a:useSpRect/>
                    </a:txSp>
                  </a:sp>
                  <a:sp>
                    <a:nvSpPr>
                      <a:cNvPr id="14" name="TextBox 13"/>
                      <a:cNvSpPr txBox="1"/>
                    </a:nvSpPr>
                    <a:spPr>
                      <a:xfrm>
                        <a:off x="2071670" y="5559998"/>
                        <a:ext cx="151913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Sub-frame</a:t>
                          </a:r>
                          <a:endParaRPr lang="en-US" dirty="0"/>
                        </a:p>
                      </a:txBody>
                      <a:useSpRect/>
                    </a:txSp>
                  </a:sp>
                  <a:sp>
                    <a:nvSpPr>
                      <a:cNvPr id="15" name="Rectangle 14"/>
                      <a:cNvSpPr/>
                    </a:nvSpPr>
                    <a:spPr>
                      <a:xfrm>
                        <a:off x="1857356" y="4845618"/>
                        <a:ext cx="1857388" cy="35719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NR</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1857356" y="5202808"/>
                        <a:ext cx="1857388" cy="357190"/>
                      </a:xfrm>
                      <a:prstGeom prst="rect">
                        <a:avLst/>
                      </a:prstGeom>
                      <a:solidFill>
                        <a:srgbClr val="92D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LTE</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857224" y="5000636"/>
                        <a:ext cx="10638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UL F1</a:t>
                          </a:r>
                          <a:endParaRPr lang="en-US" dirty="0"/>
                        </a:p>
                      </a:txBody>
                      <a:useSpRect/>
                    </a:txSp>
                  </a:sp>
                  <a:sp>
                    <a:nvSpPr>
                      <a:cNvPr id="18" name="TextBox 17"/>
                      <a:cNvSpPr txBox="1"/>
                    </a:nvSpPr>
                    <a:spPr>
                      <a:xfrm>
                        <a:off x="2357422" y="5857892"/>
                        <a:ext cx="78579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Uplink</a:t>
                          </a:r>
                          <a:endParaRPr lang="en-US" dirty="0"/>
                        </a:p>
                      </a:txBody>
                      <a:useSpRect/>
                    </a:txSp>
                  </a:sp>
                  <a:cxnSp>
                    <a:nvCxnSpPr>
                      <a:cNvPr id="22" name="Straight Connector 21"/>
                      <a:cNvCxnSpPr/>
                    </a:nvCxnSpPr>
                    <a:spPr>
                      <a:xfrm rot="5400000" flipH="1" flipV="1">
                        <a:off x="3071802" y="3500438"/>
                        <a:ext cx="1857388"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sp>
                    <a:nvSpPr>
                      <a:cNvPr id="27" name="Rectangle 26"/>
                      <a:cNvSpPr/>
                    </a:nvSpPr>
                    <a:spPr>
                      <a:xfrm>
                        <a:off x="2143108" y="2714620"/>
                        <a:ext cx="1857388" cy="726522"/>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NR</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2143108" y="4071942"/>
                        <a:ext cx="1857388" cy="357190"/>
                      </a:xfrm>
                      <a:prstGeom prst="rect">
                        <a:avLst/>
                      </a:prstGeom>
                      <a:solidFill>
                        <a:srgbClr val="92D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LTE</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TextBox 28"/>
                      <a:cNvSpPr txBox="1"/>
                    </a:nvSpPr>
                    <a:spPr>
                      <a:xfrm>
                        <a:off x="1084100" y="4059800"/>
                        <a:ext cx="105900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DL F3</a:t>
                          </a:r>
                          <a:endParaRPr lang="en-US" dirty="0"/>
                        </a:p>
                      </a:txBody>
                      <a:useSpRect/>
                    </a:txSp>
                  </a:sp>
                  <a:sp>
                    <a:nvSpPr>
                      <a:cNvPr id="30" name="TextBox 29"/>
                      <a:cNvSpPr txBox="1"/>
                    </a:nvSpPr>
                    <a:spPr>
                      <a:xfrm>
                        <a:off x="2500298" y="3714752"/>
                        <a:ext cx="106702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Downlink</a:t>
                          </a:r>
                          <a:endParaRPr lang="en-US" dirty="0"/>
                        </a:p>
                      </a:txBody>
                      <a:useSpRect/>
                    </a:txSp>
                  </a:sp>
                  <a:sp>
                    <a:nvSpPr>
                      <a:cNvPr id="31" name="TextBox 30"/>
                      <a:cNvSpPr txBox="1"/>
                    </a:nvSpPr>
                    <a:spPr>
                      <a:xfrm>
                        <a:off x="1115263" y="2928934"/>
                        <a:ext cx="102784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NR DL F2</a:t>
                          </a:r>
                          <a:endParaRPr lang="en-US" dirty="0"/>
                        </a:p>
                      </a:txBody>
                      <a:useSpRect/>
                    </a:txSp>
                  </a:sp>
                  <a:cxnSp>
                    <a:nvCxnSpPr>
                      <a:cNvPr id="40" name="Straight Connector 39"/>
                      <a:cNvCxnSpPr/>
                    </a:nvCxnSpPr>
                    <a:spPr>
                      <a:xfrm rot="5400000" flipH="1" flipV="1">
                        <a:off x="1214414" y="3500438"/>
                        <a:ext cx="1857388"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DF1EE2" w:rsidRDefault="007B616E">
      <w:pPr>
        <w:pStyle w:val="ListParagraph"/>
        <w:numPr>
          <w:ilvl w:val="0"/>
          <w:numId w:val="12"/>
        </w:numPr>
        <w:spacing w:after="120"/>
        <w:jc w:val="center"/>
        <w:rPr>
          <w:bCs/>
          <w:lang w:eastAsia="ja-JP"/>
        </w:rPr>
      </w:pPr>
      <w:r>
        <w:rPr>
          <w:bCs/>
          <w:lang w:eastAsia="ja-JP"/>
        </w:rPr>
        <w:t xml:space="preserve">Option 1: </w:t>
      </w:r>
      <w:r w:rsidR="004A3408">
        <w:rPr>
          <w:bCs/>
          <w:lang w:eastAsia="ja-JP"/>
        </w:rPr>
        <w:t>LTE-NR uplink sharing</w:t>
      </w:r>
    </w:p>
    <w:p w:rsidR="00DF1EE2" w:rsidRDefault="002F6250">
      <w:pPr>
        <w:pStyle w:val="ListParagraph"/>
        <w:spacing w:after="120"/>
        <w:jc w:val="center"/>
        <w:rPr>
          <w:bCs/>
          <w:lang w:eastAsia="ja-JP"/>
        </w:rPr>
      </w:pPr>
      <w:r>
        <w:rPr>
          <w:bCs/>
          <w:noProof/>
          <w:lang w:val="en-US" w:eastAsia="zh-CN"/>
        </w:rPr>
        <w:drawing>
          <wp:inline distT="0" distB="0" distL="0" distR="0">
            <wp:extent cx="4333461" cy="2441050"/>
            <wp:effectExtent l="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79361" cy="4033565"/>
                      <a:chOff x="428596" y="2071678"/>
                      <a:chExt cx="7479361" cy="4033565"/>
                    </a:xfrm>
                  </a:grpSpPr>
                  <a:cxnSp>
                    <a:nvCxnSpPr>
                      <a:cNvPr id="5" name="Straight Arrow Connector 4"/>
                      <a:cNvCxnSpPr/>
                    </a:nvCxnSpPr>
                    <a:spPr>
                      <a:xfrm flipV="1">
                        <a:off x="785786" y="5857892"/>
                        <a:ext cx="5715040" cy="26260"/>
                      </a:xfrm>
                      <a:prstGeom prst="straightConnector1">
                        <a:avLst/>
                      </a:prstGeom>
                      <a:ln w="25400">
                        <a:tailEnd type="arrow"/>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rot="5400000" flipH="1" flipV="1">
                        <a:off x="-1013293" y="4085072"/>
                        <a:ext cx="3598159" cy="0"/>
                      </a:xfrm>
                      <a:prstGeom prst="line">
                        <a:avLst/>
                      </a:prstGeom>
                      <a:ln w="25400">
                        <a:tailEnd type="triangle"/>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rot="5400000" flipH="1" flipV="1">
                        <a:off x="1237004" y="5263799"/>
                        <a:ext cx="1240705"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rot="5400000" flipH="1" flipV="1">
                        <a:off x="3094392" y="5263799"/>
                        <a:ext cx="1240705"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sp>
                    <a:nvSpPr>
                      <a:cNvPr id="12" name="TextBox 11"/>
                      <a:cNvSpPr txBox="1"/>
                    </a:nvSpPr>
                    <a:spPr>
                      <a:xfrm>
                        <a:off x="7000892" y="5643578"/>
                        <a:ext cx="28725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dirty="0" smtClean="0"/>
                            <a:t>t</a:t>
                          </a:r>
                          <a:endParaRPr lang="en-US" sz="2400" dirty="0"/>
                        </a:p>
                      </a:txBody>
                      <a:useSpRect/>
                    </a:txSp>
                  </a:sp>
                  <a:sp>
                    <a:nvSpPr>
                      <a:cNvPr id="13" name="TextBox 12"/>
                      <a:cNvSpPr txBox="1"/>
                    </a:nvSpPr>
                    <a:spPr>
                      <a:xfrm>
                        <a:off x="428596" y="2071678"/>
                        <a:ext cx="29046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a:t>
                          </a:r>
                          <a:endParaRPr lang="en-US" dirty="0"/>
                        </a:p>
                      </a:txBody>
                      <a:useSpRect/>
                    </a:txSp>
                  </a:sp>
                  <a:sp>
                    <a:nvSpPr>
                      <a:cNvPr id="15" name="Rectangle 14"/>
                      <a:cNvSpPr/>
                    </a:nvSpPr>
                    <a:spPr>
                      <a:xfrm>
                        <a:off x="4000496" y="2714620"/>
                        <a:ext cx="1857388" cy="71438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NR UL</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1857356" y="5202808"/>
                        <a:ext cx="1857388" cy="357190"/>
                      </a:xfrm>
                      <a:prstGeom prst="rect">
                        <a:avLst/>
                      </a:prstGeom>
                      <a:solidFill>
                        <a:srgbClr val="92D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LTE</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785786" y="5274246"/>
                        <a:ext cx="10638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UL F1</a:t>
                          </a:r>
                          <a:endParaRPr lang="en-US" dirty="0"/>
                        </a:p>
                      </a:txBody>
                      <a:useSpRect/>
                    </a:txSp>
                  </a:sp>
                  <a:sp>
                    <a:nvSpPr>
                      <a:cNvPr id="18" name="TextBox 17"/>
                      <a:cNvSpPr txBox="1"/>
                    </a:nvSpPr>
                    <a:spPr>
                      <a:xfrm>
                        <a:off x="2357422" y="4857760"/>
                        <a:ext cx="78579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Uplink</a:t>
                          </a:r>
                          <a:endParaRPr lang="en-US" dirty="0"/>
                        </a:p>
                      </a:txBody>
                      <a:useSpRect/>
                    </a:txSp>
                  </a:sp>
                  <a:cxnSp>
                    <a:nvCxnSpPr>
                      <a:cNvPr id="22" name="Straight Connector 21"/>
                      <a:cNvCxnSpPr/>
                    </a:nvCxnSpPr>
                    <a:spPr>
                      <a:xfrm rot="5400000" flipH="1" flipV="1">
                        <a:off x="3071802" y="3500438"/>
                        <a:ext cx="1857388"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sp>
                    <a:nvSpPr>
                      <a:cNvPr id="27" name="Rectangle 26"/>
                      <a:cNvSpPr/>
                    </a:nvSpPr>
                    <a:spPr>
                      <a:xfrm>
                        <a:off x="2143108" y="2714620"/>
                        <a:ext cx="1857388" cy="726522"/>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NR DL</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ectangle 27"/>
                      <a:cNvSpPr/>
                    </a:nvSpPr>
                    <a:spPr>
                      <a:xfrm>
                        <a:off x="2143108" y="4071942"/>
                        <a:ext cx="1857388" cy="357190"/>
                      </a:xfrm>
                      <a:prstGeom prst="rect">
                        <a:avLst/>
                      </a:prstGeom>
                      <a:solidFill>
                        <a:srgbClr val="92D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LTE</a:t>
                          </a: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TextBox 28"/>
                      <a:cNvSpPr txBox="1"/>
                    </a:nvSpPr>
                    <a:spPr>
                      <a:xfrm>
                        <a:off x="798348" y="4059800"/>
                        <a:ext cx="105900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LTE DL F3</a:t>
                          </a:r>
                          <a:endParaRPr lang="en-US" dirty="0"/>
                        </a:p>
                      </a:txBody>
                      <a:useSpRect/>
                    </a:txSp>
                  </a:sp>
                  <a:sp>
                    <a:nvSpPr>
                      <a:cNvPr id="30" name="TextBox 29"/>
                      <a:cNvSpPr txBox="1"/>
                    </a:nvSpPr>
                    <a:spPr>
                      <a:xfrm>
                        <a:off x="2500298" y="3774048"/>
                        <a:ext cx="106702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Downlink</a:t>
                          </a:r>
                          <a:endParaRPr lang="en-US" dirty="0"/>
                        </a:p>
                      </a:txBody>
                      <a:useSpRect/>
                    </a:txSp>
                  </a:sp>
                  <a:sp>
                    <a:nvSpPr>
                      <a:cNvPr id="31" name="TextBox 30"/>
                      <a:cNvSpPr txBox="1"/>
                    </a:nvSpPr>
                    <a:spPr>
                      <a:xfrm>
                        <a:off x="2571736" y="2285992"/>
                        <a:ext cx="102784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NR DL F2</a:t>
                          </a:r>
                          <a:endParaRPr lang="en-US" dirty="0"/>
                        </a:p>
                      </a:txBody>
                      <a:useSpRect/>
                    </a:txSp>
                  </a:sp>
                  <a:cxnSp>
                    <a:nvCxnSpPr>
                      <a:cNvPr id="40" name="Straight Connector 39"/>
                      <a:cNvCxnSpPr/>
                    </a:nvCxnSpPr>
                    <a:spPr>
                      <a:xfrm rot="5400000" flipH="1" flipV="1">
                        <a:off x="1214414" y="3500438"/>
                        <a:ext cx="1857388" cy="0"/>
                      </a:xfrm>
                      <a:prstGeom prst="line">
                        <a:avLst/>
                      </a:prstGeom>
                      <a:ln>
                        <a:prstDash val="dash"/>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429124" y="2285992"/>
                        <a:ext cx="103265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NR UL F2</a:t>
                          </a:r>
                          <a:endParaRPr lang="en-US" dirty="0"/>
                        </a:p>
                      </a:txBody>
                      <a:useSpRect/>
                    </a:txSp>
                  </a:sp>
                  <a:sp>
                    <a:nvSpPr>
                      <a:cNvPr id="24" name="Oval 23"/>
                      <a:cNvSpPr/>
                    </a:nvSpPr>
                    <a:spPr>
                      <a:xfrm>
                        <a:off x="1643042" y="3786190"/>
                        <a:ext cx="2857520" cy="1928826"/>
                      </a:xfrm>
                      <a:prstGeom prst="ellipse">
                        <a:avLst/>
                      </a:prstGeom>
                      <a:noFill/>
                      <a:ln>
                        <a:solidFill>
                          <a:srgbClr val="AF138E"/>
                        </a:solidFill>
                        <a:prstDash val="lg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Oval 24"/>
                      <a:cNvSpPr/>
                    </a:nvSpPr>
                    <a:spPr>
                      <a:xfrm>
                        <a:off x="2000232" y="2143116"/>
                        <a:ext cx="4214842" cy="1571636"/>
                      </a:xfrm>
                      <a:prstGeom prst="ellipse">
                        <a:avLst/>
                      </a:prstGeom>
                      <a:noFill/>
                      <a:ln>
                        <a:solidFill>
                          <a:srgbClr val="AF138E"/>
                        </a:solidFill>
                        <a:prstDash val="lg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5"/>
                      <a:cNvSpPr txBox="1"/>
                    </a:nvSpPr>
                    <a:spPr>
                      <a:xfrm>
                        <a:off x="6072198" y="4357694"/>
                        <a:ext cx="18357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Dual Connectivity</a:t>
                          </a:r>
                          <a:endParaRPr lang="en-US" dirty="0"/>
                        </a:p>
                      </a:txBody>
                      <a:useSpRect/>
                    </a:txSp>
                  </a:sp>
                  <a:cxnSp>
                    <a:nvCxnSpPr>
                      <a:cNvPr id="33" name="Straight Arrow Connector 32"/>
                      <a:cNvCxnSpPr/>
                    </a:nvCxnSpPr>
                    <a:spPr>
                      <a:xfrm rot="10800000">
                        <a:off x="5214942" y="3643314"/>
                        <a:ext cx="1071570" cy="7143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6" name="Straight Arrow Connector 35"/>
                      <a:cNvCxnSpPr/>
                    </a:nvCxnSpPr>
                    <a:spPr>
                      <a:xfrm rot="10800000" flipV="1">
                        <a:off x="4500562" y="4714884"/>
                        <a:ext cx="1500198" cy="21431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DF1EE2" w:rsidRDefault="007B616E">
      <w:pPr>
        <w:pStyle w:val="ListParagraph"/>
        <w:numPr>
          <w:ilvl w:val="0"/>
          <w:numId w:val="12"/>
        </w:numPr>
        <w:spacing w:after="120"/>
        <w:jc w:val="center"/>
        <w:rPr>
          <w:bCs/>
          <w:lang w:eastAsia="ja-JP"/>
        </w:rPr>
      </w:pPr>
      <w:r>
        <w:rPr>
          <w:bCs/>
          <w:lang w:eastAsia="ja-JP"/>
        </w:rPr>
        <w:t xml:space="preserve">Option 2: </w:t>
      </w:r>
      <w:r w:rsidR="00097030">
        <w:rPr>
          <w:bCs/>
          <w:lang w:eastAsia="ja-JP"/>
        </w:rPr>
        <w:t>Dual connectivity</w:t>
      </w:r>
    </w:p>
    <w:p w:rsidR="00DF1EE2" w:rsidRDefault="00DF1EE2">
      <w:pPr>
        <w:pStyle w:val="ListParagraph"/>
        <w:spacing w:after="120"/>
        <w:jc w:val="center"/>
        <w:rPr>
          <w:bCs/>
          <w:lang w:eastAsia="ja-JP"/>
        </w:rPr>
      </w:pPr>
    </w:p>
    <w:p w:rsidR="00DF1EE2" w:rsidRDefault="00B01302">
      <w:pPr>
        <w:pStyle w:val="ListParagraph"/>
        <w:spacing w:after="120"/>
        <w:jc w:val="center"/>
        <w:rPr>
          <w:bCs/>
          <w:lang w:eastAsia="ja-JP"/>
        </w:rPr>
      </w:pPr>
      <w:r>
        <w:rPr>
          <w:bCs/>
          <w:lang w:eastAsia="ja-JP"/>
        </w:rPr>
        <w:t xml:space="preserve">Figure 4. </w:t>
      </w:r>
      <w:r w:rsidR="008931ED">
        <w:rPr>
          <w:bCs/>
          <w:lang w:eastAsia="ja-JP"/>
        </w:rPr>
        <w:t xml:space="preserve">Different options for the UE located both in LTE </w:t>
      </w:r>
      <w:r w:rsidR="007A36F7">
        <w:rPr>
          <w:bCs/>
          <w:lang w:eastAsia="ja-JP"/>
        </w:rPr>
        <w:t>uplink</w:t>
      </w:r>
      <w:r w:rsidR="008931ED">
        <w:rPr>
          <w:bCs/>
          <w:lang w:eastAsia="ja-JP"/>
        </w:rPr>
        <w:t xml:space="preserve"> and NR downlink coverage</w:t>
      </w:r>
    </w:p>
    <w:p w:rsidR="0075478D" w:rsidRDefault="0075478D" w:rsidP="00AF7D61">
      <w:pPr>
        <w:spacing w:after="0"/>
        <w:rPr>
          <w:bCs/>
          <w:lang w:eastAsia="ja-JP"/>
        </w:rPr>
      </w:pPr>
    </w:p>
    <w:p w:rsidR="008A76FD" w:rsidRDefault="008A76FD" w:rsidP="001C5C86">
      <w:pPr>
        <w:pStyle w:val="Heading2"/>
        <w:rPr>
          <w:lang w:eastAsia="ja-JP"/>
        </w:rPr>
      </w:pPr>
      <w:r>
        <w:lastRenderedPageBreak/>
        <w:t>3</w:t>
      </w:r>
      <w:r>
        <w:tab/>
      </w:r>
      <w:r w:rsidR="004B5C3F">
        <w:rPr>
          <w:rFonts w:hint="eastAsia"/>
          <w:lang w:eastAsia="ja-JP"/>
        </w:rPr>
        <w:t>Conclusion</w:t>
      </w:r>
    </w:p>
    <w:p w:rsidR="00F57120" w:rsidRDefault="008A3EB7">
      <w:pPr>
        <w:spacing w:after="0"/>
        <w:jc w:val="both"/>
        <w:rPr>
          <w:bCs/>
          <w:lang w:eastAsia="ja-JP"/>
        </w:rPr>
      </w:pPr>
      <w:r>
        <w:rPr>
          <w:rFonts w:hint="eastAsia"/>
          <w:bCs/>
          <w:lang w:eastAsia="ja-JP"/>
        </w:rPr>
        <w:t>This document provides</w:t>
      </w:r>
      <w:r>
        <w:rPr>
          <w:bCs/>
          <w:lang w:eastAsia="ja-JP"/>
        </w:rPr>
        <w:t xml:space="preserve"> our main technical concerns and views on LTE-NR uplink sharing. Technically the big differences between LTE uplink frequency and NR downlink frequency in LTE-NR uplink sharing may lead to an inherent issue of unbalanced uplink an</w:t>
      </w:r>
      <w:r w:rsidR="00162616">
        <w:rPr>
          <w:bCs/>
          <w:lang w:eastAsia="ja-JP"/>
        </w:rPr>
        <w:t>d downlink coverage, thus</w:t>
      </w:r>
      <w:r>
        <w:rPr>
          <w:bCs/>
          <w:lang w:eastAsia="ja-JP"/>
        </w:rPr>
        <w:t xml:space="preserve"> </w:t>
      </w:r>
      <w:r w:rsidR="00162616">
        <w:rPr>
          <w:bCs/>
          <w:lang w:eastAsia="ja-JP"/>
        </w:rPr>
        <w:t xml:space="preserve">bring </w:t>
      </w:r>
      <w:r>
        <w:rPr>
          <w:bCs/>
          <w:lang w:eastAsia="ja-JP"/>
        </w:rPr>
        <w:t>huge complexity and challenges on the network planning a</w:t>
      </w:r>
      <w:r w:rsidR="006421EA">
        <w:rPr>
          <w:bCs/>
          <w:lang w:eastAsia="ja-JP"/>
        </w:rPr>
        <w:t xml:space="preserve">nd operation. </w:t>
      </w:r>
      <w:r w:rsidR="007C78A6">
        <w:rPr>
          <w:bCs/>
          <w:lang w:eastAsia="ja-JP"/>
        </w:rPr>
        <w:t>In addition, due to the same nature of OFDM based modulation in NR, the co-existence between LTE and NR can be treated as if they were the same RAT and thus be covered under the current framework from specification prospective.</w:t>
      </w:r>
      <w:r w:rsidR="00FC7AD5">
        <w:rPr>
          <w:bCs/>
          <w:lang w:eastAsia="ja-JP"/>
        </w:rPr>
        <w:t xml:space="preserve"> Further enhancement can be considered only after its overall benefits can be justified.</w:t>
      </w:r>
    </w:p>
    <w:p w:rsidR="00B366A9" w:rsidRDefault="00B366A9" w:rsidP="00C4761A">
      <w:pPr>
        <w:spacing w:after="0"/>
        <w:rPr>
          <w:bCs/>
          <w:lang w:eastAsia="ja-JP"/>
        </w:rPr>
      </w:pPr>
    </w:p>
    <w:p w:rsidR="00B366A9" w:rsidRPr="00C54753" w:rsidRDefault="00B366A9" w:rsidP="00C54753">
      <w:pPr>
        <w:pStyle w:val="Heading2"/>
        <w:rPr>
          <w:lang w:eastAsia="ja-JP"/>
        </w:rPr>
      </w:pPr>
      <w:r w:rsidRPr="00C54753">
        <w:rPr>
          <w:lang w:eastAsia="ja-JP"/>
        </w:rPr>
        <w:t>Reference</w:t>
      </w:r>
    </w:p>
    <w:p w:rsidR="00B366A9" w:rsidRDefault="00B366A9" w:rsidP="00C4761A">
      <w:pPr>
        <w:spacing w:after="0"/>
        <w:rPr>
          <w:bCs/>
          <w:lang w:eastAsia="ja-JP"/>
        </w:rPr>
      </w:pPr>
    </w:p>
    <w:p w:rsidR="00CD5A48" w:rsidRDefault="000D2925" w:rsidP="00CD5A48">
      <w:pPr>
        <w:pStyle w:val="ListParagraph"/>
        <w:numPr>
          <w:ilvl w:val="0"/>
          <w:numId w:val="8"/>
        </w:numPr>
        <w:spacing w:after="0"/>
        <w:rPr>
          <w:bCs/>
          <w:lang w:eastAsia="ja-JP"/>
        </w:rPr>
      </w:pPr>
      <w:r>
        <w:rPr>
          <w:bCs/>
          <w:lang w:eastAsia="ja-JP"/>
        </w:rPr>
        <w:t xml:space="preserve">3GPP, </w:t>
      </w:r>
      <w:r w:rsidR="005E02B1">
        <w:rPr>
          <w:bCs/>
          <w:lang w:eastAsia="ja-JP"/>
        </w:rPr>
        <w:t>R1-1613665, Way forward</w:t>
      </w:r>
      <w:r w:rsidR="005E02B1" w:rsidRPr="005E02B1">
        <w:rPr>
          <w:bCs/>
          <w:lang w:eastAsia="ja-JP"/>
        </w:rPr>
        <w:t xml:space="preserve"> on LTE-NR coexistence in a dual connectivity scenario</w:t>
      </w:r>
      <w:r>
        <w:rPr>
          <w:bCs/>
          <w:lang w:eastAsia="ja-JP"/>
        </w:rPr>
        <w:t>, Source, RAN1#??</w:t>
      </w:r>
    </w:p>
    <w:p w:rsidR="00190748" w:rsidRDefault="000D2925" w:rsidP="00CD5A48">
      <w:pPr>
        <w:pStyle w:val="ListParagraph"/>
        <w:numPr>
          <w:ilvl w:val="0"/>
          <w:numId w:val="8"/>
        </w:numPr>
        <w:spacing w:after="0"/>
        <w:rPr>
          <w:bCs/>
          <w:lang w:eastAsia="ja-JP"/>
        </w:rPr>
      </w:pPr>
      <w:r>
        <w:rPr>
          <w:bCs/>
          <w:lang w:eastAsia="ja-JP"/>
        </w:rPr>
        <w:t xml:space="preserve">3GPP, </w:t>
      </w:r>
      <w:r w:rsidR="00190748">
        <w:rPr>
          <w:bCs/>
          <w:lang w:eastAsia="ja-JP"/>
        </w:rPr>
        <w:t>R1-1701361, Way forward on LTE-NR coexistence scenarios with uplink sharing</w:t>
      </w:r>
      <w:r>
        <w:rPr>
          <w:bCs/>
          <w:lang w:eastAsia="ja-JP"/>
        </w:rPr>
        <w:t>, Source, RAN1#??</w:t>
      </w:r>
    </w:p>
    <w:p w:rsidR="00CD5A48" w:rsidRDefault="000D2925" w:rsidP="00CD5A48">
      <w:pPr>
        <w:pStyle w:val="ListParagraph"/>
        <w:numPr>
          <w:ilvl w:val="0"/>
          <w:numId w:val="8"/>
        </w:numPr>
        <w:spacing w:after="0"/>
        <w:rPr>
          <w:bCs/>
          <w:lang w:eastAsia="ja-JP"/>
        </w:rPr>
      </w:pPr>
      <w:r>
        <w:rPr>
          <w:bCs/>
          <w:lang w:eastAsia="ja-JP"/>
        </w:rPr>
        <w:t xml:space="preserve">3GPP, </w:t>
      </w:r>
      <w:r w:rsidR="00CD5A48">
        <w:rPr>
          <w:bCs/>
          <w:lang w:eastAsia="ja-JP"/>
        </w:rPr>
        <w:t>R4-1702503, Way forward on NR band structure</w:t>
      </w:r>
      <w:r>
        <w:rPr>
          <w:bCs/>
          <w:lang w:eastAsia="ja-JP"/>
        </w:rPr>
        <w:t>, Source, RAN4#??</w:t>
      </w:r>
    </w:p>
    <w:p w:rsidR="00B366A9" w:rsidRPr="00CD5A48" w:rsidRDefault="002D1BA7" w:rsidP="00CD5A48">
      <w:pPr>
        <w:pStyle w:val="ListParagraph"/>
        <w:numPr>
          <w:ilvl w:val="0"/>
          <w:numId w:val="8"/>
        </w:numPr>
        <w:spacing w:after="0"/>
        <w:rPr>
          <w:bCs/>
          <w:lang w:eastAsia="ja-JP"/>
        </w:rPr>
      </w:pPr>
      <w:r w:rsidRPr="00CD5A48">
        <w:rPr>
          <w:bCs/>
          <w:lang w:eastAsia="ja-JP"/>
        </w:rPr>
        <w:t xml:space="preserve">Stefania Sesia, Issam Toufik, Matthew Baker, </w:t>
      </w:r>
      <w:r w:rsidR="00EC1B73" w:rsidRPr="00EC1B73">
        <w:rPr>
          <w:bCs/>
          <w:i/>
          <w:lang w:eastAsia="ja-JP"/>
        </w:rPr>
        <w:t>Long term evolution: from theory to practice</w:t>
      </w:r>
      <w:r w:rsidRPr="00CD5A48">
        <w:rPr>
          <w:bCs/>
          <w:lang w:eastAsia="ja-JP"/>
        </w:rPr>
        <w:t xml:space="preserve"> 2</w:t>
      </w:r>
      <w:r w:rsidRPr="00CD5A48">
        <w:rPr>
          <w:bCs/>
          <w:vertAlign w:val="superscript"/>
          <w:lang w:eastAsia="ja-JP"/>
        </w:rPr>
        <w:t>nd</w:t>
      </w:r>
      <w:r w:rsidRPr="00CD5A48">
        <w:rPr>
          <w:bCs/>
          <w:lang w:eastAsia="ja-JP"/>
        </w:rPr>
        <w:t xml:space="preserve"> edition, A John Wiley &amp; Sons, Ltd, Publication, 2011</w:t>
      </w:r>
    </w:p>
    <w:p w:rsidR="006C61CB" w:rsidRPr="00CD5A48" w:rsidRDefault="006C61CB" w:rsidP="00CD5A48">
      <w:pPr>
        <w:pStyle w:val="ListParagraph"/>
        <w:numPr>
          <w:ilvl w:val="0"/>
          <w:numId w:val="8"/>
        </w:numPr>
        <w:spacing w:after="0"/>
        <w:rPr>
          <w:bCs/>
          <w:lang w:eastAsia="ja-JP"/>
        </w:rPr>
      </w:pPr>
      <w:r w:rsidRPr="00CD5A48">
        <w:rPr>
          <w:bCs/>
          <w:lang w:eastAsia="ja-JP"/>
        </w:rPr>
        <w:t xml:space="preserve">H.Holma &amp; A.Toskala, </w:t>
      </w:r>
      <w:r w:rsidR="00EC1B73" w:rsidRPr="00EC1B73">
        <w:rPr>
          <w:bCs/>
          <w:i/>
          <w:lang w:eastAsia="ja-JP"/>
        </w:rPr>
        <w:t>WCDMA for UMTS: HSPA Evolution and LTE</w:t>
      </w:r>
      <w:r w:rsidRPr="00CD5A48">
        <w:rPr>
          <w:bCs/>
          <w:lang w:eastAsia="ja-JP"/>
        </w:rPr>
        <w:t>, John Wiley &amp; Sons, 2010</w:t>
      </w:r>
    </w:p>
    <w:p w:rsidR="006C61CB" w:rsidRPr="00CD5A48" w:rsidRDefault="006C61CB" w:rsidP="00CD5A48">
      <w:pPr>
        <w:pStyle w:val="ListParagraph"/>
        <w:numPr>
          <w:ilvl w:val="0"/>
          <w:numId w:val="8"/>
        </w:numPr>
        <w:spacing w:after="0"/>
        <w:rPr>
          <w:bCs/>
          <w:lang w:eastAsia="ja-JP"/>
        </w:rPr>
      </w:pPr>
      <w:r w:rsidRPr="00CD5A48">
        <w:rPr>
          <w:bCs/>
          <w:lang w:eastAsia="ja-JP"/>
        </w:rPr>
        <w:t xml:space="preserve">H.Holma &amp; A.Toskala, </w:t>
      </w:r>
      <w:r w:rsidR="00EC1B73" w:rsidRPr="00EC1B73">
        <w:rPr>
          <w:bCs/>
          <w:i/>
          <w:lang w:eastAsia="ja-JP"/>
        </w:rPr>
        <w:t>LTE for UMTS: OFDMA and SC-FDMA based radio access</w:t>
      </w:r>
      <w:r w:rsidRPr="00CD5A48">
        <w:rPr>
          <w:bCs/>
          <w:lang w:eastAsia="ja-JP"/>
        </w:rPr>
        <w:t>, John Wiley &amp; Sons, 2009</w:t>
      </w:r>
    </w:p>
    <w:p w:rsidR="00B366A9" w:rsidRDefault="000D2925" w:rsidP="00CD5A48">
      <w:pPr>
        <w:pStyle w:val="ListParagraph"/>
        <w:numPr>
          <w:ilvl w:val="0"/>
          <w:numId w:val="8"/>
        </w:numPr>
        <w:spacing w:after="0"/>
        <w:rPr>
          <w:bCs/>
          <w:lang w:eastAsia="ja-JP"/>
        </w:rPr>
      </w:pPr>
      <w:r>
        <w:rPr>
          <w:bCs/>
          <w:lang w:eastAsia="ja-JP"/>
        </w:rPr>
        <w:t xml:space="preserve">3GPP, </w:t>
      </w:r>
      <w:r w:rsidR="00B366A9" w:rsidRPr="00CD5A48">
        <w:rPr>
          <w:bCs/>
          <w:lang w:eastAsia="ja-JP"/>
        </w:rPr>
        <w:t>R1-1703817, LTE/NR UL co-existence</w:t>
      </w:r>
      <w:r>
        <w:rPr>
          <w:bCs/>
          <w:lang w:eastAsia="ja-JP"/>
        </w:rPr>
        <w:t>,</w:t>
      </w:r>
      <w:r w:rsidR="00B366A9" w:rsidRPr="00CD5A48">
        <w:rPr>
          <w:bCs/>
          <w:lang w:eastAsia="ja-JP"/>
        </w:rPr>
        <w:t xml:space="preserve"> </w:t>
      </w:r>
      <w:r>
        <w:rPr>
          <w:bCs/>
          <w:lang w:eastAsia="ja-JP"/>
        </w:rPr>
        <w:t>,Ericsson, RAN1#88</w:t>
      </w:r>
    </w:p>
    <w:p w:rsidR="00E26448" w:rsidRPr="00CD5A48" w:rsidRDefault="00E26448" w:rsidP="00CD5A48">
      <w:pPr>
        <w:pStyle w:val="ListParagraph"/>
        <w:numPr>
          <w:ilvl w:val="0"/>
          <w:numId w:val="8"/>
        </w:numPr>
        <w:spacing w:after="0"/>
        <w:rPr>
          <w:bCs/>
          <w:lang w:eastAsia="ja-JP"/>
        </w:rPr>
      </w:pPr>
      <w:r>
        <w:rPr>
          <w:bCs/>
          <w:lang w:eastAsia="ja-JP"/>
        </w:rPr>
        <w:t xml:space="preserve">3GPP TR 36.942 </w:t>
      </w:r>
      <w:r w:rsidR="000C54E0">
        <w:rPr>
          <w:bCs/>
          <w:lang w:eastAsia="ja-JP"/>
        </w:rPr>
        <w:t xml:space="preserve">vd.0.0 </w:t>
      </w:r>
    </w:p>
    <w:p w:rsidR="00C102D9" w:rsidRDefault="00C102D9" w:rsidP="00C4761A">
      <w:pPr>
        <w:spacing w:after="0"/>
        <w:rPr>
          <w:bCs/>
          <w:lang w:eastAsia="ja-JP"/>
        </w:rPr>
      </w:pPr>
    </w:p>
    <w:p w:rsidR="002D1BA7" w:rsidRPr="000D2925" w:rsidRDefault="002D1BA7" w:rsidP="00C4761A">
      <w:pPr>
        <w:spacing w:after="0"/>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563" w:rsidRDefault="00210563">
      <w:r>
        <w:separator/>
      </w:r>
    </w:p>
  </w:endnote>
  <w:endnote w:type="continuationSeparator" w:id="0">
    <w:p w:rsidR="00210563" w:rsidRDefault="00210563">
      <w:r>
        <w:continuationSeparator/>
      </w:r>
    </w:p>
  </w:endnote>
</w:endnotes>
</file>

<file path=word/fontTable.xml><?xml version="1.0" encoding="utf-8"?>
<w:fonts xmlns:r="http://schemas.openxmlformats.org/officeDocument/2006/relationships" xmlns:w="http://schemas.openxmlformats.org/wordprocessingml/2006/main">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563" w:rsidRDefault="00210563">
      <w:r>
        <w:separator/>
      </w:r>
    </w:p>
  </w:footnote>
  <w:footnote w:type="continuationSeparator" w:id="0">
    <w:p w:rsidR="00210563" w:rsidRDefault="00210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020615"/>
    <w:multiLevelType w:val="hybridMultilevel"/>
    <w:tmpl w:val="1C069C6C"/>
    <w:lvl w:ilvl="0" w:tplc="854C1D52">
      <w:start w:val="1"/>
      <w:numFmt w:val="bullet"/>
      <w:lvlText w:val="•"/>
      <w:lvlJc w:val="left"/>
      <w:pPr>
        <w:tabs>
          <w:tab w:val="num" w:pos="720"/>
        </w:tabs>
        <w:ind w:left="720" w:hanging="360"/>
      </w:pPr>
      <w:rPr>
        <w:rFonts w:ascii="Arial" w:hAnsi="Arial" w:hint="default"/>
      </w:rPr>
    </w:lvl>
    <w:lvl w:ilvl="1" w:tplc="1E0E5CA0">
      <w:start w:val="1659"/>
      <w:numFmt w:val="bullet"/>
      <w:lvlText w:val="–"/>
      <w:lvlJc w:val="left"/>
      <w:pPr>
        <w:tabs>
          <w:tab w:val="num" w:pos="1440"/>
        </w:tabs>
        <w:ind w:left="1440" w:hanging="360"/>
      </w:pPr>
      <w:rPr>
        <w:rFonts w:ascii="Arial" w:hAnsi="Arial" w:hint="default"/>
      </w:rPr>
    </w:lvl>
    <w:lvl w:ilvl="2" w:tplc="C2EA1122" w:tentative="1">
      <w:start w:val="1"/>
      <w:numFmt w:val="bullet"/>
      <w:lvlText w:val="•"/>
      <w:lvlJc w:val="left"/>
      <w:pPr>
        <w:tabs>
          <w:tab w:val="num" w:pos="2160"/>
        </w:tabs>
        <w:ind w:left="2160" w:hanging="360"/>
      </w:pPr>
      <w:rPr>
        <w:rFonts w:ascii="Arial" w:hAnsi="Arial" w:hint="default"/>
      </w:rPr>
    </w:lvl>
    <w:lvl w:ilvl="3" w:tplc="C316CCA6" w:tentative="1">
      <w:start w:val="1"/>
      <w:numFmt w:val="bullet"/>
      <w:lvlText w:val="•"/>
      <w:lvlJc w:val="left"/>
      <w:pPr>
        <w:tabs>
          <w:tab w:val="num" w:pos="2880"/>
        </w:tabs>
        <w:ind w:left="2880" w:hanging="360"/>
      </w:pPr>
      <w:rPr>
        <w:rFonts w:ascii="Arial" w:hAnsi="Arial" w:hint="default"/>
      </w:rPr>
    </w:lvl>
    <w:lvl w:ilvl="4" w:tplc="9AEA6E0E" w:tentative="1">
      <w:start w:val="1"/>
      <w:numFmt w:val="bullet"/>
      <w:lvlText w:val="•"/>
      <w:lvlJc w:val="left"/>
      <w:pPr>
        <w:tabs>
          <w:tab w:val="num" w:pos="3600"/>
        </w:tabs>
        <w:ind w:left="3600" w:hanging="360"/>
      </w:pPr>
      <w:rPr>
        <w:rFonts w:ascii="Arial" w:hAnsi="Arial" w:hint="default"/>
      </w:rPr>
    </w:lvl>
    <w:lvl w:ilvl="5" w:tplc="6E08ABA0" w:tentative="1">
      <w:start w:val="1"/>
      <w:numFmt w:val="bullet"/>
      <w:lvlText w:val="•"/>
      <w:lvlJc w:val="left"/>
      <w:pPr>
        <w:tabs>
          <w:tab w:val="num" w:pos="4320"/>
        </w:tabs>
        <w:ind w:left="4320" w:hanging="360"/>
      </w:pPr>
      <w:rPr>
        <w:rFonts w:ascii="Arial" w:hAnsi="Arial" w:hint="default"/>
      </w:rPr>
    </w:lvl>
    <w:lvl w:ilvl="6" w:tplc="932C9E6E" w:tentative="1">
      <w:start w:val="1"/>
      <w:numFmt w:val="bullet"/>
      <w:lvlText w:val="•"/>
      <w:lvlJc w:val="left"/>
      <w:pPr>
        <w:tabs>
          <w:tab w:val="num" w:pos="5040"/>
        </w:tabs>
        <w:ind w:left="5040" w:hanging="360"/>
      </w:pPr>
      <w:rPr>
        <w:rFonts w:ascii="Arial" w:hAnsi="Arial" w:hint="default"/>
      </w:rPr>
    </w:lvl>
    <w:lvl w:ilvl="7" w:tplc="8C0ABC8A" w:tentative="1">
      <w:start w:val="1"/>
      <w:numFmt w:val="bullet"/>
      <w:lvlText w:val="•"/>
      <w:lvlJc w:val="left"/>
      <w:pPr>
        <w:tabs>
          <w:tab w:val="num" w:pos="5760"/>
        </w:tabs>
        <w:ind w:left="5760" w:hanging="360"/>
      </w:pPr>
      <w:rPr>
        <w:rFonts w:ascii="Arial" w:hAnsi="Arial" w:hint="default"/>
      </w:rPr>
    </w:lvl>
    <w:lvl w:ilvl="8" w:tplc="9014ED30" w:tentative="1">
      <w:start w:val="1"/>
      <w:numFmt w:val="bullet"/>
      <w:lvlText w:val="•"/>
      <w:lvlJc w:val="left"/>
      <w:pPr>
        <w:tabs>
          <w:tab w:val="num" w:pos="6480"/>
        </w:tabs>
        <w:ind w:left="6480" w:hanging="360"/>
      </w:pPr>
      <w:rPr>
        <w:rFonts w:ascii="Arial" w:hAnsi="Arial" w:hint="default"/>
      </w:rPr>
    </w:lvl>
  </w:abstractNum>
  <w:abstractNum w:abstractNumId="3">
    <w:nsid w:val="1C191C02"/>
    <w:multiLevelType w:val="hybridMultilevel"/>
    <w:tmpl w:val="075810D2"/>
    <w:lvl w:ilvl="0" w:tplc="97320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801AE"/>
    <w:multiLevelType w:val="hybridMultilevel"/>
    <w:tmpl w:val="1CD0C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6F87B82"/>
    <w:multiLevelType w:val="hybridMultilevel"/>
    <w:tmpl w:val="12B0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
  </w:num>
  <w:num w:numId="7">
    <w:abstractNumId w:val="2"/>
  </w:num>
  <w:num w:numId="8">
    <w:abstractNumId w:val="6"/>
  </w:num>
  <w:num w:numId="9">
    <w:abstractNumId w:val="9"/>
  </w:num>
  <w:num w:numId="10">
    <w:abstractNumId w:val="4"/>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2">
      <v:textbox inset="5.85pt,.7pt,5.85pt,.7pt"/>
    </o:shapedefaults>
  </w:hdrShapeDefaults>
  <w:footnotePr>
    <w:footnote w:id="-1"/>
    <w:footnote w:id="0"/>
  </w:footnotePr>
  <w:endnotePr>
    <w:endnote w:id="-1"/>
    <w:endnote w:id="0"/>
  </w:endnotePr>
  <w:compat>
    <w:useFELayout/>
  </w:compat>
  <w:rsids>
    <w:rsidRoot w:val="00F4338D"/>
    <w:rsid w:val="00003B9A"/>
    <w:rsid w:val="000051AD"/>
    <w:rsid w:val="00006EF7"/>
    <w:rsid w:val="000205C5"/>
    <w:rsid w:val="0002245B"/>
    <w:rsid w:val="00030C77"/>
    <w:rsid w:val="000313F2"/>
    <w:rsid w:val="00034540"/>
    <w:rsid w:val="0003648F"/>
    <w:rsid w:val="00037C06"/>
    <w:rsid w:val="00040857"/>
    <w:rsid w:val="0004382E"/>
    <w:rsid w:val="00052BF8"/>
    <w:rsid w:val="00057116"/>
    <w:rsid w:val="00060D30"/>
    <w:rsid w:val="000668AE"/>
    <w:rsid w:val="00067741"/>
    <w:rsid w:val="00072E8A"/>
    <w:rsid w:val="0008078B"/>
    <w:rsid w:val="00091255"/>
    <w:rsid w:val="00097030"/>
    <w:rsid w:val="000B0519"/>
    <w:rsid w:val="000B2417"/>
    <w:rsid w:val="000B2810"/>
    <w:rsid w:val="000B54D5"/>
    <w:rsid w:val="000B61FD"/>
    <w:rsid w:val="000B71F0"/>
    <w:rsid w:val="000C54E0"/>
    <w:rsid w:val="000D1C43"/>
    <w:rsid w:val="000D2925"/>
    <w:rsid w:val="000E40F4"/>
    <w:rsid w:val="000E55AD"/>
    <w:rsid w:val="0010515D"/>
    <w:rsid w:val="00106080"/>
    <w:rsid w:val="00106B79"/>
    <w:rsid w:val="00127BB7"/>
    <w:rsid w:val="00127E81"/>
    <w:rsid w:val="00135D66"/>
    <w:rsid w:val="00154E87"/>
    <w:rsid w:val="00162616"/>
    <w:rsid w:val="00163E8E"/>
    <w:rsid w:val="00167DD1"/>
    <w:rsid w:val="00173C72"/>
    <w:rsid w:val="00184B5E"/>
    <w:rsid w:val="00190748"/>
    <w:rsid w:val="00192138"/>
    <w:rsid w:val="001A2A26"/>
    <w:rsid w:val="001A67ED"/>
    <w:rsid w:val="001C5C86"/>
    <w:rsid w:val="001E5078"/>
    <w:rsid w:val="002000C2"/>
    <w:rsid w:val="00210563"/>
    <w:rsid w:val="00214C4C"/>
    <w:rsid w:val="00233AC3"/>
    <w:rsid w:val="00245E72"/>
    <w:rsid w:val="0024786B"/>
    <w:rsid w:val="002570B0"/>
    <w:rsid w:val="0026267F"/>
    <w:rsid w:val="002647F7"/>
    <w:rsid w:val="00282D4D"/>
    <w:rsid w:val="0028314A"/>
    <w:rsid w:val="002900E8"/>
    <w:rsid w:val="002A3789"/>
    <w:rsid w:val="002A766A"/>
    <w:rsid w:val="002B0E01"/>
    <w:rsid w:val="002B214F"/>
    <w:rsid w:val="002C6F14"/>
    <w:rsid w:val="002D13EF"/>
    <w:rsid w:val="002D1BA7"/>
    <w:rsid w:val="002D4462"/>
    <w:rsid w:val="002D650D"/>
    <w:rsid w:val="002E271A"/>
    <w:rsid w:val="002E7A9E"/>
    <w:rsid w:val="002F2EC8"/>
    <w:rsid w:val="002F6250"/>
    <w:rsid w:val="00306985"/>
    <w:rsid w:val="00311757"/>
    <w:rsid w:val="003205AD"/>
    <w:rsid w:val="003266B1"/>
    <w:rsid w:val="0032747D"/>
    <w:rsid w:val="003307B6"/>
    <w:rsid w:val="00330F6B"/>
    <w:rsid w:val="00335FB2"/>
    <w:rsid w:val="003360AB"/>
    <w:rsid w:val="00344158"/>
    <w:rsid w:val="0034476F"/>
    <w:rsid w:val="003518AA"/>
    <w:rsid w:val="00363BDA"/>
    <w:rsid w:val="003731B2"/>
    <w:rsid w:val="00395D8E"/>
    <w:rsid w:val="00396A21"/>
    <w:rsid w:val="003A1EB0"/>
    <w:rsid w:val="003B2840"/>
    <w:rsid w:val="003B3AD9"/>
    <w:rsid w:val="003C0C75"/>
    <w:rsid w:val="003C543F"/>
    <w:rsid w:val="003C6DA6"/>
    <w:rsid w:val="003D4301"/>
    <w:rsid w:val="003E5460"/>
    <w:rsid w:val="003F1B07"/>
    <w:rsid w:val="003F1D3D"/>
    <w:rsid w:val="003F268E"/>
    <w:rsid w:val="003F7B3D"/>
    <w:rsid w:val="00412AB7"/>
    <w:rsid w:val="00422415"/>
    <w:rsid w:val="004314AF"/>
    <w:rsid w:val="0043745F"/>
    <w:rsid w:val="00440256"/>
    <w:rsid w:val="0044029F"/>
    <w:rsid w:val="0044045A"/>
    <w:rsid w:val="00442883"/>
    <w:rsid w:val="0044605A"/>
    <w:rsid w:val="00446C97"/>
    <w:rsid w:val="004510E0"/>
    <w:rsid w:val="00466EA7"/>
    <w:rsid w:val="004818A3"/>
    <w:rsid w:val="0048267C"/>
    <w:rsid w:val="004876B9"/>
    <w:rsid w:val="004877E5"/>
    <w:rsid w:val="00487B01"/>
    <w:rsid w:val="004922D6"/>
    <w:rsid w:val="00493A79"/>
    <w:rsid w:val="00495D23"/>
    <w:rsid w:val="004A3408"/>
    <w:rsid w:val="004A6A60"/>
    <w:rsid w:val="004B5C3F"/>
    <w:rsid w:val="004C2610"/>
    <w:rsid w:val="004C7921"/>
    <w:rsid w:val="004E3261"/>
    <w:rsid w:val="004E6F8A"/>
    <w:rsid w:val="004F7650"/>
    <w:rsid w:val="0050645E"/>
    <w:rsid w:val="00511C67"/>
    <w:rsid w:val="00514E2D"/>
    <w:rsid w:val="005151ED"/>
    <w:rsid w:val="00516D16"/>
    <w:rsid w:val="00517E5C"/>
    <w:rsid w:val="00520D07"/>
    <w:rsid w:val="00532CFA"/>
    <w:rsid w:val="005365FA"/>
    <w:rsid w:val="005418ED"/>
    <w:rsid w:val="00557038"/>
    <w:rsid w:val="005573BB"/>
    <w:rsid w:val="00557B2E"/>
    <w:rsid w:val="00561267"/>
    <w:rsid w:val="00571162"/>
    <w:rsid w:val="00574BC4"/>
    <w:rsid w:val="005831C6"/>
    <w:rsid w:val="005874CB"/>
    <w:rsid w:val="00587D4C"/>
    <w:rsid w:val="00590087"/>
    <w:rsid w:val="00596DBB"/>
    <w:rsid w:val="005B7616"/>
    <w:rsid w:val="005C3CDD"/>
    <w:rsid w:val="005C4449"/>
    <w:rsid w:val="005C4F58"/>
    <w:rsid w:val="005D3FEC"/>
    <w:rsid w:val="005D44BE"/>
    <w:rsid w:val="005E02B1"/>
    <w:rsid w:val="005F028D"/>
    <w:rsid w:val="005F38D1"/>
    <w:rsid w:val="00603287"/>
    <w:rsid w:val="00611EC4"/>
    <w:rsid w:val="006171F0"/>
    <w:rsid w:val="00620B3F"/>
    <w:rsid w:val="00626F9F"/>
    <w:rsid w:val="00637260"/>
    <w:rsid w:val="00641470"/>
    <w:rsid w:val="006418C6"/>
    <w:rsid w:val="006421EA"/>
    <w:rsid w:val="006470B3"/>
    <w:rsid w:val="006515C6"/>
    <w:rsid w:val="00651D5D"/>
    <w:rsid w:val="00654893"/>
    <w:rsid w:val="006558CC"/>
    <w:rsid w:val="006601CA"/>
    <w:rsid w:val="006628F4"/>
    <w:rsid w:val="00671BBB"/>
    <w:rsid w:val="00680536"/>
    <w:rsid w:val="00682237"/>
    <w:rsid w:val="006B4280"/>
    <w:rsid w:val="006B5C85"/>
    <w:rsid w:val="006C61CB"/>
    <w:rsid w:val="006D4652"/>
    <w:rsid w:val="006F2376"/>
    <w:rsid w:val="006F5B91"/>
    <w:rsid w:val="0070094D"/>
    <w:rsid w:val="00707673"/>
    <w:rsid w:val="007107E2"/>
    <w:rsid w:val="007114FF"/>
    <w:rsid w:val="007215D2"/>
    <w:rsid w:val="00735A34"/>
    <w:rsid w:val="0074597A"/>
    <w:rsid w:val="0075252A"/>
    <w:rsid w:val="0075478D"/>
    <w:rsid w:val="0076292C"/>
    <w:rsid w:val="00762C76"/>
    <w:rsid w:val="00763D02"/>
    <w:rsid w:val="00764B84"/>
    <w:rsid w:val="00770F92"/>
    <w:rsid w:val="00774510"/>
    <w:rsid w:val="0078034D"/>
    <w:rsid w:val="00785472"/>
    <w:rsid w:val="00790BCC"/>
    <w:rsid w:val="007967BB"/>
    <w:rsid w:val="007974F5"/>
    <w:rsid w:val="007A36F7"/>
    <w:rsid w:val="007B0F49"/>
    <w:rsid w:val="007B616E"/>
    <w:rsid w:val="007C78A6"/>
    <w:rsid w:val="007C7E14"/>
    <w:rsid w:val="007D1B53"/>
    <w:rsid w:val="007F2124"/>
    <w:rsid w:val="007F7421"/>
    <w:rsid w:val="00801CB9"/>
    <w:rsid w:val="00810709"/>
    <w:rsid w:val="008166F6"/>
    <w:rsid w:val="008243CF"/>
    <w:rsid w:val="00826AF8"/>
    <w:rsid w:val="00847095"/>
    <w:rsid w:val="00847904"/>
    <w:rsid w:val="00857E34"/>
    <w:rsid w:val="00864437"/>
    <w:rsid w:val="008666C6"/>
    <w:rsid w:val="008750B2"/>
    <w:rsid w:val="00875456"/>
    <w:rsid w:val="008763C1"/>
    <w:rsid w:val="00880611"/>
    <w:rsid w:val="0088222A"/>
    <w:rsid w:val="008908A2"/>
    <w:rsid w:val="008931ED"/>
    <w:rsid w:val="008A02D8"/>
    <w:rsid w:val="008A3EB7"/>
    <w:rsid w:val="008A76FD"/>
    <w:rsid w:val="008B0E03"/>
    <w:rsid w:val="008B2D09"/>
    <w:rsid w:val="008C19DC"/>
    <w:rsid w:val="008C537F"/>
    <w:rsid w:val="008C6792"/>
    <w:rsid w:val="008D181B"/>
    <w:rsid w:val="008D658B"/>
    <w:rsid w:val="008E436E"/>
    <w:rsid w:val="008F3F5C"/>
    <w:rsid w:val="00904AF9"/>
    <w:rsid w:val="00917976"/>
    <w:rsid w:val="009200F2"/>
    <w:rsid w:val="00923922"/>
    <w:rsid w:val="00926871"/>
    <w:rsid w:val="009437A2"/>
    <w:rsid w:val="00944B28"/>
    <w:rsid w:val="009469EB"/>
    <w:rsid w:val="009502CC"/>
    <w:rsid w:val="00950541"/>
    <w:rsid w:val="00950E8E"/>
    <w:rsid w:val="00963E1B"/>
    <w:rsid w:val="00975C53"/>
    <w:rsid w:val="00985B73"/>
    <w:rsid w:val="00986D94"/>
    <w:rsid w:val="009870A7"/>
    <w:rsid w:val="009A3BC4"/>
    <w:rsid w:val="009B1936"/>
    <w:rsid w:val="009C1347"/>
    <w:rsid w:val="009C27AD"/>
    <w:rsid w:val="009E0748"/>
    <w:rsid w:val="009F0118"/>
    <w:rsid w:val="009F448C"/>
    <w:rsid w:val="00A06EBF"/>
    <w:rsid w:val="00A10539"/>
    <w:rsid w:val="00A10CE7"/>
    <w:rsid w:val="00A133F6"/>
    <w:rsid w:val="00A15763"/>
    <w:rsid w:val="00A17CA3"/>
    <w:rsid w:val="00A20C0C"/>
    <w:rsid w:val="00A2335E"/>
    <w:rsid w:val="00A338A3"/>
    <w:rsid w:val="00A36378"/>
    <w:rsid w:val="00A50E46"/>
    <w:rsid w:val="00A55537"/>
    <w:rsid w:val="00A70E1E"/>
    <w:rsid w:val="00A80DAC"/>
    <w:rsid w:val="00A95410"/>
    <w:rsid w:val="00AB56E1"/>
    <w:rsid w:val="00AC1F1E"/>
    <w:rsid w:val="00AC295C"/>
    <w:rsid w:val="00AC3C3D"/>
    <w:rsid w:val="00AC3FB6"/>
    <w:rsid w:val="00AD3A7B"/>
    <w:rsid w:val="00AE0335"/>
    <w:rsid w:val="00AE0DFE"/>
    <w:rsid w:val="00AE25BF"/>
    <w:rsid w:val="00AF7D61"/>
    <w:rsid w:val="00B01302"/>
    <w:rsid w:val="00B03C01"/>
    <w:rsid w:val="00B078D6"/>
    <w:rsid w:val="00B1700F"/>
    <w:rsid w:val="00B2514C"/>
    <w:rsid w:val="00B25585"/>
    <w:rsid w:val="00B3015C"/>
    <w:rsid w:val="00B366A9"/>
    <w:rsid w:val="00B51601"/>
    <w:rsid w:val="00B53764"/>
    <w:rsid w:val="00B54B44"/>
    <w:rsid w:val="00B64D74"/>
    <w:rsid w:val="00B749F8"/>
    <w:rsid w:val="00B8520D"/>
    <w:rsid w:val="00B853DD"/>
    <w:rsid w:val="00B95BFB"/>
    <w:rsid w:val="00B9642E"/>
    <w:rsid w:val="00BA3A53"/>
    <w:rsid w:val="00BA4095"/>
    <w:rsid w:val="00BA5086"/>
    <w:rsid w:val="00BA5B43"/>
    <w:rsid w:val="00BB05E7"/>
    <w:rsid w:val="00BB0713"/>
    <w:rsid w:val="00BB7DFE"/>
    <w:rsid w:val="00BC642A"/>
    <w:rsid w:val="00BD403D"/>
    <w:rsid w:val="00BE1B14"/>
    <w:rsid w:val="00BE7039"/>
    <w:rsid w:val="00C06014"/>
    <w:rsid w:val="00C102D9"/>
    <w:rsid w:val="00C14D91"/>
    <w:rsid w:val="00C165FF"/>
    <w:rsid w:val="00C16B8F"/>
    <w:rsid w:val="00C274A8"/>
    <w:rsid w:val="00C31334"/>
    <w:rsid w:val="00C41F14"/>
    <w:rsid w:val="00C43D1E"/>
    <w:rsid w:val="00C4761A"/>
    <w:rsid w:val="00C50F7C"/>
    <w:rsid w:val="00C53608"/>
    <w:rsid w:val="00C54753"/>
    <w:rsid w:val="00C57C50"/>
    <w:rsid w:val="00C65456"/>
    <w:rsid w:val="00C715CA"/>
    <w:rsid w:val="00C73E20"/>
    <w:rsid w:val="00C870D0"/>
    <w:rsid w:val="00C90F39"/>
    <w:rsid w:val="00CA0AB9"/>
    <w:rsid w:val="00CA22FD"/>
    <w:rsid w:val="00CA66DF"/>
    <w:rsid w:val="00CB54BA"/>
    <w:rsid w:val="00CD3210"/>
    <w:rsid w:val="00CD5A48"/>
    <w:rsid w:val="00CE1C0F"/>
    <w:rsid w:val="00CE6BA1"/>
    <w:rsid w:val="00CF5065"/>
    <w:rsid w:val="00D00556"/>
    <w:rsid w:val="00D0059A"/>
    <w:rsid w:val="00D035C8"/>
    <w:rsid w:val="00D070C1"/>
    <w:rsid w:val="00D134A1"/>
    <w:rsid w:val="00D26DE2"/>
    <w:rsid w:val="00D471D1"/>
    <w:rsid w:val="00D556EE"/>
    <w:rsid w:val="00D55B03"/>
    <w:rsid w:val="00D60016"/>
    <w:rsid w:val="00D71F40"/>
    <w:rsid w:val="00D754AD"/>
    <w:rsid w:val="00D77416"/>
    <w:rsid w:val="00D860C6"/>
    <w:rsid w:val="00D92976"/>
    <w:rsid w:val="00D9755E"/>
    <w:rsid w:val="00DA74F3"/>
    <w:rsid w:val="00DC137E"/>
    <w:rsid w:val="00DD342F"/>
    <w:rsid w:val="00DD3C51"/>
    <w:rsid w:val="00DD58B7"/>
    <w:rsid w:val="00DE0EB6"/>
    <w:rsid w:val="00DF1EE2"/>
    <w:rsid w:val="00DF39DD"/>
    <w:rsid w:val="00DF5757"/>
    <w:rsid w:val="00DF5B20"/>
    <w:rsid w:val="00E033E0"/>
    <w:rsid w:val="00E06F6E"/>
    <w:rsid w:val="00E13CB2"/>
    <w:rsid w:val="00E26448"/>
    <w:rsid w:val="00E35CD5"/>
    <w:rsid w:val="00E60E69"/>
    <w:rsid w:val="00E705C1"/>
    <w:rsid w:val="00E72E89"/>
    <w:rsid w:val="00E86C51"/>
    <w:rsid w:val="00E87487"/>
    <w:rsid w:val="00E90B85"/>
    <w:rsid w:val="00E914C5"/>
    <w:rsid w:val="00E944CF"/>
    <w:rsid w:val="00EA6568"/>
    <w:rsid w:val="00EC1B73"/>
    <w:rsid w:val="00EC2397"/>
    <w:rsid w:val="00ED567B"/>
    <w:rsid w:val="00ED6C6D"/>
    <w:rsid w:val="00ED7614"/>
    <w:rsid w:val="00ED7A5B"/>
    <w:rsid w:val="00EE193D"/>
    <w:rsid w:val="00EE1AB4"/>
    <w:rsid w:val="00F02FC5"/>
    <w:rsid w:val="00F04CFB"/>
    <w:rsid w:val="00F062B5"/>
    <w:rsid w:val="00F10759"/>
    <w:rsid w:val="00F13FC0"/>
    <w:rsid w:val="00F23BC4"/>
    <w:rsid w:val="00F27F16"/>
    <w:rsid w:val="00F3051A"/>
    <w:rsid w:val="00F32AD8"/>
    <w:rsid w:val="00F32F4C"/>
    <w:rsid w:val="00F342F0"/>
    <w:rsid w:val="00F34B10"/>
    <w:rsid w:val="00F41A27"/>
    <w:rsid w:val="00F4338D"/>
    <w:rsid w:val="00F440D3"/>
    <w:rsid w:val="00F57120"/>
    <w:rsid w:val="00F70227"/>
    <w:rsid w:val="00F84F72"/>
    <w:rsid w:val="00F8549B"/>
    <w:rsid w:val="00F85B47"/>
    <w:rsid w:val="00F921F1"/>
    <w:rsid w:val="00FB14F2"/>
    <w:rsid w:val="00FB3698"/>
    <w:rsid w:val="00FC0804"/>
    <w:rsid w:val="00FC3B6D"/>
    <w:rsid w:val="00FC5766"/>
    <w:rsid w:val="00FC7AD5"/>
    <w:rsid w:val="00FD3A4E"/>
    <w:rsid w:val="00FE1C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703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E7039"/>
    <w:pPr>
      <w:pBdr>
        <w:top w:val="none" w:sz="0" w:space="0" w:color="auto"/>
      </w:pBdr>
      <w:spacing w:before="180"/>
      <w:outlineLvl w:val="1"/>
    </w:pPr>
    <w:rPr>
      <w:sz w:val="32"/>
    </w:rPr>
  </w:style>
  <w:style w:type="paragraph" w:styleId="Heading3">
    <w:name w:val="heading 3"/>
    <w:basedOn w:val="Heading2"/>
    <w:next w:val="Normal"/>
    <w:link w:val="Heading3Char"/>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E7039"/>
    <w:pPr>
      <w:keepNext/>
      <w:keepLines/>
      <w:spacing w:after="0"/>
    </w:pPr>
    <w:rPr>
      <w:rFonts w:ascii="Arial" w:hAnsi="Arial"/>
      <w:sz w:val="18"/>
    </w:rPr>
  </w:style>
  <w:style w:type="paragraph" w:styleId="BodyText">
    <w:name w:val="Body Text"/>
    <w:basedOn w:val="Normal"/>
    <w:rsid w:val="00A06EBF"/>
    <w:pPr>
      <w:widowControl w:val="0"/>
    </w:pPr>
    <w:rPr>
      <w:i/>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A06EBF"/>
    <w:pPr>
      <w:widowControl w:val="0"/>
      <w:spacing w:after="120" w:line="240" w:lineRule="atLeast"/>
      <w:ind w:left="1260" w:hanging="551"/>
    </w:pPr>
    <w:rPr>
      <w:rFonts w:ascii="Arial" w:hAnsi="Arial"/>
      <w:b/>
      <w:sz w:val="22"/>
    </w:rPr>
  </w:style>
  <w:style w:type="paragraph" w:styleId="BodyTextIndent2">
    <w:name w:val="Body Text Indent 2"/>
    <w:basedOn w:val="Normal"/>
    <w:rsid w:val="00A06EBF"/>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sid w:val="00A06EB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E7039"/>
    <w:pPr>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NormalWeb">
    <w:name w:val="Normal (Web)"/>
    <w:basedOn w:val="Normal"/>
    <w:uiPriority w:val="99"/>
    <w:unhideWhenUsed/>
    <w:rsid w:val="00F342F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3Char">
    <w:name w:val="Heading 3 Char"/>
    <w:basedOn w:val="DefaultParagraphFont"/>
    <w:link w:val="Heading3"/>
    <w:rsid w:val="0075478D"/>
    <w:rPr>
      <w:rFonts w:ascii="Arial" w:hAnsi="Arial"/>
      <w:sz w:val="28"/>
      <w:lang w:val="en-GB" w:eastAsia="en-US"/>
    </w:rPr>
  </w:style>
  <w:style w:type="paragraph" w:styleId="ListParagraph">
    <w:name w:val="List Paragraph"/>
    <w:basedOn w:val="Normal"/>
    <w:uiPriority w:val="34"/>
    <w:qFormat/>
    <w:rsid w:val="00CD5A48"/>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27542300">
      <w:bodyDiv w:val="1"/>
      <w:marLeft w:val="0"/>
      <w:marRight w:val="0"/>
      <w:marTop w:val="0"/>
      <w:marBottom w:val="0"/>
      <w:divBdr>
        <w:top w:val="none" w:sz="0" w:space="0" w:color="auto"/>
        <w:left w:val="none" w:sz="0" w:space="0" w:color="auto"/>
        <w:bottom w:val="none" w:sz="0" w:space="0" w:color="auto"/>
        <w:right w:val="none" w:sz="0" w:space="0" w:color="auto"/>
      </w:divBdr>
      <w:divsChild>
        <w:div w:id="2054307982">
          <w:marLeft w:val="547"/>
          <w:marRight w:val="0"/>
          <w:marTop w:val="96"/>
          <w:marBottom w:val="0"/>
          <w:divBdr>
            <w:top w:val="none" w:sz="0" w:space="0" w:color="auto"/>
            <w:left w:val="none" w:sz="0" w:space="0" w:color="auto"/>
            <w:bottom w:val="none" w:sz="0" w:space="0" w:color="auto"/>
            <w:right w:val="none" w:sz="0" w:space="0" w:color="auto"/>
          </w:divBdr>
        </w:div>
        <w:div w:id="627051878">
          <w:marLeft w:val="1166"/>
          <w:marRight w:val="0"/>
          <w:marTop w:val="86"/>
          <w:marBottom w:val="0"/>
          <w:divBdr>
            <w:top w:val="none" w:sz="0" w:space="0" w:color="auto"/>
            <w:left w:val="none" w:sz="0" w:space="0" w:color="auto"/>
            <w:bottom w:val="none" w:sz="0" w:space="0" w:color="auto"/>
            <w:right w:val="none" w:sz="0" w:space="0" w:color="auto"/>
          </w:divBdr>
        </w:div>
        <w:div w:id="371925037">
          <w:marLeft w:val="1166"/>
          <w:marRight w:val="0"/>
          <w:marTop w:val="86"/>
          <w:marBottom w:val="0"/>
          <w:divBdr>
            <w:top w:val="none" w:sz="0" w:space="0" w:color="auto"/>
            <w:left w:val="none" w:sz="0" w:space="0" w:color="auto"/>
            <w:bottom w:val="none" w:sz="0" w:space="0" w:color="auto"/>
            <w:right w:val="none" w:sz="0" w:space="0" w:color="auto"/>
          </w:divBdr>
        </w:div>
        <w:div w:id="1562444381">
          <w:marLeft w:val="1166"/>
          <w:marRight w:val="0"/>
          <w:marTop w:val="86"/>
          <w:marBottom w:val="0"/>
          <w:divBdr>
            <w:top w:val="none" w:sz="0" w:space="0" w:color="auto"/>
            <w:left w:val="none" w:sz="0" w:space="0" w:color="auto"/>
            <w:bottom w:val="none" w:sz="0" w:space="0" w:color="auto"/>
            <w:right w:val="none" w:sz="0" w:space="0" w:color="auto"/>
          </w:divBdr>
        </w:div>
      </w:divsChild>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54AA-735E-4940-AA69-305CADA3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LTE-NR uplink sharing</vt:lpstr>
      <vt:lpstr>WID template adapted for RAN</vt:lpstr>
    </vt:vector>
  </TitlesOfParts>
  <Company>BT</Company>
  <LinksUpToDate>false</LinksUpToDate>
  <CharactersWithSpaces>9607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LTE-NR uplink sharing</dc:title>
  <dc:creator>Aijun Cao</dc:creator>
  <cp:lastModifiedBy>JackeyCao</cp:lastModifiedBy>
  <cp:revision>4</cp:revision>
  <cp:lastPrinted>2000-02-29T10:31:00Z</cp:lastPrinted>
  <dcterms:created xsi:type="dcterms:W3CDTF">2017-02-28T07:46:00Z</dcterms:created>
  <dcterms:modified xsi:type="dcterms:W3CDTF">2017-02-28T07:48:00Z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