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3A7" w:rsidRDefault="008D6DB5">
      <w:pPr>
        <w:tabs>
          <w:tab w:val="right" w:pos="10080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  <w:lang w:eastAsia="zh-TW"/>
        </w:rPr>
      </w:pPr>
      <w:r w:rsidRPr="004345A1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 xml:space="preserve">RAN Meeting </w:t>
      </w:r>
      <w:proofErr w:type="gramStart"/>
      <w:r>
        <w:rPr>
          <w:rFonts w:ascii="Arial" w:hAnsi="Arial" w:cs="Arial"/>
          <w:b/>
          <w:sz w:val="28"/>
          <w:szCs w:val="28"/>
        </w:rPr>
        <w:t>#69</w:t>
      </w:r>
      <w:r w:rsidR="007572CF">
        <w:rPr>
          <w:rFonts w:ascii="Arial" w:hAnsi="Arial" w:cs="Arial"/>
          <w:b/>
          <w:sz w:val="28"/>
          <w:szCs w:val="28"/>
        </w:rPr>
        <w:tab/>
        <w:t>R</w:t>
      </w:r>
      <w:r w:rsidRPr="004345A1">
        <w:rPr>
          <w:rFonts w:ascii="Arial" w:hAnsi="Arial" w:cs="Arial"/>
          <w:b/>
          <w:sz w:val="28"/>
          <w:szCs w:val="28"/>
        </w:rPr>
        <w:t>P-1</w:t>
      </w:r>
      <w:r>
        <w:rPr>
          <w:rFonts w:ascii="Arial" w:hAnsi="Arial" w:cs="Arial"/>
          <w:b/>
          <w:sz w:val="28"/>
          <w:szCs w:val="28"/>
        </w:rPr>
        <w:t>51</w:t>
      </w:r>
      <w:r>
        <w:rPr>
          <w:rFonts w:ascii="Arial" w:hAnsi="Arial" w:cs="Arial" w:hint="eastAsia"/>
          <w:b/>
          <w:sz w:val="28"/>
          <w:szCs w:val="28"/>
          <w:lang w:eastAsia="zh-TW"/>
        </w:rPr>
        <w:t>347</w:t>
      </w:r>
      <w:proofErr w:type="gramEnd"/>
    </w:p>
    <w:p w:rsidR="008D6DB5" w:rsidRPr="00945536" w:rsidRDefault="008D6DB5" w:rsidP="008D6DB5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Phoenix, USA,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September</w:t>
      </w:r>
      <w:r w:rsidRPr="00945536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14</w:t>
      </w:r>
      <w:r w:rsidRPr="00945536">
        <w:rPr>
          <w:rFonts w:ascii="Arial" w:hAnsi="Arial" w:cs="Arial"/>
          <w:b/>
          <w:sz w:val="28"/>
          <w:szCs w:val="28"/>
        </w:rPr>
        <w:t xml:space="preserve"> - 1</w:t>
      </w:r>
      <w:r>
        <w:rPr>
          <w:rFonts w:ascii="Arial" w:hAnsi="Arial" w:cs="Arial"/>
          <w:b/>
          <w:sz w:val="28"/>
          <w:szCs w:val="28"/>
        </w:rPr>
        <w:t>6</w:t>
      </w:r>
      <w:r w:rsidRPr="00945536">
        <w:rPr>
          <w:rFonts w:ascii="Arial" w:hAnsi="Arial" w:cs="Arial"/>
          <w:b/>
          <w:sz w:val="28"/>
          <w:szCs w:val="28"/>
        </w:rPr>
        <w:t>, 201</w:t>
      </w:r>
      <w:r>
        <w:rPr>
          <w:rFonts w:ascii="Arial" w:hAnsi="Arial" w:cs="Arial"/>
          <w:b/>
          <w:sz w:val="28"/>
          <w:szCs w:val="28"/>
        </w:rPr>
        <w:t>5</w:t>
      </w:r>
    </w:p>
    <w:p w:rsidR="008D6DB5" w:rsidRPr="00945536" w:rsidRDefault="008D6DB5" w:rsidP="008D6DB5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8D6DB5" w:rsidRPr="00945536" w:rsidRDefault="008D6DB5" w:rsidP="008D6DB5">
      <w:pPr>
        <w:tabs>
          <w:tab w:val="left" w:pos="567"/>
        </w:tabs>
        <w:rPr>
          <w:rFonts w:ascii="Arial" w:hAnsi="Arial"/>
          <w:b/>
          <w:lang w:eastAsia="zh-TW"/>
        </w:rPr>
      </w:pPr>
      <w:r w:rsidRPr="00945536">
        <w:rPr>
          <w:rFonts w:ascii="Arial" w:hAnsi="Arial"/>
          <w:b/>
        </w:rPr>
        <w:t>Agenda Item:</w:t>
      </w:r>
      <w:r w:rsidRPr="00945536">
        <w:rPr>
          <w:rFonts w:ascii="Arial" w:hAnsi="Arial"/>
        </w:rPr>
        <w:tab/>
      </w:r>
      <w:bookmarkStart w:id="0" w:name="Source"/>
      <w:bookmarkEnd w:id="0"/>
      <w:r w:rsidRPr="00945536">
        <w:rPr>
          <w:rFonts w:ascii="Arial" w:hAnsi="Arial"/>
          <w:b/>
        </w:rPr>
        <w:tab/>
      </w:r>
      <w:r w:rsidRPr="008D6DB5">
        <w:rPr>
          <w:rFonts w:ascii="Arial" w:hAnsi="Arial"/>
          <w:b/>
        </w:rPr>
        <w:t>14.1</w:t>
      </w:r>
    </w:p>
    <w:p w:rsidR="008D6DB5" w:rsidRPr="004345A1" w:rsidRDefault="008D6DB5" w:rsidP="008D6DB5">
      <w:pPr>
        <w:tabs>
          <w:tab w:val="left" w:pos="567"/>
        </w:tabs>
        <w:rPr>
          <w:rFonts w:ascii="Arial" w:hAnsi="Arial"/>
          <w:lang w:eastAsia="zh-TW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proofErr w:type="spellStart"/>
      <w:r>
        <w:rPr>
          <w:rFonts w:ascii="Arial" w:hAnsi="Arial" w:hint="eastAsia"/>
          <w:b/>
          <w:lang w:eastAsia="zh-TW"/>
        </w:rPr>
        <w:t>MediaTek</w:t>
      </w:r>
      <w:proofErr w:type="spellEnd"/>
    </w:p>
    <w:p w:rsidR="008D6DB5" w:rsidRDefault="008D6DB5" w:rsidP="008D6DB5">
      <w:pPr>
        <w:tabs>
          <w:tab w:val="left" w:pos="567"/>
        </w:tabs>
        <w:rPr>
          <w:rFonts w:ascii="Arial" w:hAnsi="Arial"/>
          <w:b/>
          <w:lang w:eastAsia="zh-TW"/>
        </w:rPr>
      </w:pPr>
      <w:r w:rsidRPr="004345A1">
        <w:rPr>
          <w:rFonts w:ascii="Arial" w:hAnsi="Arial"/>
          <w:b/>
        </w:rPr>
        <w:t>Title:</w:t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4345A1">
        <w:rPr>
          <w:rFonts w:ascii="Arial" w:hAnsi="Arial"/>
        </w:rPr>
        <w:tab/>
      </w:r>
      <w:r w:rsidRPr="008D6DB5">
        <w:rPr>
          <w:rFonts w:ascii="Arial" w:hAnsi="Arial"/>
          <w:b/>
        </w:rPr>
        <w:t xml:space="preserve">Way Forward on New Items for Cellular </w:t>
      </w:r>
      <w:proofErr w:type="spellStart"/>
      <w:r w:rsidRPr="008D6DB5">
        <w:rPr>
          <w:rFonts w:ascii="Arial" w:hAnsi="Arial"/>
          <w:b/>
        </w:rPr>
        <w:t>IoT</w:t>
      </w:r>
      <w:proofErr w:type="spellEnd"/>
    </w:p>
    <w:p w:rsidR="008D6DB5" w:rsidRPr="004345A1" w:rsidRDefault="008D6DB5" w:rsidP="008D6DB5">
      <w:pPr>
        <w:tabs>
          <w:tab w:val="left" w:pos="567"/>
        </w:tabs>
        <w:rPr>
          <w:rFonts w:ascii="Arial" w:hAnsi="Arial"/>
          <w:lang w:eastAsia="zh-TW"/>
        </w:rPr>
      </w:pPr>
      <w:r>
        <w:rPr>
          <w:rFonts w:ascii="Arial" w:hAnsi="Arial" w:hint="eastAsia"/>
          <w:b/>
          <w:lang w:eastAsia="zh-TW"/>
        </w:rPr>
        <w:t>Document for:</w:t>
      </w:r>
      <w:r>
        <w:rPr>
          <w:rFonts w:ascii="Arial" w:hAnsi="Arial" w:hint="eastAsia"/>
          <w:b/>
          <w:lang w:eastAsia="zh-TW"/>
        </w:rPr>
        <w:tab/>
        <w:t>Discussion</w:t>
      </w:r>
    </w:p>
    <w:p w:rsidR="004B2DA3" w:rsidRPr="008D6DB5" w:rsidRDefault="004B2DA3" w:rsidP="00975D02">
      <w:pPr>
        <w:pStyle w:val="Title"/>
        <w:rPr>
          <w:sz w:val="16"/>
          <w:szCs w:val="16"/>
        </w:rPr>
      </w:pPr>
      <w:bookmarkStart w:id="1" w:name="DocumentFor"/>
      <w:bookmarkEnd w:id="1"/>
    </w:p>
    <w:p w:rsidR="00671948" w:rsidRDefault="007572CF" w:rsidP="00671948">
      <w:pPr>
        <w:pStyle w:val="Heading1"/>
        <w:numPr>
          <w:ilvl w:val="0"/>
          <w:numId w:val="9"/>
        </w:numPr>
      </w:pPr>
      <w:r>
        <w:t>Background</w:t>
      </w:r>
    </w:p>
    <w:p w:rsidR="00671948" w:rsidRDefault="0026097E">
      <w:pPr>
        <w:pStyle w:val="Heading2"/>
      </w:pPr>
      <w:r>
        <w:t>Low</w:t>
      </w:r>
      <w:r w:rsidR="009C2640">
        <w:t xml:space="preserve"> Power Wide Area IoT (LPWA)</w:t>
      </w:r>
    </w:p>
    <w:p w:rsidR="00671948" w:rsidRDefault="007B02A0" w:rsidP="00671948">
      <w:pPr>
        <w:jc w:val="both"/>
      </w:pPr>
      <w:r w:rsidRPr="007B02A0">
        <w:t xml:space="preserve">Low Power Wide Area </w:t>
      </w:r>
      <w:proofErr w:type="spellStart"/>
      <w:r w:rsidRPr="007B02A0">
        <w:t>IoT</w:t>
      </w:r>
      <w:proofErr w:type="spellEnd"/>
      <w:r w:rsidR="002810ED">
        <w:t xml:space="preserve">, characterized by low-data rates, low complexity and low power/long battery life aims at addressing the growing needs of industries, utilities and enterprises </w:t>
      </w:r>
      <w:r w:rsidR="0007376E">
        <w:t xml:space="preserve">alike </w:t>
      </w:r>
      <w:r w:rsidR="002810ED">
        <w:t xml:space="preserve">to </w:t>
      </w:r>
      <w:r w:rsidR="0007376E">
        <w:t xml:space="preserve">monitor and control </w:t>
      </w:r>
      <w:r w:rsidR="002810ED">
        <w:t>sensors</w:t>
      </w:r>
      <w:r w:rsidR="0007376E">
        <w:t xml:space="preserve"> and</w:t>
      </w:r>
      <w:r w:rsidR="002810ED">
        <w:t xml:space="preserve"> actuators</w:t>
      </w:r>
      <w:r w:rsidR="0007376E">
        <w:t xml:space="preserve">, to supervise and acquire a multiplicity of data in a cost-efficient way, </w:t>
      </w:r>
      <w:r w:rsidR="007D5C30">
        <w:t xml:space="preserve">remotely, </w:t>
      </w:r>
      <w:r w:rsidR="002810ED">
        <w:t xml:space="preserve">using </w:t>
      </w:r>
      <w:r w:rsidR="002810ED" w:rsidRPr="00572BA1">
        <w:rPr>
          <w:i/>
        </w:rPr>
        <w:t>low cost connectivity</w:t>
      </w:r>
      <w:r w:rsidR="002810ED">
        <w:t xml:space="preserve">. </w:t>
      </w:r>
      <w:r w:rsidR="0007376E">
        <w:t>This not only transforms the way they operate</w:t>
      </w:r>
      <w:r w:rsidR="00572BA1">
        <w:t xml:space="preserve"> (e.g. increas</w:t>
      </w:r>
      <w:r w:rsidR="00916C0D">
        <w:t>ing</w:t>
      </w:r>
      <w:r w:rsidR="00572BA1">
        <w:t xml:space="preserve"> efficiency, reducing resource wastage)</w:t>
      </w:r>
      <w:r w:rsidR="00715505">
        <w:t>, stimulates new business models</w:t>
      </w:r>
      <w:r w:rsidR="00572BA1">
        <w:t xml:space="preserve"> (e.g. remote health monitoring)</w:t>
      </w:r>
      <w:r w:rsidR="00715505">
        <w:t xml:space="preserve">, </w:t>
      </w:r>
      <w:r w:rsidR="0007376E">
        <w:t xml:space="preserve"> it also enables new</w:t>
      </w:r>
      <w:r w:rsidR="003A704B">
        <w:t xml:space="preserve"> value-adding</w:t>
      </w:r>
      <w:r w:rsidR="0007376E">
        <w:t xml:space="preserve"> services to end users</w:t>
      </w:r>
      <w:r w:rsidR="00572BA1">
        <w:t xml:space="preserve"> (e.g. smart electricity meter that can reduce </w:t>
      </w:r>
      <w:r w:rsidR="007D5C30">
        <w:t>one’s</w:t>
      </w:r>
      <w:r w:rsidR="00572BA1">
        <w:t xml:space="preserve"> electricity bill)</w:t>
      </w:r>
      <w:r w:rsidR="00715505">
        <w:t xml:space="preserve">. </w:t>
      </w:r>
    </w:p>
    <w:p w:rsidR="00671948" w:rsidRDefault="00572BA1" w:rsidP="00671948">
      <w:pPr>
        <w:jc w:val="both"/>
        <w:rPr>
          <w:lang w:eastAsia="zh-TW"/>
        </w:rPr>
      </w:pPr>
      <w:r>
        <w:t>S</w:t>
      </w:r>
      <w:r w:rsidR="007D5C30">
        <w:t>uccessful proprietary solutions</w:t>
      </w:r>
      <w:r>
        <w:t xml:space="preserve">, </w:t>
      </w:r>
      <w:r w:rsidR="007D5C30">
        <w:t xml:space="preserve">are gradually </w:t>
      </w:r>
      <w:r w:rsidR="009059A8">
        <w:t xml:space="preserve">entering </w:t>
      </w:r>
      <w:r w:rsidR="007D5C30">
        <w:t>this market, offering wide area</w:t>
      </w:r>
      <w:r w:rsidR="00975D02">
        <w:rPr>
          <w:rStyle w:val="FootnoteReference"/>
        </w:rPr>
        <w:footnoteReference w:id="1"/>
      </w:r>
      <w:r w:rsidR="007D5C30">
        <w:t xml:space="preserve"> low cost connectivity by means of low complexity (narrowband) and low energy technology operating in license-exempt ISM bands (e.g. 868MHz in Europe).</w:t>
      </w:r>
    </w:p>
    <w:p w:rsidR="00671948" w:rsidRPr="00671948" w:rsidRDefault="00671948" w:rsidP="00671948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jc w:val="both"/>
        <w:rPr>
          <w:color w:val="000000" w:themeColor="text1"/>
          <w:lang w:eastAsia="zh-TW"/>
        </w:rPr>
      </w:pPr>
      <w:r w:rsidRPr="00671948">
        <w:rPr>
          <w:b/>
          <w:color w:val="000000" w:themeColor="text1"/>
          <w:lang w:eastAsia="zh-TW"/>
        </w:rPr>
        <w:t xml:space="preserve">Observation 1: </w:t>
      </w:r>
      <w:r w:rsidRPr="00671948">
        <w:rPr>
          <w:color w:val="000000" w:themeColor="text1"/>
          <w:lang w:eastAsia="zh-TW"/>
        </w:rPr>
        <w:t>The major competitor on LPWA market is outside</w:t>
      </w:r>
      <w:r w:rsidR="007572CF">
        <w:rPr>
          <w:color w:val="000000" w:themeColor="text1"/>
          <w:lang w:eastAsia="zh-TW"/>
        </w:rPr>
        <w:t xml:space="preserve"> the </w:t>
      </w:r>
      <w:r w:rsidRPr="00671948">
        <w:rPr>
          <w:color w:val="000000" w:themeColor="text1"/>
          <w:lang w:eastAsia="zh-TW"/>
        </w:rPr>
        <w:t>3GPP ecosystem.</w:t>
      </w:r>
    </w:p>
    <w:p w:rsidR="002A43A7" w:rsidRDefault="009C2640">
      <w:pPr>
        <w:pStyle w:val="Heading2"/>
      </w:pPr>
      <w:r w:rsidRPr="009C2640">
        <w:t>3GPP Status</w:t>
      </w:r>
    </w:p>
    <w:p w:rsidR="00671948" w:rsidRDefault="00975D02" w:rsidP="00671948">
      <w:pPr>
        <w:jc w:val="both"/>
      </w:pPr>
      <w:r>
        <w:t>Since Rel-10, 3GPP has carried out a number of activities pertaining to machine-type communications, initially focusing on protecting the network (RAN/CN) against potential surges of signaling traffic from IoT devices</w:t>
      </w:r>
      <w:r w:rsidR="00B61197">
        <w:t xml:space="preserve"> (e.g. EAB)</w:t>
      </w:r>
      <w:r>
        <w:t xml:space="preserve">. </w:t>
      </w:r>
      <w:r w:rsidR="009C2640">
        <w:t>In</w:t>
      </w:r>
      <w:r>
        <w:t xml:space="preserve"> Rel-</w:t>
      </w:r>
      <w:r w:rsidR="00B1710A">
        <w:t xml:space="preserve">11 </w:t>
      </w:r>
      <w:r w:rsidR="00B61197">
        <w:t xml:space="preserve">(Sep.2011) </w:t>
      </w:r>
      <w:r>
        <w:t xml:space="preserve">“low cost connectivity” for LTE operators started to be </w:t>
      </w:r>
      <w:r w:rsidR="00B1710A">
        <w:t>studied</w:t>
      </w:r>
      <w:r>
        <w:t>, primarily from the angle of UE complexity reduction</w:t>
      </w:r>
      <w:r w:rsidR="00B1710A">
        <w:t xml:space="preserve">. </w:t>
      </w:r>
      <w:r w:rsidR="00B61197">
        <w:t>A year later the study was</w:t>
      </w:r>
      <w:r w:rsidR="00B1710A">
        <w:t xml:space="preserve"> extended to enhance </w:t>
      </w:r>
      <w:r>
        <w:t>coverage</w:t>
      </w:r>
      <w:r w:rsidR="00B1710A">
        <w:t xml:space="preserve"> as well. This </w:t>
      </w:r>
      <w:r w:rsidR="00B61197">
        <w:t>resulted</w:t>
      </w:r>
      <w:r w:rsidR="00B1710A">
        <w:t xml:space="preserve"> in the specification of LTE Cat 0 in Rel-12 supporting wideband RF</w:t>
      </w:r>
      <w:r w:rsidR="00B61197">
        <w:t xml:space="preserve"> (20MHz)</w:t>
      </w:r>
      <w:r w:rsidR="00B1710A">
        <w:t xml:space="preserve"> hence </w:t>
      </w:r>
      <w:r w:rsidR="00B61197">
        <w:t>limited</w:t>
      </w:r>
      <w:r w:rsidR="00B1710A">
        <w:t xml:space="preserve"> </w:t>
      </w:r>
      <w:r w:rsidR="00B61197">
        <w:t xml:space="preserve">UE </w:t>
      </w:r>
      <w:r w:rsidR="00B1710A">
        <w:t xml:space="preserve">complexity </w:t>
      </w:r>
      <w:r w:rsidR="00777E9C">
        <w:t>savings</w:t>
      </w:r>
      <w:r w:rsidR="00B61197">
        <w:t>. Then</w:t>
      </w:r>
      <w:r w:rsidR="00B1710A">
        <w:t xml:space="preserve"> in Rel-13 LTE-M (Cat -1)</w:t>
      </w:r>
      <w:r w:rsidR="00B61197">
        <w:t xml:space="preserve"> came along allowing, in particular, “narrowband” RF (1.4MHz) thus potent reduction of UE complexity</w:t>
      </w:r>
      <w:r w:rsidR="00B1710A">
        <w:t xml:space="preserve">. </w:t>
      </w:r>
      <w:r w:rsidR="002532ED">
        <w:t>Other enhancements have also since been specified: power-save mode and extended DRX both aiming at reducing UE power consumption in periods of inactivity.</w:t>
      </w:r>
      <w:r w:rsidR="009C2640">
        <w:t xml:space="preserve"> PSM is the key enabler to years of battery life, for any technology</w:t>
      </w:r>
      <w:r w:rsidR="00F73B5A">
        <w:t>.</w:t>
      </w:r>
    </w:p>
    <w:p w:rsidR="00671948" w:rsidRDefault="002532ED" w:rsidP="00671948">
      <w:pPr>
        <w:jc w:val="both"/>
      </w:pPr>
      <w:r>
        <w:lastRenderedPageBreak/>
        <w:t xml:space="preserve">At GERAN#62, a new study started </w:t>
      </w:r>
      <w:fldSimple w:instr=" REF _Ref429363926 \r \h  \* MERGEFORMAT ">
        <w:r>
          <w:t>[1]</w:t>
        </w:r>
      </w:fldSimple>
      <w:r>
        <w:t xml:space="preserve"> on “cellular support for ultra-low complexity and low throughput internet of things” that was recently concluded at GERAN#67,</w:t>
      </w:r>
      <w:r w:rsidR="00822D09">
        <w:t xml:space="preserve"> </w:t>
      </w:r>
      <w:r w:rsidR="007B02A0">
        <w:t xml:space="preserve">including backward compatible evolution of GSM/EDGE and other solutions. </w:t>
      </w:r>
      <w:r w:rsidR="00822D09">
        <w:t xml:space="preserve"> </w:t>
      </w:r>
      <w:r w:rsidR="007B02A0">
        <w:t>As a result of this work, a new WI (Feature) was approved by TSG GERAN#67 primarily targeted at GSM operators worldwide i.e. EC-GSM</w:t>
      </w:r>
      <w:r w:rsidR="00F73B5A">
        <w:rPr>
          <w:rStyle w:val="FootnoteReference"/>
        </w:rPr>
        <w:footnoteReference w:id="2"/>
      </w:r>
      <w:r w:rsidR="007B02A0">
        <w:t>, due for completion in Rel-13.</w:t>
      </w:r>
      <w:r w:rsidR="00CC7C14">
        <w:t xml:space="preserve"> </w:t>
      </w:r>
      <w:r w:rsidR="009F236E">
        <w:t xml:space="preserve">This decision is in line with PCG#34’s decision </w:t>
      </w:r>
      <w:fldSimple w:instr=" REF _Ref429371378 \r \h  \* MERGEFORMAT ">
        <w:r w:rsidR="009F236E">
          <w:t>[2]</w:t>
        </w:r>
      </w:fldSimple>
      <w:r w:rsidR="009F236E">
        <w:t xml:space="preserve"> that TSG GERAN would keep ownership of GERAN evolution proposals. </w:t>
      </w:r>
      <w:r w:rsidR="00F73B5A">
        <w:t xml:space="preserve">EC-GSM is a competitive alternative </w:t>
      </w:r>
      <w:r w:rsidR="00777E9C">
        <w:t xml:space="preserve">in licensed spectrum </w:t>
      </w:r>
      <w:r w:rsidR="00F73B5A">
        <w:t>to proprietary solutions</w:t>
      </w:r>
      <w:r w:rsidR="00777E9C">
        <w:t xml:space="preserve"> in ISM bands</w:t>
      </w:r>
      <w:r w:rsidR="00F73B5A">
        <w:t xml:space="preserve">, and thus its timely progress is very important. </w:t>
      </w:r>
      <w:r w:rsidR="00CC7C14">
        <w:t xml:space="preserve">Other </w:t>
      </w:r>
      <w:r w:rsidR="009F236E">
        <w:t>radio access candidate proposals</w:t>
      </w:r>
      <w:r w:rsidR="00CC7C14">
        <w:t xml:space="preserve"> were </w:t>
      </w:r>
      <w:r>
        <w:t xml:space="preserve">also </w:t>
      </w:r>
      <w:r w:rsidR="00CC7C14">
        <w:t>studied</w:t>
      </w:r>
      <w:r w:rsidR="002F1351">
        <w:t xml:space="preserve"> as listed below. At TSG GERAN#67, both EC-GSM and NB-CIOT were considered “completed techniques” i.e. deemed compliant to the objectives of the study.</w:t>
      </w:r>
    </w:p>
    <w:p w:rsidR="00671948" w:rsidRDefault="00CC7C14" w:rsidP="00671948">
      <w:pPr>
        <w:pStyle w:val="ListParagraph"/>
        <w:numPr>
          <w:ilvl w:val="0"/>
          <w:numId w:val="7"/>
        </w:numPr>
        <w:jc w:val="both"/>
      </w:pPr>
      <w:r>
        <w:t>NB-CIOT resulting from the recent merger (</w:t>
      </w:r>
      <w:r w:rsidR="002532ED">
        <w:t>July</w:t>
      </w:r>
      <w:r>
        <w:t xml:space="preserve"> 2015) between NB-M2M and NB-OFDMA solutions such that NB-M2M is used in UL and NB-OFDMA in DL</w:t>
      </w:r>
    </w:p>
    <w:p w:rsidR="00671948" w:rsidRDefault="002532ED" w:rsidP="00671948">
      <w:pPr>
        <w:pStyle w:val="ListParagraph"/>
        <w:numPr>
          <w:ilvl w:val="0"/>
          <w:numId w:val="7"/>
        </w:numPr>
        <w:jc w:val="both"/>
      </w:pPr>
      <w:r>
        <w:t>NB-LTE – partially described</w:t>
      </w:r>
    </w:p>
    <w:p w:rsidR="00671948" w:rsidRDefault="002532ED" w:rsidP="00671948">
      <w:pPr>
        <w:pStyle w:val="ListParagraph"/>
        <w:numPr>
          <w:ilvl w:val="0"/>
          <w:numId w:val="7"/>
        </w:numPr>
        <w:jc w:val="both"/>
      </w:pPr>
      <w:r>
        <w:t>NB-M2M – partially described</w:t>
      </w:r>
    </w:p>
    <w:p w:rsidR="00671948" w:rsidRDefault="002532ED" w:rsidP="00671948">
      <w:pPr>
        <w:pStyle w:val="ListParagraph"/>
        <w:numPr>
          <w:ilvl w:val="0"/>
          <w:numId w:val="7"/>
        </w:numPr>
        <w:jc w:val="both"/>
      </w:pPr>
      <w:r>
        <w:t>NB-OFDMA – partially described</w:t>
      </w:r>
    </w:p>
    <w:p w:rsidR="00671948" w:rsidRDefault="002532ED" w:rsidP="00671948">
      <w:pPr>
        <w:pStyle w:val="ListParagraph"/>
        <w:numPr>
          <w:ilvl w:val="0"/>
          <w:numId w:val="7"/>
        </w:numPr>
        <w:jc w:val="both"/>
      </w:pPr>
      <w:r>
        <w:t>N-GSM – partially described</w:t>
      </w:r>
    </w:p>
    <w:p w:rsidR="00671948" w:rsidRDefault="002532ED" w:rsidP="00671948">
      <w:pPr>
        <w:pStyle w:val="ListParagraph"/>
        <w:numPr>
          <w:ilvl w:val="0"/>
          <w:numId w:val="7"/>
        </w:numPr>
        <w:jc w:val="both"/>
      </w:pPr>
      <w:r>
        <w:t>N-UNB – partially described</w:t>
      </w:r>
    </w:p>
    <w:p w:rsidR="00671948" w:rsidRDefault="00671948" w:rsidP="00671948">
      <w:pPr>
        <w:jc w:val="both"/>
      </w:pPr>
    </w:p>
    <w:p w:rsidR="00671948" w:rsidRDefault="009F236E" w:rsidP="00671948">
      <w:pPr>
        <w:jc w:val="both"/>
        <w:rPr>
          <w:lang w:eastAsia="zh-TW"/>
        </w:rPr>
      </w:pPr>
      <w:r>
        <w:t xml:space="preserve">PCG#34 also concluded </w:t>
      </w:r>
      <w:fldSimple w:instr=" REF _Ref429371378 \r \h  \* MERGEFORMAT ">
        <w:r>
          <w:t>[2]</w:t>
        </w:r>
      </w:fldSimple>
      <w:r>
        <w:t xml:space="preserve"> that new radio access candidate proposals</w:t>
      </w:r>
      <w:r w:rsidR="00777E9C">
        <w:t xml:space="preserve">, </w:t>
      </w:r>
      <w:r>
        <w:t>non GERAN evolution candidate</w:t>
      </w:r>
      <w:r w:rsidR="00777E9C">
        <w:t>s,</w:t>
      </w:r>
      <w:r>
        <w:t xml:space="preserve"> </w:t>
      </w:r>
      <w:r w:rsidR="002F1351">
        <w:t>would not be handled in TSG GERAN.</w:t>
      </w:r>
    </w:p>
    <w:p w:rsidR="002A43A7" w:rsidRDefault="00671948" w:rsidP="00602022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jc w:val="both"/>
        <w:rPr>
          <w:b/>
          <w:color w:val="000000" w:themeColor="text1"/>
          <w:lang w:eastAsia="zh-TW"/>
        </w:rPr>
      </w:pPr>
      <w:r w:rsidRPr="00671948">
        <w:rPr>
          <w:b/>
          <w:color w:val="000000" w:themeColor="text1"/>
          <w:lang w:eastAsia="zh-TW"/>
        </w:rPr>
        <w:t xml:space="preserve">Observation 2: </w:t>
      </w:r>
      <w:r w:rsidRPr="00671948">
        <w:rPr>
          <w:color w:val="000000" w:themeColor="text1"/>
          <w:lang w:eastAsia="zh-TW"/>
        </w:rPr>
        <w:t>3GPP has spent much efforts trying to develop competitive solutions for operators.</w:t>
      </w:r>
    </w:p>
    <w:p w:rsidR="002A43A7" w:rsidRDefault="00A845FB">
      <w:pPr>
        <w:pStyle w:val="Heading1"/>
        <w:numPr>
          <w:ilvl w:val="0"/>
          <w:numId w:val="9"/>
        </w:numPr>
      </w:pPr>
      <w:r>
        <w:t>Proposal</w:t>
      </w:r>
    </w:p>
    <w:p w:rsidR="00671948" w:rsidRDefault="009C2640" w:rsidP="00671948">
      <w:pPr>
        <w:jc w:val="both"/>
      </w:pPr>
      <w:r>
        <w:t xml:space="preserve">A significant </w:t>
      </w:r>
      <w:r w:rsidR="00A845FB">
        <w:t>expectation</w:t>
      </w:r>
      <w:r>
        <w:t xml:space="preserve"> </w:t>
      </w:r>
      <w:r w:rsidR="00A845FB">
        <w:t xml:space="preserve">exists for 3GPP to address LPWA, see e.g. </w:t>
      </w:r>
      <w:r w:rsidR="002A43A7">
        <w:fldChar w:fldCharType="begin"/>
      </w:r>
      <w:r w:rsidR="00A845FB">
        <w:instrText xml:space="preserve"> REF _Ref429373860 \r \h </w:instrText>
      </w:r>
      <w:r w:rsidR="002A43A7">
        <w:fldChar w:fldCharType="separate"/>
      </w:r>
      <w:r w:rsidR="00A845FB">
        <w:t>[3]</w:t>
      </w:r>
      <w:r w:rsidR="002A43A7">
        <w:fldChar w:fldCharType="end"/>
      </w:r>
      <w:r w:rsidR="00A845FB">
        <w:t xml:space="preserve">. </w:t>
      </w:r>
      <w:r w:rsidR="0024172B">
        <w:t>It</w:t>
      </w:r>
      <w:r w:rsidR="00A845FB">
        <w:t xml:space="preserve"> is essential for 3GPP to fulfill the needs of GSM operators with EC-GSM, </w:t>
      </w:r>
      <w:r w:rsidR="001879BE">
        <w:t xml:space="preserve">and while LTE-M </w:t>
      </w:r>
      <w:r w:rsidR="0024172B">
        <w:t>(</w:t>
      </w:r>
      <w:proofErr w:type="spellStart"/>
      <w:r w:rsidR="0024172B">
        <w:t>eMTC</w:t>
      </w:r>
      <w:proofErr w:type="spellEnd"/>
      <w:r w:rsidR="0024172B">
        <w:t xml:space="preserve">) </w:t>
      </w:r>
      <w:r w:rsidR="001879BE">
        <w:t>is being finalized targeting LTE operators, it may not be sufficient. A</w:t>
      </w:r>
      <w:r w:rsidR="00A845FB">
        <w:t xml:space="preserve"> major interest </w:t>
      </w:r>
      <w:r>
        <w:t>has risen both for NB-LTE and NB-CIOT – both target the same performance objectives and are subject to the same requirements</w:t>
      </w:r>
      <w:r w:rsidR="00A845FB">
        <w:t>, as for EC-GSM</w:t>
      </w:r>
      <w:r>
        <w:t xml:space="preserve">. </w:t>
      </w:r>
      <w:r w:rsidR="002F1351">
        <w:t>Two Feature WI are now proposed at RAN#69.</w:t>
      </w:r>
    </w:p>
    <w:p w:rsidR="00671948" w:rsidRDefault="002F1351" w:rsidP="00671948">
      <w:pPr>
        <w:jc w:val="both"/>
      </w:pPr>
      <w:r>
        <w:t>NB-LTE provides better spectrum flexibility, better scalability for fut</w:t>
      </w:r>
      <w:r w:rsidR="0026097E">
        <w:t xml:space="preserve">ure growth incl. with mixed traffic than NB-CIOT. It further </w:t>
      </w:r>
      <w:r>
        <w:t xml:space="preserve">expands the “LTE family” beyond its inception, </w:t>
      </w:r>
      <w:r w:rsidR="0026097E">
        <w:t>whilst offering a competitive overall system complexity for achieving low-cost connectivity</w:t>
      </w:r>
      <w:r>
        <w:t xml:space="preserve">. </w:t>
      </w:r>
      <w:r w:rsidR="00701D20">
        <w:t xml:space="preserve">From the perspective of UE complexity (RF and baseband), we estimate NB-LTE will allow ~85% complexity savings vs. LTE Cat 1 and over 1/3 reduction vs LTE-M (Cat -1). NB-LTE also benefits from high synergies with LTE at L2 and above, both from standardization and economies of scale standpoints. </w:t>
      </w:r>
      <w:r>
        <w:t xml:space="preserve">Narrowband LTE can be </w:t>
      </w:r>
      <w:r w:rsidR="0026097E">
        <w:t xml:space="preserve">the </w:t>
      </w:r>
      <w:r>
        <w:t xml:space="preserve">3GPP industry’s competitive </w:t>
      </w:r>
      <w:r w:rsidR="0026097E">
        <w:t xml:space="preserve">offering for </w:t>
      </w:r>
      <w:r>
        <w:t>LPWA</w:t>
      </w:r>
      <w:r w:rsidR="0026097E">
        <w:t xml:space="preserve"> for LTE operators both in LTE spectrum and in re-farmed GSM spectrum as well as for </w:t>
      </w:r>
      <w:r w:rsidR="00A845FB">
        <w:t>G</w:t>
      </w:r>
      <w:r w:rsidR="0026097E">
        <w:t xml:space="preserve">reenfield deployments. NB-LTE is </w:t>
      </w:r>
      <w:r w:rsidR="00A845FB">
        <w:t xml:space="preserve">not conflicting with </w:t>
      </w:r>
      <w:r w:rsidR="0026097E">
        <w:t xml:space="preserve">“LTE-M” </w:t>
      </w:r>
      <w:r w:rsidR="00A845FB">
        <w:t xml:space="preserve">but instead complementing it – LTE-M is more capable (higher data rates) and could thus </w:t>
      </w:r>
      <w:r w:rsidR="009059A8">
        <w:t xml:space="preserve">also </w:t>
      </w:r>
      <w:r w:rsidR="00A845FB">
        <w:t xml:space="preserve">address a different market. </w:t>
      </w:r>
    </w:p>
    <w:p w:rsidR="002A43A7" w:rsidRDefault="00671948" w:rsidP="00602022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jc w:val="both"/>
        <w:rPr>
          <w:color w:val="000000" w:themeColor="text1"/>
          <w:lang w:eastAsia="zh-TW"/>
        </w:rPr>
      </w:pPr>
      <w:r w:rsidRPr="00671948">
        <w:rPr>
          <w:b/>
          <w:color w:val="000000" w:themeColor="text1"/>
          <w:lang w:eastAsia="zh-TW"/>
        </w:rPr>
        <w:lastRenderedPageBreak/>
        <w:t xml:space="preserve">Observation 3: </w:t>
      </w:r>
      <w:r w:rsidRPr="00671948">
        <w:rPr>
          <w:color w:val="000000" w:themeColor="text1"/>
          <w:lang w:eastAsia="zh-TW"/>
        </w:rPr>
        <w:t>Economies of scale are the key factor for a competitive cost structure. A single solution to support both LTE in-band and standalone deployment scenarios is the only way to maximize the economies of scale.</w:t>
      </w:r>
    </w:p>
    <w:p w:rsidR="002A43A7" w:rsidRDefault="0026097E">
      <w:pPr>
        <w:jc w:val="both"/>
      </w:pPr>
      <w:r>
        <w:t>It is our view that</w:t>
      </w:r>
      <w:r w:rsidR="009059A8">
        <w:t xml:space="preserve"> between NB-CIOT and NB-LTE,</w:t>
      </w:r>
      <w:r>
        <w:t xml:space="preserve"> </w:t>
      </w:r>
      <w:r w:rsidR="00701D20" w:rsidRPr="00A25DD2">
        <w:rPr>
          <w:i/>
        </w:rPr>
        <w:t>a single technology</w:t>
      </w:r>
      <w:r w:rsidR="00701D20">
        <w:t xml:space="preserve"> </w:t>
      </w:r>
      <w:r w:rsidR="0024172B">
        <w:t xml:space="preserve">should </w:t>
      </w:r>
      <w:r w:rsidR="00701D20">
        <w:t xml:space="preserve">be specified for LPWA by TSG RAN – that a single industry direction be decided and specified. Fragmentation in the standard </w:t>
      </w:r>
      <w:r w:rsidR="00A845FB">
        <w:t>would</w:t>
      </w:r>
      <w:r w:rsidR="00701D20">
        <w:t xml:space="preserve"> inevitably yield market fragmentation, resulting in higher UE costs hence higher connectivity costs</w:t>
      </w:r>
      <w:r w:rsidR="00A845FB">
        <w:t xml:space="preserve"> and as a result, proprietary solutions would be reinforced.</w:t>
      </w:r>
      <w:r w:rsidR="00A25DD2">
        <w:t xml:space="preserve"> </w:t>
      </w:r>
      <w:proofErr w:type="spellStart"/>
      <w:r w:rsidR="0024172B">
        <w:t>MediaTek</w:t>
      </w:r>
      <w:proofErr w:type="spellEnd"/>
      <w:r w:rsidR="0024172B">
        <w:t xml:space="preserve"> fully supports NB-LTE going forward as the one solution to specify.</w:t>
      </w:r>
    </w:p>
    <w:p w:rsidR="002A43A7" w:rsidRDefault="0024172B">
      <w:pPr>
        <w:jc w:val="both"/>
      </w:pPr>
      <w:r w:rsidRPr="003048FB">
        <w:t>However, we also acknowledge a</w:t>
      </w:r>
      <w:r w:rsidR="00A25DD2" w:rsidRPr="003048FB">
        <w:t xml:space="preserve"> strong interest both for NB-LTE and for NB-CIOT, and while we do support the direction set by NB-LTE, we </w:t>
      </w:r>
      <w:r w:rsidR="00991C3B" w:rsidRPr="003048FB">
        <w:t xml:space="preserve">are also open to having a sound compromise </w:t>
      </w:r>
      <w:r w:rsidR="00845B32" w:rsidRPr="003048FB">
        <w:t xml:space="preserve">on a single solution </w:t>
      </w:r>
      <w:r w:rsidR="00A25DD2" w:rsidRPr="003048FB">
        <w:t>at TSG RAN#69.</w:t>
      </w:r>
      <w:r w:rsidR="003A7366">
        <w:t xml:space="preserve"> </w:t>
      </w:r>
    </w:p>
    <w:p w:rsidR="002A43A7" w:rsidRDefault="00845B32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jc w:val="both"/>
        <w:rPr>
          <w:color w:val="000000" w:themeColor="text1"/>
          <w:lang w:eastAsia="zh-TW"/>
        </w:rPr>
      </w:pPr>
      <w:r w:rsidRPr="0024172B">
        <w:rPr>
          <w:rFonts w:hint="eastAsia"/>
          <w:b/>
          <w:color w:val="000000" w:themeColor="text1"/>
          <w:lang w:eastAsia="zh-TW"/>
        </w:rPr>
        <w:t xml:space="preserve">Observation 4: </w:t>
      </w:r>
      <w:r w:rsidRPr="0024172B">
        <w:rPr>
          <w:rFonts w:hint="eastAsia"/>
          <w:color w:val="000000" w:themeColor="text1"/>
          <w:lang w:eastAsia="zh-TW"/>
        </w:rPr>
        <w:t xml:space="preserve">Two individual items </w:t>
      </w:r>
      <w:r>
        <w:rPr>
          <w:color w:val="000000" w:themeColor="text1"/>
          <w:lang w:eastAsia="zh-TW"/>
        </w:rPr>
        <w:t>would</w:t>
      </w:r>
      <w:r w:rsidRPr="0024172B">
        <w:rPr>
          <w:rFonts w:hint="eastAsia"/>
          <w:color w:val="000000" w:themeColor="text1"/>
          <w:lang w:eastAsia="zh-TW"/>
        </w:rPr>
        <w:t xml:space="preserve"> result in </w:t>
      </w:r>
      <w:r>
        <w:rPr>
          <w:color w:val="000000" w:themeColor="text1"/>
          <w:lang w:eastAsia="zh-TW"/>
        </w:rPr>
        <w:t xml:space="preserve">R&amp;D and </w:t>
      </w:r>
      <w:r w:rsidRPr="0024172B">
        <w:rPr>
          <w:rFonts w:hint="eastAsia"/>
          <w:color w:val="000000" w:themeColor="text1"/>
          <w:lang w:eastAsia="zh-TW"/>
        </w:rPr>
        <w:t>market fragmentation</w:t>
      </w:r>
      <w:r>
        <w:rPr>
          <w:color w:val="000000" w:themeColor="text1"/>
          <w:lang w:eastAsia="zh-TW"/>
        </w:rPr>
        <w:t>s</w:t>
      </w:r>
      <w:r w:rsidRPr="0024172B">
        <w:rPr>
          <w:rFonts w:hint="eastAsia"/>
          <w:color w:val="000000" w:themeColor="text1"/>
          <w:lang w:eastAsia="zh-TW"/>
        </w:rPr>
        <w:t xml:space="preserve">, </w:t>
      </w:r>
      <w:r>
        <w:rPr>
          <w:color w:val="000000" w:themeColor="text1"/>
          <w:lang w:eastAsia="zh-TW"/>
        </w:rPr>
        <w:t xml:space="preserve">higher UE costs and connectivity costs, hence </w:t>
      </w:r>
      <w:r w:rsidRPr="0024172B">
        <w:rPr>
          <w:rFonts w:hint="eastAsia"/>
          <w:color w:val="000000" w:themeColor="text1"/>
          <w:lang w:eastAsia="zh-TW"/>
        </w:rPr>
        <w:t>defeat</w:t>
      </w:r>
      <w:r>
        <w:rPr>
          <w:color w:val="000000" w:themeColor="text1"/>
          <w:lang w:eastAsia="zh-TW"/>
        </w:rPr>
        <w:t>ing</w:t>
      </w:r>
      <w:r w:rsidRPr="0024172B">
        <w:rPr>
          <w:rFonts w:hint="eastAsia"/>
          <w:color w:val="000000" w:themeColor="text1"/>
          <w:lang w:eastAsia="zh-TW"/>
        </w:rPr>
        <w:t xml:space="preserve"> the purpose to have </w:t>
      </w:r>
      <w:r>
        <w:rPr>
          <w:color w:val="000000" w:themeColor="text1"/>
          <w:lang w:eastAsia="zh-TW"/>
        </w:rPr>
        <w:t xml:space="preserve">a </w:t>
      </w:r>
      <w:r w:rsidRPr="0024172B">
        <w:rPr>
          <w:color w:val="000000" w:themeColor="text1"/>
          <w:lang w:eastAsia="zh-TW"/>
        </w:rPr>
        <w:t>competitive</w:t>
      </w:r>
      <w:r w:rsidRPr="0024172B">
        <w:rPr>
          <w:rFonts w:hint="eastAsia"/>
          <w:color w:val="000000" w:themeColor="text1"/>
          <w:lang w:eastAsia="zh-TW"/>
        </w:rPr>
        <w:t xml:space="preserve"> solution </w:t>
      </w:r>
      <w:r>
        <w:rPr>
          <w:color w:val="000000" w:themeColor="text1"/>
          <w:lang w:eastAsia="zh-TW"/>
        </w:rPr>
        <w:t>against</w:t>
      </w:r>
      <w:r w:rsidRPr="0024172B">
        <w:rPr>
          <w:rFonts w:hint="eastAsia"/>
          <w:color w:val="000000" w:themeColor="text1"/>
          <w:lang w:eastAsia="zh-TW"/>
        </w:rPr>
        <w:t xml:space="preserve"> </w:t>
      </w:r>
      <w:r w:rsidRPr="0024172B">
        <w:rPr>
          <w:color w:val="000000" w:themeColor="text1"/>
          <w:lang w:eastAsia="zh-TW"/>
        </w:rPr>
        <w:t>proprietary</w:t>
      </w:r>
      <w:r>
        <w:rPr>
          <w:color w:val="000000" w:themeColor="text1"/>
          <w:lang w:eastAsia="zh-TW"/>
        </w:rPr>
        <w:t xml:space="preserve"> solutions</w:t>
      </w:r>
      <w:r w:rsidRPr="0024172B">
        <w:rPr>
          <w:rFonts w:hint="eastAsia"/>
          <w:color w:val="000000" w:themeColor="text1"/>
          <w:lang w:eastAsia="zh-TW"/>
        </w:rPr>
        <w:t>.</w:t>
      </w:r>
    </w:p>
    <w:p w:rsidR="002A43A7" w:rsidRDefault="002A43A7">
      <w:pPr>
        <w:rPr>
          <w:lang w:eastAsia="zh-TW"/>
        </w:rPr>
      </w:pPr>
    </w:p>
    <w:p w:rsidR="002A43A7" w:rsidRPr="00ED5BB3" w:rsidRDefault="00671948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rPr>
          <w:color w:val="000000" w:themeColor="text1"/>
          <w:lang w:eastAsia="zh-TW"/>
        </w:rPr>
      </w:pPr>
      <w:r w:rsidRPr="00ED5BB3">
        <w:rPr>
          <w:b/>
          <w:color w:val="000000" w:themeColor="text1"/>
          <w:lang w:eastAsia="zh-TW"/>
        </w:rPr>
        <w:t xml:space="preserve">Proposal 1: </w:t>
      </w:r>
      <w:r w:rsidRPr="00ED5BB3">
        <w:rPr>
          <w:color w:val="000000" w:themeColor="text1"/>
          <w:lang w:eastAsia="zh-TW"/>
        </w:rPr>
        <w:t>RAN#69 should approve a single WID to specify a unique solution</w:t>
      </w:r>
      <w:r w:rsidR="003048FB" w:rsidRPr="00ED5BB3">
        <w:rPr>
          <w:rStyle w:val="FootnoteReference"/>
          <w:color w:val="000000" w:themeColor="text1"/>
          <w:lang w:eastAsia="zh-TW"/>
        </w:rPr>
        <w:footnoteReference w:id="3"/>
      </w:r>
      <w:r w:rsidR="00991C3B" w:rsidRPr="00ED5BB3">
        <w:rPr>
          <w:color w:val="000000" w:themeColor="text1"/>
          <w:lang w:eastAsia="zh-TW"/>
        </w:rPr>
        <w:t>.</w:t>
      </w:r>
      <w:r w:rsidR="003048FB" w:rsidRPr="00ED5BB3">
        <w:rPr>
          <w:color w:val="000000" w:themeColor="text1"/>
          <w:lang w:eastAsia="zh-TW"/>
        </w:rPr>
        <w:t xml:space="preserve"> In order to achieve consensus, a</w:t>
      </w:r>
      <w:r w:rsidRPr="00ED5BB3">
        <w:rPr>
          <w:color w:val="000000" w:themeColor="text1"/>
          <w:lang w:eastAsia="zh-TW"/>
        </w:rPr>
        <w:t xml:space="preserve"> </w:t>
      </w:r>
      <w:r w:rsidR="00991C3B" w:rsidRPr="00ED5BB3">
        <w:rPr>
          <w:color w:val="000000" w:themeColor="text1"/>
          <w:lang w:eastAsia="zh-TW"/>
        </w:rPr>
        <w:t xml:space="preserve">sound </w:t>
      </w:r>
      <w:r w:rsidRPr="00ED5BB3">
        <w:rPr>
          <w:color w:val="000000" w:themeColor="text1"/>
          <w:lang w:eastAsia="zh-TW"/>
        </w:rPr>
        <w:t xml:space="preserve">compromised WID (SI/WI) </w:t>
      </w:r>
      <w:r w:rsidR="003048FB" w:rsidRPr="00ED5BB3">
        <w:rPr>
          <w:color w:val="000000" w:themeColor="text1"/>
          <w:lang w:eastAsia="zh-TW"/>
        </w:rPr>
        <w:t>should be evaluated;</w:t>
      </w:r>
      <w:r w:rsidRPr="00ED5BB3">
        <w:rPr>
          <w:color w:val="000000" w:themeColor="text1"/>
          <w:lang w:eastAsia="zh-TW"/>
        </w:rPr>
        <w:t xml:space="preserve"> or none at all.</w:t>
      </w:r>
    </w:p>
    <w:p w:rsidR="00671948" w:rsidRDefault="00671948" w:rsidP="00671948">
      <w:pPr>
        <w:jc w:val="both"/>
        <w:rPr>
          <w:lang w:eastAsia="zh-TW"/>
        </w:rPr>
      </w:pPr>
      <w:r>
        <w:t>It is also important that despite a critical time-line, the 3GPP work not be rushed but that</w:t>
      </w:r>
      <w:r w:rsidR="00A845FB">
        <w:t xml:space="preserve"> sufficient time </w:t>
      </w:r>
      <w:proofErr w:type="gramStart"/>
      <w:r w:rsidR="00A845FB">
        <w:t>be</w:t>
      </w:r>
      <w:proofErr w:type="gramEnd"/>
      <w:r w:rsidR="00A845FB">
        <w:t xml:space="preserve"> dedicated to complete </w:t>
      </w:r>
      <w:r w:rsidR="00A25DD2">
        <w:t>it</w:t>
      </w:r>
      <w:r w:rsidR="00A845FB">
        <w:t xml:space="preserve"> successfully</w:t>
      </w:r>
      <w:r w:rsidR="00A25DD2">
        <w:t>: it must be first-time-right</w:t>
      </w:r>
      <w:r w:rsidR="00A845FB">
        <w:t xml:space="preserve">. Any </w:t>
      </w:r>
      <w:r w:rsidR="00A25DD2">
        <w:t>sub</w:t>
      </w:r>
      <w:r w:rsidR="00A845FB">
        <w:t xml:space="preserve">-standard work </w:t>
      </w:r>
      <w:r w:rsidR="00A25DD2">
        <w:t xml:space="preserve">could jeopardize </w:t>
      </w:r>
      <w:r w:rsidR="00916C0D">
        <w:t xml:space="preserve">relevance, </w:t>
      </w:r>
      <w:r w:rsidR="00A25DD2">
        <w:t xml:space="preserve">compatibility, and </w:t>
      </w:r>
      <w:r w:rsidR="006275FF">
        <w:t xml:space="preserve">may </w:t>
      </w:r>
      <w:r w:rsidR="00A25DD2">
        <w:t xml:space="preserve">further delay TTM, which in turn could reinforce proprietary solutions. </w:t>
      </w:r>
      <w:r w:rsidR="00307D4C">
        <w:t>We believe that, realistically, a study phase (1Q) may thus be necessary in order to fine</w:t>
      </w:r>
      <w:r w:rsidR="00916C0D">
        <w:t>-</w:t>
      </w:r>
      <w:r w:rsidR="00307D4C">
        <w:t>tune any remaining details as necessary, such that normative work can be expedited and completed in a timely fashion (2Q)– we also note that the overall Rel-13 schedule may slip independently of these discussions. (Note that if a study phase is as such not formally acceptable, then a Study WID followed by a Feature WID could be used instead).</w:t>
      </w:r>
    </w:p>
    <w:p w:rsidR="002A43A7" w:rsidRDefault="003A7366">
      <w:pPr>
        <w:pStyle w:val="Heading1"/>
        <w:numPr>
          <w:ilvl w:val="0"/>
          <w:numId w:val="9"/>
        </w:numPr>
      </w:pPr>
      <w:r w:rsidRPr="007572CF">
        <w:t>Conclusion</w:t>
      </w:r>
    </w:p>
    <w:p w:rsidR="00671948" w:rsidRDefault="003A7366" w:rsidP="00671948">
      <w:pPr>
        <w:jc w:val="both"/>
      </w:pPr>
      <w:r>
        <w:t xml:space="preserve">3GPP </w:t>
      </w:r>
      <w:r w:rsidR="0085109C">
        <w:t xml:space="preserve">ought to </w:t>
      </w:r>
      <w:r>
        <w:t xml:space="preserve">provide a single </w:t>
      </w:r>
      <w:r w:rsidR="009059A8">
        <w:t xml:space="preserve">narrowband </w:t>
      </w:r>
      <w:r>
        <w:t xml:space="preserve">solution for LPWA for LTE operators and Greenfield deployments in order to prevent fragmentation that would otherwise yield higher UE costs and higher connectivity costs. </w:t>
      </w:r>
      <w:r w:rsidR="0085109C">
        <w:t xml:space="preserve">While our preference is to specify only NB-LTE, we are also open to </w:t>
      </w:r>
      <w:r>
        <w:t>a sound compromise between NB-CIOT and NB-LTE given the significant interest backing these two approaches.</w:t>
      </w:r>
    </w:p>
    <w:p w:rsidR="00671948" w:rsidRDefault="003A7366" w:rsidP="00671948">
      <w:pPr>
        <w:jc w:val="both"/>
        <w:rPr>
          <w:lang w:eastAsia="zh-TW"/>
        </w:rPr>
      </w:pPr>
      <w:r>
        <w:t xml:space="preserve">It is also proposed that the work not be rushed in order not to jeopardize compatibility and TTM. To this end, it </w:t>
      </w:r>
      <w:r w:rsidR="001879BE">
        <w:t xml:space="preserve">could </w:t>
      </w:r>
      <w:r>
        <w:t>start with a 1Q study work followed by 2Q normative work.</w:t>
      </w:r>
    </w:p>
    <w:p w:rsidR="007106A8" w:rsidRPr="00ED5BB3" w:rsidRDefault="007106A8" w:rsidP="007106A8">
      <w:pPr>
        <w:pBdr>
          <w:top w:val="single" w:sz="4" w:space="1" w:color="D9D9D9" w:themeColor="background1" w:themeShade="D9"/>
          <w:left w:val="single" w:sz="4" w:space="4" w:color="D9D9D9" w:themeColor="background1" w:themeShade="D9"/>
          <w:bottom w:val="single" w:sz="4" w:space="1" w:color="D9D9D9" w:themeColor="background1" w:themeShade="D9"/>
          <w:right w:val="single" w:sz="4" w:space="4" w:color="D9D9D9" w:themeColor="background1" w:themeShade="D9"/>
        </w:pBdr>
        <w:shd w:val="clear" w:color="auto" w:fill="F2F2F2" w:themeFill="background1" w:themeFillShade="F2"/>
        <w:rPr>
          <w:color w:val="000000" w:themeColor="text1"/>
          <w:lang w:eastAsia="zh-TW"/>
        </w:rPr>
      </w:pPr>
      <w:r w:rsidRPr="00ED5BB3">
        <w:rPr>
          <w:b/>
          <w:color w:val="000000" w:themeColor="text1"/>
          <w:lang w:eastAsia="zh-TW"/>
        </w:rPr>
        <w:t xml:space="preserve">Proposal 1: </w:t>
      </w:r>
      <w:r w:rsidRPr="00ED5BB3">
        <w:rPr>
          <w:color w:val="000000" w:themeColor="text1"/>
          <w:lang w:eastAsia="zh-TW"/>
        </w:rPr>
        <w:t>RAN#69 should approve a single WID to specify a unique solution</w:t>
      </w:r>
      <w:r w:rsidRPr="00ED5BB3">
        <w:rPr>
          <w:rStyle w:val="FootnoteReference"/>
          <w:color w:val="000000" w:themeColor="text1"/>
          <w:lang w:eastAsia="zh-TW"/>
        </w:rPr>
        <w:t>3</w:t>
      </w:r>
      <w:r w:rsidRPr="00ED5BB3">
        <w:rPr>
          <w:color w:val="000000" w:themeColor="text1"/>
          <w:lang w:eastAsia="zh-TW"/>
        </w:rPr>
        <w:t>. In order to achieve consensus, a sound compromised WID (SI/WI) should be evaluated; or none at all.</w:t>
      </w:r>
    </w:p>
    <w:p w:rsidR="007106A8" w:rsidRDefault="007106A8">
      <w:pPr>
        <w:pStyle w:val="Heading1"/>
        <w:numPr>
          <w:ilvl w:val="0"/>
          <w:numId w:val="9"/>
        </w:numPr>
        <w:sectPr w:rsidR="007106A8" w:rsidSect="008D6DB5">
          <w:pgSz w:w="12240" w:h="15840"/>
          <w:pgMar w:top="1440" w:right="1080" w:bottom="1440" w:left="1080" w:header="720" w:footer="720" w:gutter="0"/>
          <w:cols w:space="720"/>
          <w:docGrid w:linePitch="360"/>
        </w:sectPr>
      </w:pPr>
    </w:p>
    <w:p w:rsidR="002A43A7" w:rsidRDefault="003A7366">
      <w:pPr>
        <w:pStyle w:val="Heading1"/>
        <w:numPr>
          <w:ilvl w:val="0"/>
          <w:numId w:val="9"/>
        </w:numPr>
      </w:pPr>
      <w:r w:rsidRPr="007572CF">
        <w:lastRenderedPageBreak/>
        <w:t>References</w:t>
      </w:r>
    </w:p>
    <w:p w:rsidR="00822D09" w:rsidRDefault="00822D09" w:rsidP="00822D09">
      <w:pPr>
        <w:pStyle w:val="ListParagraph"/>
        <w:numPr>
          <w:ilvl w:val="0"/>
          <w:numId w:val="6"/>
        </w:numPr>
      </w:pPr>
      <w:bookmarkStart w:id="2" w:name="_Ref429363926"/>
      <w:r>
        <w:t xml:space="preserve">GP-140421, </w:t>
      </w:r>
      <w:r w:rsidRPr="00822D09">
        <w:t>Study on Cellular system support for ultra Low Complexity and low throughput Internet of Things</w:t>
      </w:r>
      <w:r>
        <w:t>, GERAN#62, May 2014</w:t>
      </w:r>
      <w:bookmarkEnd w:id="2"/>
    </w:p>
    <w:p w:rsidR="009F236E" w:rsidRDefault="009F236E" w:rsidP="00822D09">
      <w:pPr>
        <w:pStyle w:val="ListParagraph"/>
        <w:numPr>
          <w:ilvl w:val="0"/>
          <w:numId w:val="6"/>
        </w:numPr>
      </w:pPr>
      <w:bookmarkStart w:id="3" w:name="_Ref429371378"/>
      <w:r>
        <w:t xml:space="preserve">PCG#34_39r2, </w:t>
      </w:r>
      <w:r w:rsidRPr="009F236E">
        <w:t>Proposed way forward on the GERAN Cellular IoT activities, and the GERAN &amp; RAN re-organization</w:t>
      </w:r>
      <w:r>
        <w:t>, PCG#34, April 2015</w:t>
      </w:r>
      <w:bookmarkEnd w:id="3"/>
    </w:p>
    <w:p w:rsidR="00822D09" w:rsidRPr="00822D09" w:rsidRDefault="00A845FB" w:rsidP="003A7366">
      <w:pPr>
        <w:pStyle w:val="ListParagraph"/>
        <w:numPr>
          <w:ilvl w:val="0"/>
          <w:numId w:val="6"/>
        </w:numPr>
      </w:pPr>
      <w:bookmarkStart w:id="4" w:name="_Ref429373860"/>
      <w:r>
        <w:t>GSMA, LPWA initiative, August 2015 [</w:t>
      </w:r>
      <w:hyperlink r:id="rId9" w:history="1">
        <w:r w:rsidRPr="00822D09">
          <w:rPr>
            <w:rStyle w:val="Hyperlink"/>
          </w:rPr>
          <w:t>link</w:t>
        </w:r>
      </w:hyperlink>
      <w:r>
        <w:t>]</w:t>
      </w:r>
      <w:bookmarkEnd w:id="4"/>
    </w:p>
    <w:sectPr w:rsidR="00822D09" w:rsidRPr="00822D09" w:rsidSect="008D6DB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5FF" w:rsidRDefault="006275FF" w:rsidP="00975D02">
      <w:pPr>
        <w:spacing w:after="0" w:line="240" w:lineRule="auto"/>
      </w:pPr>
      <w:r>
        <w:separator/>
      </w:r>
    </w:p>
  </w:endnote>
  <w:endnote w:type="continuationSeparator" w:id="0">
    <w:p w:rsidR="006275FF" w:rsidRDefault="006275FF" w:rsidP="00975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5FF" w:rsidRDefault="006275FF" w:rsidP="00975D02">
      <w:pPr>
        <w:spacing w:after="0" w:line="240" w:lineRule="auto"/>
      </w:pPr>
      <w:r>
        <w:separator/>
      </w:r>
    </w:p>
  </w:footnote>
  <w:footnote w:type="continuationSeparator" w:id="0">
    <w:p w:rsidR="006275FF" w:rsidRDefault="006275FF" w:rsidP="00975D02">
      <w:pPr>
        <w:spacing w:after="0" w:line="240" w:lineRule="auto"/>
      </w:pPr>
      <w:r>
        <w:continuationSeparator/>
      </w:r>
    </w:p>
  </w:footnote>
  <w:footnote w:id="1">
    <w:p w:rsidR="00975D02" w:rsidRPr="001879BE" w:rsidRDefault="00975D0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71948" w:rsidRPr="00671948">
        <w:t>Including deep coverage</w:t>
      </w:r>
    </w:p>
  </w:footnote>
  <w:footnote w:id="2">
    <w:p w:rsidR="00F73B5A" w:rsidRPr="001879BE" w:rsidRDefault="00F73B5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671948" w:rsidRPr="00671948">
        <w:t>Enhanced coverage GSM</w:t>
      </w:r>
    </w:p>
  </w:footnote>
  <w:footnote w:id="3">
    <w:p w:rsidR="003048FB" w:rsidRPr="003048FB" w:rsidRDefault="003048FB">
      <w:pPr>
        <w:pStyle w:val="FootnoteText"/>
        <w:rPr>
          <w:lang w:val="fi-FI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fi-FI"/>
        </w:rPr>
        <w:t>NB-LTE is preferred.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83416"/>
    <w:multiLevelType w:val="hybridMultilevel"/>
    <w:tmpl w:val="CAFCCC9E"/>
    <w:lvl w:ilvl="0" w:tplc="2F38E0D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7D36CC"/>
    <w:multiLevelType w:val="hybridMultilevel"/>
    <w:tmpl w:val="C136D2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1A3BB5"/>
    <w:multiLevelType w:val="hybridMultilevel"/>
    <w:tmpl w:val="AF700B88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3">
    <w:nsid w:val="55304E1D"/>
    <w:multiLevelType w:val="hybridMultilevel"/>
    <w:tmpl w:val="040C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4944275"/>
    <w:multiLevelType w:val="hybridMultilevel"/>
    <w:tmpl w:val="AA8C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BD226CB"/>
    <w:multiLevelType w:val="hybridMultilevel"/>
    <w:tmpl w:val="D9785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222F2D"/>
    <w:multiLevelType w:val="hybridMultilevel"/>
    <w:tmpl w:val="22A21F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9C7F8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EFF4F1A"/>
    <w:multiLevelType w:val="hybridMultilevel"/>
    <w:tmpl w:val="AB2A0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22D09"/>
    <w:rsid w:val="00021D61"/>
    <w:rsid w:val="00025F12"/>
    <w:rsid w:val="0007376E"/>
    <w:rsid w:val="001879BE"/>
    <w:rsid w:val="0024172B"/>
    <w:rsid w:val="002532ED"/>
    <w:rsid w:val="0026097E"/>
    <w:rsid w:val="002810ED"/>
    <w:rsid w:val="002A43A7"/>
    <w:rsid w:val="002A6F78"/>
    <w:rsid w:val="002F1351"/>
    <w:rsid w:val="003048FB"/>
    <w:rsid w:val="00307D4C"/>
    <w:rsid w:val="0032030D"/>
    <w:rsid w:val="00394B80"/>
    <w:rsid w:val="003A704B"/>
    <w:rsid w:val="003A7366"/>
    <w:rsid w:val="004B2DA3"/>
    <w:rsid w:val="00572BA1"/>
    <w:rsid w:val="00602022"/>
    <w:rsid w:val="006275FF"/>
    <w:rsid w:val="0064527E"/>
    <w:rsid w:val="00671948"/>
    <w:rsid w:val="006A295C"/>
    <w:rsid w:val="00701D20"/>
    <w:rsid w:val="007106A8"/>
    <w:rsid w:val="00715505"/>
    <w:rsid w:val="007572CF"/>
    <w:rsid w:val="00777E9C"/>
    <w:rsid w:val="007B02A0"/>
    <w:rsid w:val="007D5C30"/>
    <w:rsid w:val="00822D09"/>
    <w:rsid w:val="00845B32"/>
    <w:rsid w:val="0085109C"/>
    <w:rsid w:val="008766ED"/>
    <w:rsid w:val="008A46F8"/>
    <w:rsid w:val="008D6DB5"/>
    <w:rsid w:val="008E68B2"/>
    <w:rsid w:val="009059A8"/>
    <w:rsid w:val="00916C0D"/>
    <w:rsid w:val="00975D02"/>
    <w:rsid w:val="00991C3B"/>
    <w:rsid w:val="009C2640"/>
    <w:rsid w:val="009F236E"/>
    <w:rsid w:val="00A25DD2"/>
    <w:rsid w:val="00A845FB"/>
    <w:rsid w:val="00B14763"/>
    <w:rsid w:val="00B1710A"/>
    <w:rsid w:val="00B61197"/>
    <w:rsid w:val="00C34CCF"/>
    <w:rsid w:val="00CC7C14"/>
    <w:rsid w:val="00D266F7"/>
    <w:rsid w:val="00D41472"/>
    <w:rsid w:val="00D507E2"/>
    <w:rsid w:val="00ED5BB3"/>
    <w:rsid w:val="00F57B29"/>
    <w:rsid w:val="00F73B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1472"/>
  </w:style>
  <w:style w:type="paragraph" w:styleId="Heading1">
    <w:name w:val="heading 1"/>
    <w:basedOn w:val="Normal"/>
    <w:next w:val="Normal"/>
    <w:link w:val="Heading1Char"/>
    <w:uiPriority w:val="9"/>
    <w:qFormat/>
    <w:rsid w:val="00845B32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472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000000" w:themeColor="tex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26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22D09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2D09"/>
    <w:pPr>
      <w:spacing w:after="0" w:line="240" w:lineRule="auto"/>
      <w:ind w:left="720"/>
    </w:pPr>
    <w:rPr>
      <w:rFonts w:ascii="Calibri" w:eastAsia="SimSun" w:hAnsi="Calibri" w:cs="SimSun"/>
    </w:rPr>
  </w:style>
  <w:style w:type="paragraph" w:styleId="Title">
    <w:name w:val="Title"/>
    <w:basedOn w:val="Normal"/>
    <w:next w:val="Normal"/>
    <w:link w:val="TitleChar"/>
    <w:uiPriority w:val="10"/>
    <w:qFormat/>
    <w:rsid w:val="00975D0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75D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D0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D0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5D02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845B32"/>
    <w:rPr>
      <w:rFonts w:eastAsiaTheme="majorEastAsia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41472"/>
    <w:rPr>
      <w:rFonts w:eastAsiaTheme="majorEastAsia" w:cstheme="majorBidi"/>
      <w:b/>
      <w:bCs/>
      <w:color w:val="000000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C264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er">
    <w:name w:val="header"/>
    <w:basedOn w:val="Normal"/>
    <w:link w:val="Head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75FF"/>
  </w:style>
  <w:style w:type="paragraph" w:styleId="Footer">
    <w:name w:val="footer"/>
    <w:basedOn w:val="Normal"/>
    <w:link w:val="FooterChar"/>
    <w:uiPriority w:val="99"/>
    <w:semiHidden/>
    <w:unhideWhenUsed/>
    <w:rsid w:val="006275F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75FF"/>
  </w:style>
  <w:style w:type="paragraph" w:styleId="BalloonText">
    <w:name w:val="Balloon Text"/>
    <w:basedOn w:val="Normal"/>
    <w:link w:val="BalloonTextChar"/>
    <w:uiPriority w:val="99"/>
    <w:semiHidden/>
    <w:unhideWhenUsed/>
    <w:rsid w:val="00F73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B5A"/>
    <w:rPr>
      <w:rFonts w:ascii="Tahoma" w:hAnsi="Tahoma" w:cs="Tahoma"/>
      <w:sz w:val="16"/>
      <w:szCs w:val="16"/>
    </w:rPr>
  </w:style>
  <w:style w:type="paragraph" w:customStyle="1" w:styleId="normalpuce">
    <w:name w:val="normal puce"/>
    <w:basedOn w:val="Normal"/>
    <w:rsid w:val="008D6DB5"/>
    <w:pPr>
      <w:tabs>
        <w:tab w:val="num" w:pos="360"/>
      </w:tabs>
      <w:overflowPunct w:val="0"/>
      <w:autoSpaceDE w:val="0"/>
      <w:autoSpaceDN w:val="0"/>
      <w:adjustRightInd w:val="0"/>
      <w:spacing w:after="180" w:line="240" w:lineRule="auto"/>
      <w:ind w:left="360" w:hanging="36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apple-style-span">
    <w:name w:val="apple-style-span"/>
    <w:basedOn w:val="DefaultParagraphFont"/>
    <w:rsid w:val="008D6DB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gsma.com/newsroom/press-release/gsma-launches-low-power-wide-area-network-initiative-accelerate-growth-internet-of-thing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961874-FC19-4509-A5E7-09E9FFE4C2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D9906A-9849-4CB0-85F9-9E261C179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Mediatek</cp:lastModifiedBy>
  <cp:revision>3</cp:revision>
  <dcterms:created xsi:type="dcterms:W3CDTF">2015-09-08T08:03:00Z</dcterms:created>
  <dcterms:modified xsi:type="dcterms:W3CDTF">2015-09-08T09:41:00Z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-2100696433</vt:i4>
  </property>
  <property fmtid="{D5CDD505-2E9C-101B-9397-08002B2CF9AE}" pid="3" name="_NewReviewCycle">
    <vt:lpwstr/>
  </property>
  <property fmtid="{D5CDD505-2E9C-101B-9397-08002B2CF9AE}" pid="4" name="_EmailSubject">
    <vt:lpwstr>[MTK Internal] RE: [NB-LTE Open Issue #11] WID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PreviousAdHocReviewCycleID">
    <vt:i4>240433540</vt:i4>
  </property>
  <property fmtid="{D5CDD505-2E9C-101B-9397-08002B2CF9AE}" pid="8" name="_ReviewingToolsShownOnce">
    <vt:lpwstr/>
  </property>
</Properties>
</file>