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99D3E" w14:textId="0D1516A4" w:rsidR="00FD7333" w:rsidRPr="00A079D3" w:rsidRDefault="00FD7333" w:rsidP="00FD7333">
      <w:pPr>
        <w:keepLines/>
        <w:tabs>
          <w:tab w:val="left" w:pos="567"/>
        </w:tabs>
        <w:overflowPunct/>
        <w:autoSpaceDE/>
        <w:autoSpaceDN/>
        <w:snapToGrid w:val="0"/>
        <w:spacing w:after="0" w:line="240" w:lineRule="auto"/>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25084</w:t>
      </w:r>
      <w:r>
        <w:rPr>
          <w:rFonts w:ascii="Arial" w:hAnsi="Arial" w:cs="Arial"/>
          <w:b/>
          <w:sz w:val="28"/>
          <w:szCs w:val="28"/>
        </w:rPr>
        <w:t>7</w:t>
      </w:r>
    </w:p>
    <w:p w14:paraId="2752578D" w14:textId="77777777" w:rsidR="00FD7333" w:rsidRPr="00A079D3" w:rsidRDefault="00FD7333" w:rsidP="00FD7333">
      <w:pPr>
        <w:keepLines/>
        <w:tabs>
          <w:tab w:val="left" w:pos="567"/>
        </w:tabs>
        <w:spacing w:after="0"/>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7F580701" w14:textId="5E44982D" w:rsidR="00440A2E" w:rsidRPr="00FD7333" w:rsidRDefault="00440A2E" w:rsidP="00FD7333">
      <w:pPr>
        <w:tabs>
          <w:tab w:val="right" w:pos="9638"/>
        </w:tabs>
        <w:spacing w:after="0"/>
        <w:rPr>
          <w:rFonts w:ascii="Arial" w:hAnsi="Arial" w:cs="Arial"/>
          <w:bCs/>
          <w:i/>
          <w:iCs/>
          <w:sz w:val="20"/>
          <w:lang w:val="en-GB" w:eastAsia="en-US"/>
        </w:rPr>
      </w:pPr>
      <w:r w:rsidRPr="00FD7333">
        <w:rPr>
          <w:rFonts w:ascii="Arial" w:hAnsi="Arial" w:cs="Arial"/>
          <w:bCs/>
          <w:i/>
          <w:iCs/>
          <w:sz w:val="20"/>
          <w:lang w:val="en-GB" w:eastAsia="en-US"/>
        </w:rPr>
        <w:t>SA WG2 Meeting #169</w:t>
      </w:r>
      <w:r w:rsidRPr="00FD7333">
        <w:rPr>
          <w:rFonts w:ascii="Arial" w:hAnsi="Arial" w:cs="Arial"/>
          <w:bCs/>
          <w:i/>
          <w:iCs/>
          <w:sz w:val="20"/>
          <w:lang w:val="en-GB" w:eastAsia="en-US"/>
        </w:rPr>
        <w:tab/>
        <w:t>S2-250</w:t>
      </w:r>
      <w:r w:rsidR="006F4315" w:rsidRPr="00FD7333">
        <w:rPr>
          <w:rFonts w:ascii="Arial" w:hAnsi="Arial" w:cs="Arial"/>
          <w:bCs/>
          <w:i/>
          <w:iCs/>
          <w:sz w:val="20"/>
          <w:lang w:val="en-GB" w:eastAsia="en-US"/>
        </w:rPr>
        <w:t>608</w:t>
      </w:r>
      <w:r w:rsidR="00CF7E7E" w:rsidRPr="00FD7333">
        <w:rPr>
          <w:rFonts w:ascii="Arial" w:hAnsi="Arial" w:cs="Arial"/>
          <w:bCs/>
          <w:i/>
          <w:iCs/>
          <w:sz w:val="20"/>
          <w:lang w:val="en-GB" w:eastAsia="en-US"/>
        </w:rPr>
        <w:t>7</w:t>
      </w:r>
    </w:p>
    <w:p w14:paraId="76054626" w14:textId="3669274A" w:rsidR="00440A2E" w:rsidRPr="00FD7333" w:rsidRDefault="0039560C" w:rsidP="00FD7333">
      <w:pPr>
        <w:pBdr>
          <w:bottom w:val="single" w:sz="4" w:space="1" w:color="auto"/>
        </w:pBdr>
        <w:tabs>
          <w:tab w:val="right" w:pos="9638"/>
        </w:tabs>
        <w:spacing w:after="0"/>
        <w:rPr>
          <w:rFonts w:ascii="Arial" w:hAnsi="Arial" w:cs="Arial"/>
          <w:bCs/>
          <w:i/>
          <w:iCs/>
          <w:sz w:val="20"/>
          <w:lang w:val="en-GB" w:eastAsia="en-US"/>
        </w:rPr>
      </w:pPr>
      <w:r w:rsidRPr="00FD7333">
        <w:rPr>
          <w:rFonts w:ascii="Arial" w:hAnsi="Arial" w:cs="Arial"/>
          <w:bCs/>
          <w:i/>
          <w:iCs/>
          <w:sz w:val="20"/>
          <w:lang w:val="en-GB" w:eastAsia="en-US"/>
        </w:rPr>
        <w:t>19 - 23 May, 2025, Fukuoka, Japan</w:t>
      </w:r>
      <w:r w:rsidRPr="00FD7333">
        <w:rPr>
          <w:rFonts w:ascii="Arial" w:hAnsi="Arial" w:cs="Arial"/>
          <w:bCs/>
          <w:i/>
          <w:iCs/>
          <w:sz w:val="20"/>
          <w:lang w:val="en-GB" w:eastAsia="en-US"/>
        </w:rPr>
        <w:tab/>
        <w:t>rev of S2-2506083</w:t>
      </w:r>
    </w:p>
    <w:p w14:paraId="2CF308B4" w14:textId="66646CD9"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Title:</w:t>
      </w:r>
      <w:r w:rsidRPr="005B0DFA">
        <w:rPr>
          <w:rFonts w:ascii="Arial" w:hAnsi="Arial" w:cs="Arial"/>
          <w:b/>
          <w:sz w:val="20"/>
          <w:lang w:val="en-GB" w:eastAsia="en-US"/>
        </w:rPr>
        <w:tab/>
      </w:r>
      <w:r w:rsidR="0039560C" w:rsidRPr="005B0DFA">
        <w:rPr>
          <w:rFonts w:ascii="Arial" w:hAnsi="Arial" w:cs="Arial"/>
          <w:b/>
          <w:sz w:val="20"/>
          <w:lang w:val="en-GB" w:eastAsia="en-US"/>
        </w:rPr>
        <w:t xml:space="preserve">Response </w:t>
      </w:r>
      <w:r w:rsidR="0031254D" w:rsidRPr="005B0DFA">
        <w:rPr>
          <w:rFonts w:ascii="Arial" w:hAnsi="Arial" w:cs="Arial"/>
          <w:b/>
          <w:sz w:val="20"/>
          <w:lang w:val="en-GB" w:eastAsia="en-US"/>
        </w:rPr>
        <w:t xml:space="preserve">to </w:t>
      </w:r>
      <w:r w:rsidRPr="005B0DFA">
        <w:rPr>
          <w:rFonts w:ascii="Arial" w:hAnsi="Arial" w:cs="Arial"/>
          <w:bCs/>
          <w:sz w:val="20"/>
          <w:lang w:val="en-GB" w:eastAsia="en-US"/>
        </w:rPr>
        <w:t xml:space="preserve">Reply LS on </w:t>
      </w:r>
      <w:r w:rsidR="005A2C0F" w:rsidRPr="005B0DFA">
        <w:rPr>
          <w:rFonts w:ascii="Arial" w:hAnsi="Arial" w:cs="Arial"/>
          <w:bCs/>
          <w:sz w:val="20"/>
          <w:lang w:val="en-GB" w:eastAsia="en-US"/>
        </w:rPr>
        <w:t>paging capability loss issue</w:t>
      </w:r>
    </w:p>
    <w:p w14:paraId="02A19FA9" w14:textId="0812420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Response to:</w:t>
      </w:r>
      <w:r w:rsidRPr="005B0DFA">
        <w:rPr>
          <w:rFonts w:ascii="Arial" w:hAnsi="Arial" w:cs="Arial"/>
          <w:bCs/>
          <w:sz w:val="20"/>
          <w:lang w:val="en-GB" w:eastAsia="en-US"/>
        </w:rPr>
        <w:tab/>
      </w:r>
      <w:r w:rsidR="0031254D" w:rsidRPr="005B0DFA">
        <w:rPr>
          <w:rFonts w:ascii="Arial" w:hAnsi="Arial" w:cs="Arial"/>
          <w:bCs/>
          <w:sz w:val="20"/>
          <w:lang w:val="en-GB" w:eastAsia="en-US"/>
        </w:rPr>
        <w:t>R2-2503172=S2</w:t>
      </w:r>
      <w:r w:rsidR="0039560C">
        <w:rPr>
          <w:rFonts w:ascii="Arial" w:hAnsi="Arial" w:cs="Arial"/>
          <w:bCs/>
          <w:sz w:val="20"/>
          <w:lang w:val="en-GB" w:eastAsia="en-US"/>
        </w:rPr>
        <w:t>-</w:t>
      </w:r>
      <w:r w:rsidR="0031254D" w:rsidRPr="005B0DFA">
        <w:rPr>
          <w:rFonts w:ascii="Arial" w:hAnsi="Arial" w:cs="Arial"/>
          <w:bCs/>
          <w:sz w:val="20"/>
          <w:lang w:val="en-GB" w:eastAsia="en-US"/>
        </w:rPr>
        <w:t>2504513</w:t>
      </w:r>
    </w:p>
    <w:p w14:paraId="0D76C7B3" w14:textId="3C17D14F"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Release:</w:t>
      </w:r>
      <w:r w:rsidRPr="005B0DFA">
        <w:rPr>
          <w:rFonts w:ascii="Arial" w:hAnsi="Arial" w:cs="Arial"/>
          <w:bCs/>
          <w:sz w:val="20"/>
          <w:lang w:val="en-GB" w:eastAsia="en-US"/>
        </w:rPr>
        <w:tab/>
      </w:r>
      <w:r w:rsidR="00E02D7A" w:rsidRPr="005B0DFA">
        <w:rPr>
          <w:rFonts w:ascii="Arial" w:hAnsi="Arial" w:cs="Arial"/>
          <w:bCs/>
          <w:sz w:val="20"/>
          <w:lang w:val="en-GB" w:eastAsia="en-US"/>
        </w:rPr>
        <w:t>Rel-19</w:t>
      </w:r>
    </w:p>
    <w:p w14:paraId="20D7E570" w14:textId="191AA10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5B0DFA">
        <w:rPr>
          <w:rFonts w:ascii="Arial" w:hAnsi="Arial" w:cs="Arial"/>
          <w:b/>
          <w:sz w:val="20"/>
          <w:lang w:val="en-GB" w:eastAsia="en-US"/>
        </w:rPr>
        <w:t>Work Item:</w:t>
      </w:r>
      <w:r w:rsidRPr="005B0DFA">
        <w:rPr>
          <w:rFonts w:ascii="Arial" w:hAnsi="Arial" w:cs="Arial"/>
          <w:bCs/>
          <w:sz w:val="20"/>
          <w:lang w:val="en-GB" w:eastAsia="en-US"/>
        </w:rPr>
        <w:tab/>
      </w:r>
      <w:r w:rsidR="00E02D7A" w:rsidRPr="005B0DFA">
        <w:rPr>
          <w:rFonts w:ascii="Arial" w:hAnsi="Arial" w:cs="Arial"/>
          <w:bCs/>
          <w:sz w:val="20"/>
          <w:lang w:val="en-GB" w:eastAsia="en-US"/>
        </w:rPr>
        <w:t>NR_LPWUS-Core</w:t>
      </w:r>
      <w:r w:rsidR="000261C8" w:rsidRPr="005B0DFA">
        <w:rPr>
          <w:rFonts w:ascii="Arial" w:hAnsi="Arial" w:cs="Arial"/>
          <w:bCs/>
          <w:sz w:val="20"/>
          <w:lang w:val="en-GB"/>
        </w:rPr>
        <w:t>, TEI19</w:t>
      </w:r>
    </w:p>
    <w:p w14:paraId="1589C82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3F7BA5DD"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Source:</w:t>
      </w:r>
      <w:r w:rsidRPr="005B0DFA">
        <w:rPr>
          <w:rFonts w:ascii="Arial" w:hAnsi="Arial" w:cs="Arial"/>
          <w:bCs/>
          <w:sz w:val="20"/>
          <w:lang w:val="en-GB" w:eastAsia="en-US"/>
        </w:rPr>
        <w:tab/>
      </w:r>
      <w:r w:rsidR="0031254D" w:rsidRPr="005B0DFA">
        <w:rPr>
          <w:rFonts w:ascii="Arial" w:hAnsi="Arial" w:cs="Arial"/>
          <w:bCs/>
          <w:sz w:val="20"/>
          <w:lang w:val="en-GB" w:eastAsia="en-US"/>
        </w:rPr>
        <w:t>SA2</w:t>
      </w:r>
    </w:p>
    <w:p w14:paraId="7B206D7C" w14:textId="4D7F0BF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To:</w:t>
      </w:r>
      <w:r w:rsidRPr="005B0DFA">
        <w:rPr>
          <w:rFonts w:ascii="Arial" w:hAnsi="Arial" w:cs="Arial"/>
          <w:bCs/>
          <w:sz w:val="20"/>
          <w:lang w:val="en-GB" w:eastAsia="en-US"/>
        </w:rPr>
        <w:tab/>
      </w:r>
      <w:r w:rsidR="0031254D" w:rsidRPr="005B0DFA">
        <w:rPr>
          <w:rFonts w:ascii="Arial" w:hAnsi="Arial" w:cs="Arial"/>
          <w:bCs/>
          <w:sz w:val="20"/>
          <w:lang w:val="en-GB" w:eastAsia="en-US"/>
        </w:rPr>
        <w:t>RAN2</w:t>
      </w:r>
      <w:r w:rsidR="002A57FD" w:rsidRPr="005B0DFA">
        <w:rPr>
          <w:rFonts w:ascii="Arial" w:hAnsi="Arial" w:cs="Arial"/>
          <w:bCs/>
          <w:sz w:val="20"/>
          <w:lang w:val="en-GB"/>
        </w:rPr>
        <w:t>,</w:t>
      </w:r>
      <w:r w:rsidR="005D3F5D" w:rsidRPr="005B0DFA">
        <w:rPr>
          <w:rFonts w:ascii="Arial" w:hAnsi="Arial" w:cs="Arial"/>
          <w:bCs/>
          <w:sz w:val="20"/>
          <w:lang w:val="en-GB"/>
        </w:rPr>
        <w:t xml:space="preserve"> </w:t>
      </w:r>
      <w:r w:rsidR="00D514EA" w:rsidRPr="005B0DFA">
        <w:rPr>
          <w:rFonts w:ascii="Arial" w:hAnsi="Arial" w:cs="Arial"/>
          <w:bCs/>
          <w:sz w:val="20"/>
          <w:lang w:val="en-GB" w:eastAsia="en-US"/>
        </w:rPr>
        <w:t>RAN3</w:t>
      </w:r>
    </w:p>
    <w:p w14:paraId="2615366B" w14:textId="110CD1D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Cc:</w:t>
      </w:r>
      <w:r w:rsidRPr="005B0DFA">
        <w:rPr>
          <w:rFonts w:ascii="Arial" w:hAnsi="Arial" w:cs="Arial"/>
          <w:bCs/>
          <w:sz w:val="20"/>
          <w:lang w:val="en-GB" w:eastAsia="en-US"/>
        </w:rPr>
        <w:tab/>
      </w:r>
      <w:r w:rsidR="005C32D0" w:rsidRPr="005B0DFA">
        <w:rPr>
          <w:rFonts w:ascii="Arial" w:hAnsi="Arial" w:cs="Arial"/>
          <w:bCs/>
          <w:sz w:val="20"/>
          <w:lang w:val="en-GB" w:eastAsia="en-US"/>
        </w:rPr>
        <w:t>TSG</w:t>
      </w:r>
      <w:r w:rsidR="0039560C">
        <w:rPr>
          <w:rFonts w:ascii="Arial" w:hAnsi="Arial" w:cs="Arial"/>
          <w:bCs/>
          <w:sz w:val="20"/>
          <w:lang w:val="en-GB" w:eastAsia="en-US"/>
        </w:rPr>
        <w:t xml:space="preserve"> </w:t>
      </w:r>
      <w:r w:rsidR="005C32D0" w:rsidRPr="005B0DFA">
        <w:rPr>
          <w:rFonts w:ascii="Arial" w:hAnsi="Arial" w:cs="Arial"/>
          <w:bCs/>
          <w:sz w:val="20"/>
          <w:lang w:val="en-GB" w:eastAsia="en-US"/>
        </w:rPr>
        <w:t>RAN</w:t>
      </w:r>
      <w:r w:rsidR="005D3F5D" w:rsidRPr="005B0DFA">
        <w:rPr>
          <w:rFonts w:ascii="Arial" w:hAnsi="Arial" w:cs="Arial"/>
          <w:bCs/>
          <w:sz w:val="20"/>
          <w:lang w:val="en-GB" w:eastAsia="en-US"/>
        </w:rPr>
        <w:t>, CT1</w:t>
      </w:r>
    </w:p>
    <w:p w14:paraId="16D570D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2F84EF3B"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Contact Person:</w:t>
      </w:r>
    </w:p>
    <w:p w14:paraId="26F748F4" w14:textId="2AADD5BD"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5B0DFA">
        <w:rPr>
          <w:rFonts w:ascii="Arial" w:hAnsi="Arial" w:cs="Arial"/>
          <w:b/>
          <w:sz w:val="20"/>
          <w:lang w:val="fi-FI" w:eastAsia="en-US"/>
        </w:rPr>
        <w:t>Name:</w:t>
      </w:r>
      <w:r w:rsidRPr="005B0DFA">
        <w:rPr>
          <w:rFonts w:ascii="Arial" w:hAnsi="Arial" w:cs="Arial"/>
          <w:bCs/>
          <w:sz w:val="20"/>
          <w:lang w:val="fi-FI" w:eastAsia="en-US"/>
        </w:rPr>
        <w:tab/>
      </w:r>
      <w:r w:rsidR="0031254D" w:rsidRPr="005B0DFA">
        <w:rPr>
          <w:rFonts w:ascii="Arial" w:hAnsi="Arial" w:cs="Arial"/>
          <w:bCs/>
          <w:sz w:val="20"/>
          <w:lang w:val="fi-FI" w:eastAsia="en-US"/>
        </w:rPr>
        <w:t>Chris Pudney</w:t>
      </w:r>
    </w:p>
    <w:p w14:paraId="77B6842A" w14:textId="183A8550"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5B0DFA">
        <w:rPr>
          <w:rFonts w:ascii="Arial" w:hAnsi="Arial" w:cs="Arial"/>
          <w:b/>
          <w:color w:val="0000FF"/>
          <w:sz w:val="20"/>
          <w:lang w:val="fi-FI" w:eastAsia="en-US"/>
        </w:rPr>
        <w:t>E-mail Address:</w:t>
      </w:r>
      <w:r w:rsidRPr="005B0DFA">
        <w:rPr>
          <w:rFonts w:ascii="Arial" w:hAnsi="Arial" w:cs="Arial"/>
          <w:bCs/>
          <w:color w:val="0000FF"/>
          <w:sz w:val="20"/>
          <w:lang w:val="fi-FI" w:eastAsia="en-US"/>
        </w:rPr>
        <w:tab/>
      </w:r>
      <w:r w:rsidR="0031254D" w:rsidRPr="005B0DFA">
        <w:rPr>
          <w:rFonts w:ascii="Arial" w:hAnsi="Arial" w:cs="Arial"/>
          <w:bCs/>
          <w:color w:val="0000FF"/>
          <w:sz w:val="20"/>
          <w:lang w:val="fi-FI" w:eastAsia="en-US"/>
        </w:rPr>
        <w:t>chris dot pudney at vodafone dot com</w:t>
      </w:r>
    </w:p>
    <w:p w14:paraId="2FF9430F"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6C56C286"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Send any reply LS to:</w:t>
      </w:r>
      <w:r w:rsidRPr="005B0DFA">
        <w:rPr>
          <w:rFonts w:ascii="Arial" w:hAnsi="Arial" w:cs="Arial"/>
          <w:b/>
          <w:sz w:val="20"/>
          <w:lang w:val="en-GB" w:eastAsia="en-US"/>
        </w:rPr>
        <w:tab/>
        <w:t xml:space="preserve">3GPP Liaisons Coordinator, </w:t>
      </w:r>
      <w:hyperlink r:id="rId8" w:history="1">
        <w:r w:rsidRPr="005B0DFA">
          <w:rPr>
            <w:rFonts w:ascii="Arial" w:hAnsi="Arial" w:cs="Arial"/>
            <w:b/>
            <w:color w:val="0000FF"/>
            <w:sz w:val="20"/>
            <w:u w:val="single"/>
            <w:lang w:val="en-GB" w:eastAsia="en-US"/>
          </w:rPr>
          <w:t>mailto:3GPPLiaison@etsi.org</w:t>
        </w:r>
      </w:hyperlink>
    </w:p>
    <w:p w14:paraId="58A23925"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Attachments:</w:t>
      </w:r>
    </w:p>
    <w:p w14:paraId="0E8E49F4" w14:textId="77777777" w:rsidR="00E544BB" w:rsidRPr="005B0DFA"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5B0DFA"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1. Overall Description:</w:t>
      </w:r>
    </w:p>
    <w:p w14:paraId="1245DDD8" w14:textId="3C1F5460" w:rsidR="0031254D" w:rsidRPr="005B0DFA"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SA2</w:t>
      </w:r>
      <w:r w:rsidR="00C40B64" w:rsidRPr="005B0DFA">
        <w:rPr>
          <w:rFonts w:ascii="Arial" w:hAnsi="Arial" w:cs="Arial"/>
          <w:color w:val="000000"/>
          <w:sz w:val="20"/>
          <w:lang w:val="en-GB" w:eastAsia="en-US"/>
        </w:rPr>
        <w:t xml:space="preserve"> thanks RAN2 for this LS and their earlier LS in </w:t>
      </w:r>
      <w:r w:rsidR="00124117" w:rsidRPr="005B0DFA">
        <w:rPr>
          <w:rFonts w:ascii="Arial" w:hAnsi="Arial" w:cs="Arial"/>
          <w:color w:val="000000"/>
          <w:sz w:val="20"/>
          <w:lang w:val="en-GB" w:eastAsia="en-US"/>
        </w:rPr>
        <w:t>R2-2501388=S2-2504576.</w:t>
      </w:r>
    </w:p>
    <w:p w14:paraId="0033226D" w14:textId="780A675B" w:rsidR="00124117" w:rsidRPr="005B0DFA"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In </w:t>
      </w:r>
      <w:r w:rsidR="0067279F" w:rsidRPr="005B0DFA">
        <w:rPr>
          <w:rFonts w:ascii="Arial" w:hAnsi="Arial" w:cs="Arial"/>
          <w:color w:val="000000"/>
          <w:sz w:val="20"/>
          <w:lang w:val="en-GB" w:eastAsia="en-US"/>
        </w:rPr>
        <w:t xml:space="preserve">the </w:t>
      </w:r>
      <w:r w:rsidRPr="005B0DFA">
        <w:rPr>
          <w:rFonts w:ascii="Arial" w:hAnsi="Arial" w:cs="Arial"/>
          <w:color w:val="000000"/>
          <w:sz w:val="20"/>
          <w:lang w:val="en-GB" w:eastAsia="en-US"/>
        </w:rPr>
        <w:t>latest LS</w:t>
      </w:r>
      <w:r w:rsidR="0067279F" w:rsidRPr="005B0DFA">
        <w:rPr>
          <w:rFonts w:ascii="Arial" w:hAnsi="Arial" w:cs="Arial"/>
          <w:color w:val="000000"/>
          <w:sz w:val="20"/>
          <w:lang w:val="en-GB" w:eastAsia="en-US"/>
        </w:rPr>
        <w:t xml:space="preserve">, </w:t>
      </w:r>
      <w:r w:rsidR="001402C5" w:rsidRPr="005B0DFA">
        <w:rPr>
          <w:rFonts w:ascii="Arial" w:hAnsi="Arial" w:cs="Arial"/>
          <w:color w:val="000000"/>
          <w:sz w:val="20"/>
          <w:lang w:val="en-GB" w:eastAsia="en-US"/>
        </w:rPr>
        <w:t xml:space="preserve">RAN 2 </w:t>
      </w:r>
      <w:r w:rsidR="0067279F" w:rsidRPr="005B0DFA">
        <w:rPr>
          <w:rFonts w:ascii="Arial" w:hAnsi="Arial" w:cs="Arial"/>
          <w:color w:val="000000"/>
          <w:sz w:val="20"/>
          <w:lang w:val="en-GB" w:eastAsia="en-US"/>
        </w:rPr>
        <w:t>state</w:t>
      </w:r>
      <w:r w:rsidR="00B564A3" w:rsidRPr="005B0DFA">
        <w:rPr>
          <w:rFonts w:ascii="Arial" w:hAnsi="Arial" w:cs="Arial"/>
          <w:color w:val="000000"/>
          <w:sz w:val="20"/>
          <w:lang w:val="en-GB" w:eastAsia="en-US"/>
        </w:rPr>
        <w:t xml:space="preserve"> that:</w:t>
      </w:r>
    </w:p>
    <w:p w14:paraId="68A47C0B" w14:textId="77777777" w:rsidR="00B564A3" w:rsidRPr="005B0DFA"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r w:rsidRPr="005B0DFA">
        <w:rPr>
          <w:rFonts w:ascii="Arial" w:hAnsi="Arial" w:cs="Arial"/>
          <w:i/>
          <w:iCs/>
          <w:color w:val="000000"/>
          <w:sz w:val="20"/>
          <w:lang w:val="en-GB"/>
        </w:rPr>
        <w:t>I</w:t>
      </w:r>
      <w:r w:rsidRPr="005B0DFA">
        <w:rPr>
          <w:rFonts w:ascii="Arial" w:hAnsi="Arial" w:cs="Arial"/>
          <w:i/>
          <w:iCs/>
          <w:color w:val="000000"/>
          <w:sz w:val="20"/>
          <w:lang w:val="en-GB" w:eastAsia="en-US"/>
        </w:rPr>
        <w:t>n particular for Rel-19 LP-WUS feature, if it is deployed, all the gNBs belonging to a certain area need to support the Rel-19 “container”.</w:t>
      </w:r>
    </w:p>
    <w:p w14:paraId="7D9C9116" w14:textId="15DAD876" w:rsidR="00B41677" w:rsidRPr="005B0DFA" w:rsidRDefault="00B41677" w:rsidP="00B41677">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The 5GS design means that </w:t>
      </w:r>
      <w:r w:rsidR="00C129E4" w:rsidRPr="005B0DFA">
        <w:rPr>
          <w:rFonts w:ascii="Arial" w:hAnsi="Arial" w:cs="Arial"/>
          <w:color w:val="000000"/>
          <w:sz w:val="20"/>
          <w:lang w:val="en-GB" w:eastAsia="en-US"/>
        </w:rPr>
        <w:t xml:space="preserve">the UE Radio Capability for Paging </w:t>
      </w:r>
      <w:r w:rsidR="00D36D16" w:rsidRPr="005B0DFA">
        <w:rPr>
          <w:rFonts w:ascii="Arial" w:hAnsi="Arial" w:cs="Arial"/>
          <w:color w:val="000000"/>
          <w:sz w:val="20"/>
          <w:lang w:val="en-GB" w:eastAsia="en-US"/>
        </w:rPr>
        <w:t>is loaded into the AMF</w:t>
      </w:r>
      <w:r w:rsidR="0047468C" w:rsidRPr="005B0DFA">
        <w:rPr>
          <w:rFonts w:ascii="Arial" w:hAnsi="Arial" w:cs="Arial"/>
          <w:color w:val="000000"/>
          <w:sz w:val="20"/>
          <w:lang w:val="en-GB" w:eastAsia="en-US"/>
        </w:rPr>
        <w:t xml:space="preserve"> only in the cell where the UE attaches (does “initial registration”) or first moves </w:t>
      </w:r>
      <w:r w:rsidR="00BB4737" w:rsidRPr="005B0DFA">
        <w:rPr>
          <w:rFonts w:ascii="Arial" w:hAnsi="Arial" w:cs="Arial"/>
          <w:color w:val="000000"/>
          <w:sz w:val="20"/>
          <w:lang w:val="en-GB" w:eastAsia="en-US"/>
        </w:rPr>
        <w:t>from LTE to NR. After that the UE can move throughout the whole PLMN</w:t>
      </w:r>
      <w:r w:rsidR="00A40506" w:rsidRPr="005B0DFA">
        <w:rPr>
          <w:rFonts w:ascii="Arial" w:hAnsi="Arial" w:cs="Arial"/>
          <w:color w:val="000000"/>
          <w:sz w:val="20"/>
          <w:lang w:val="en-GB" w:eastAsia="en-US"/>
        </w:rPr>
        <w:t xml:space="preserve"> and </w:t>
      </w:r>
      <w:r w:rsidR="006A7843" w:rsidRPr="005B0DFA">
        <w:rPr>
          <w:rFonts w:ascii="Arial" w:hAnsi="Arial" w:cs="Arial"/>
          <w:color w:val="000000"/>
          <w:sz w:val="20"/>
          <w:lang w:val="en-GB" w:eastAsia="en-US"/>
        </w:rPr>
        <w:t xml:space="preserve">normally there is no event that triggers any update of </w:t>
      </w:r>
      <w:r w:rsidR="00A40506" w:rsidRPr="005B0DFA">
        <w:rPr>
          <w:rFonts w:ascii="Arial" w:hAnsi="Arial" w:cs="Arial"/>
          <w:color w:val="000000"/>
          <w:sz w:val="20"/>
          <w:lang w:val="en-GB" w:eastAsia="en-US"/>
        </w:rPr>
        <w:t xml:space="preserve">the </w:t>
      </w:r>
      <w:r w:rsidR="00C67CDA" w:rsidRPr="005B0DFA">
        <w:rPr>
          <w:rFonts w:ascii="Arial" w:hAnsi="Arial" w:cs="Arial"/>
          <w:color w:val="000000"/>
          <w:sz w:val="20"/>
          <w:lang w:val="en-GB" w:eastAsia="en-US"/>
        </w:rPr>
        <w:t xml:space="preserve">UE Radio Capability for Paging </w:t>
      </w:r>
      <w:r w:rsidR="00A40506" w:rsidRPr="005B0DFA">
        <w:rPr>
          <w:rFonts w:ascii="Arial" w:hAnsi="Arial" w:cs="Arial"/>
          <w:color w:val="000000"/>
          <w:sz w:val="20"/>
          <w:lang w:val="en-GB" w:eastAsia="en-US"/>
        </w:rPr>
        <w:t>information st</w:t>
      </w:r>
      <w:r w:rsidR="00C67CDA" w:rsidRPr="005B0DFA">
        <w:rPr>
          <w:rFonts w:ascii="Arial" w:hAnsi="Arial" w:cs="Arial"/>
          <w:color w:val="000000"/>
          <w:sz w:val="20"/>
          <w:lang w:val="en-GB" w:eastAsia="en-US"/>
        </w:rPr>
        <w:t xml:space="preserve">ored in the AMF. Hence the </w:t>
      </w:r>
      <w:r w:rsidRPr="005B0DFA">
        <w:rPr>
          <w:rFonts w:ascii="Arial" w:hAnsi="Arial" w:cs="Arial"/>
          <w:color w:val="000000"/>
          <w:sz w:val="20"/>
          <w:lang w:val="en-GB" w:eastAsia="en-US"/>
        </w:rPr>
        <w:t>“certain area”</w:t>
      </w:r>
      <w:r w:rsidR="0047407E" w:rsidRPr="005B0DFA">
        <w:rPr>
          <w:rFonts w:ascii="Arial" w:hAnsi="Arial" w:cs="Arial"/>
          <w:color w:val="000000"/>
          <w:sz w:val="20"/>
          <w:lang w:val="en-GB" w:eastAsia="en-US"/>
        </w:rPr>
        <w:t xml:space="preserve"> mentioned by RAN 2 </w:t>
      </w:r>
      <w:r w:rsidRPr="005B0DFA">
        <w:rPr>
          <w:rFonts w:ascii="Arial" w:hAnsi="Arial" w:cs="Arial"/>
          <w:color w:val="000000"/>
          <w:sz w:val="20"/>
          <w:lang w:val="en-GB" w:eastAsia="en-US"/>
        </w:rPr>
        <w:t>is the whole NR coverage of that PLMN</w:t>
      </w:r>
      <w:r w:rsidR="00D23370" w:rsidRPr="005B0DFA">
        <w:rPr>
          <w:rFonts w:ascii="Arial" w:hAnsi="Arial" w:cs="Arial"/>
          <w:color w:val="000000"/>
          <w:sz w:val="20"/>
          <w:lang w:val="en-GB" w:eastAsia="en-US"/>
        </w:rPr>
        <w:t>.</w:t>
      </w:r>
    </w:p>
    <w:p w14:paraId="398059AF" w14:textId="30109C91" w:rsidR="00D96A75" w:rsidRPr="005B0DFA"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b/>
          <w:bCs/>
          <w:color w:val="000000"/>
          <w:sz w:val="20"/>
          <w:lang w:val="en-GB" w:eastAsia="en-US"/>
        </w:rPr>
      </w:pPr>
      <w:r w:rsidRPr="005B0DFA">
        <w:rPr>
          <w:rFonts w:ascii="Arial" w:hAnsi="Arial" w:cs="Arial"/>
          <w:b/>
          <w:bCs/>
          <w:color w:val="000000"/>
          <w:sz w:val="20"/>
          <w:lang w:val="en-GB" w:eastAsia="en-US"/>
        </w:rPr>
        <w:t xml:space="preserve">It is essential that </w:t>
      </w:r>
      <w:r w:rsidR="00B84233" w:rsidRPr="005B0DFA">
        <w:rPr>
          <w:rFonts w:ascii="Arial" w:hAnsi="Arial" w:cs="Arial"/>
          <w:b/>
          <w:bCs/>
          <w:color w:val="000000"/>
          <w:sz w:val="20"/>
          <w:lang w:val="en-GB" w:eastAsia="en-US"/>
        </w:rPr>
        <w:t>operators are able to use RAN equipment from different vendors and that comp</w:t>
      </w:r>
      <w:r w:rsidR="000A7B91" w:rsidRPr="005B0DFA">
        <w:rPr>
          <w:rFonts w:ascii="Arial" w:hAnsi="Arial" w:cs="Arial"/>
          <w:b/>
          <w:bCs/>
          <w:color w:val="000000"/>
          <w:sz w:val="20"/>
          <w:lang w:val="en-GB" w:eastAsia="en-US"/>
        </w:rPr>
        <w:t>etit</w:t>
      </w:r>
      <w:r w:rsidR="00B84233" w:rsidRPr="005B0DFA">
        <w:rPr>
          <w:rFonts w:ascii="Arial" w:hAnsi="Arial" w:cs="Arial"/>
          <w:b/>
          <w:bCs/>
          <w:color w:val="000000"/>
          <w:sz w:val="20"/>
          <w:lang w:val="en-GB" w:eastAsia="en-US"/>
        </w:rPr>
        <w:t>ion between those RAN vendors is n</w:t>
      </w:r>
      <w:r w:rsidR="00D96A75" w:rsidRPr="005B0DFA">
        <w:rPr>
          <w:rFonts w:ascii="Arial" w:hAnsi="Arial" w:cs="Arial"/>
          <w:b/>
          <w:bCs/>
          <w:color w:val="000000"/>
          <w:sz w:val="20"/>
          <w:lang w:val="en-GB" w:eastAsia="en-US"/>
        </w:rPr>
        <w:t xml:space="preserve">ot inhibited </w:t>
      </w:r>
      <w:r w:rsidR="00EA1C93" w:rsidRPr="005B0DFA">
        <w:rPr>
          <w:rFonts w:ascii="Arial" w:hAnsi="Arial" w:cs="Arial"/>
          <w:b/>
          <w:bCs/>
          <w:color w:val="000000"/>
          <w:sz w:val="20"/>
          <w:lang w:val="en-GB" w:eastAsia="en-US"/>
        </w:rPr>
        <w:t xml:space="preserve">by </w:t>
      </w:r>
      <w:r w:rsidR="00D96A75" w:rsidRPr="005B0DFA">
        <w:rPr>
          <w:rFonts w:ascii="Arial" w:hAnsi="Arial" w:cs="Arial"/>
          <w:b/>
          <w:bCs/>
          <w:color w:val="000000"/>
          <w:sz w:val="20"/>
          <w:lang w:val="en-GB" w:eastAsia="en-US"/>
        </w:rPr>
        <w:t xml:space="preserve">RAN 2 </w:t>
      </w:r>
      <w:r w:rsidR="00E16846" w:rsidRPr="005B0DFA">
        <w:rPr>
          <w:rFonts w:ascii="Arial" w:hAnsi="Arial" w:cs="Arial"/>
          <w:b/>
          <w:bCs/>
          <w:color w:val="000000"/>
          <w:sz w:val="20"/>
          <w:lang w:val="en-GB" w:eastAsia="en-US"/>
        </w:rPr>
        <w:t>requi</w:t>
      </w:r>
      <w:r w:rsidR="00652EDF" w:rsidRPr="005B0DFA">
        <w:rPr>
          <w:rFonts w:ascii="Arial" w:hAnsi="Arial" w:cs="Arial"/>
          <w:b/>
          <w:bCs/>
          <w:color w:val="000000"/>
          <w:sz w:val="20"/>
          <w:lang w:val="en-GB" w:eastAsia="en-US"/>
        </w:rPr>
        <w:t>ring</w:t>
      </w:r>
      <w:r w:rsidR="00E16846" w:rsidRPr="005B0DFA">
        <w:rPr>
          <w:rFonts w:ascii="Arial" w:hAnsi="Arial" w:cs="Arial"/>
          <w:b/>
          <w:bCs/>
          <w:color w:val="000000"/>
          <w:sz w:val="20"/>
          <w:lang w:val="en-GB" w:eastAsia="en-US"/>
        </w:rPr>
        <w:t xml:space="preserve"> all RAN vendors to upgrade </w:t>
      </w:r>
      <w:r w:rsidR="002E0D75" w:rsidRPr="005B0DFA">
        <w:rPr>
          <w:rFonts w:ascii="Arial" w:hAnsi="Arial" w:cs="Arial"/>
          <w:b/>
          <w:bCs/>
          <w:color w:val="000000"/>
          <w:sz w:val="20"/>
          <w:lang w:val="en-GB" w:eastAsia="en-US"/>
        </w:rPr>
        <w:t xml:space="preserve">their </w:t>
      </w:r>
      <w:r w:rsidR="00E16846" w:rsidRPr="005B0DFA">
        <w:rPr>
          <w:rFonts w:ascii="Arial" w:hAnsi="Arial" w:cs="Arial"/>
          <w:b/>
          <w:bCs/>
          <w:color w:val="000000"/>
          <w:sz w:val="20"/>
          <w:lang w:val="en-GB" w:eastAsia="en-US"/>
        </w:rPr>
        <w:t xml:space="preserve">equipment </w:t>
      </w:r>
      <w:r w:rsidR="00652EDF" w:rsidRPr="005B0DFA">
        <w:rPr>
          <w:rFonts w:ascii="Arial" w:hAnsi="Arial" w:cs="Arial"/>
          <w:b/>
          <w:bCs/>
          <w:color w:val="000000"/>
          <w:sz w:val="20"/>
          <w:lang w:val="en-GB" w:eastAsia="en-US"/>
        </w:rPr>
        <w:t>before new UE functionality can be used</w:t>
      </w:r>
      <w:r w:rsidR="002E0D75" w:rsidRPr="005B0DFA">
        <w:rPr>
          <w:rFonts w:ascii="Arial" w:hAnsi="Arial" w:cs="Arial"/>
          <w:b/>
          <w:bCs/>
          <w:color w:val="000000"/>
          <w:sz w:val="20"/>
          <w:lang w:val="en-GB" w:eastAsia="en-US"/>
        </w:rPr>
        <w:t xml:space="preserve"> with </w:t>
      </w:r>
      <w:r w:rsidR="00EA1C93" w:rsidRPr="005B0DFA">
        <w:rPr>
          <w:rFonts w:ascii="Arial" w:hAnsi="Arial" w:cs="Arial"/>
          <w:b/>
          <w:bCs/>
          <w:color w:val="000000"/>
          <w:sz w:val="20"/>
          <w:lang w:val="en-GB" w:eastAsia="en-US"/>
        </w:rPr>
        <w:t>the first</w:t>
      </w:r>
      <w:r w:rsidR="002E0D75" w:rsidRPr="005B0DFA">
        <w:rPr>
          <w:rFonts w:ascii="Arial" w:hAnsi="Arial" w:cs="Arial"/>
          <w:b/>
          <w:bCs/>
          <w:color w:val="000000"/>
          <w:sz w:val="20"/>
          <w:lang w:val="en-GB" w:eastAsia="en-US"/>
        </w:rPr>
        <w:t xml:space="preserve"> RAN vendor</w:t>
      </w:r>
      <w:r w:rsidR="00EA1C93" w:rsidRPr="005B0DFA">
        <w:rPr>
          <w:rFonts w:ascii="Arial" w:hAnsi="Arial" w:cs="Arial"/>
          <w:b/>
          <w:bCs/>
          <w:color w:val="000000"/>
          <w:sz w:val="20"/>
          <w:lang w:val="en-GB" w:eastAsia="en-US"/>
        </w:rPr>
        <w:t xml:space="preserve"> to develop a solution</w:t>
      </w:r>
      <w:r w:rsidR="00652EDF" w:rsidRPr="005B0DFA">
        <w:rPr>
          <w:rFonts w:ascii="Arial" w:hAnsi="Arial" w:cs="Arial"/>
          <w:b/>
          <w:bCs/>
          <w:color w:val="000000"/>
          <w:sz w:val="20"/>
          <w:lang w:val="en-GB" w:eastAsia="en-US"/>
        </w:rPr>
        <w:t>.</w:t>
      </w:r>
    </w:p>
    <w:p w14:paraId="215169D2" w14:textId="2460EEB4" w:rsidR="002476BB" w:rsidRPr="005B0DFA" w:rsidRDefault="002476BB" w:rsidP="002476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Hence th</w:t>
      </w:r>
      <w:r w:rsidR="008C0454" w:rsidRPr="005B0DFA">
        <w:rPr>
          <w:rFonts w:ascii="Arial" w:hAnsi="Arial" w:cs="Arial"/>
          <w:color w:val="000000"/>
          <w:sz w:val="20"/>
          <w:lang w:val="en-GB" w:eastAsia="en-US"/>
        </w:rPr>
        <w:t>is</w:t>
      </w:r>
      <w:r w:rsidRPr="005B0DFA">
        <w:rPr>
          <w:rFonts w:ascii="Arial" w:hAnsi="Arial" w:cs="Arial"/>
          <w:color w:val="000000"/>
          <w:sz w:val="20"/>
          <w:lang w:val="en-GB" w:eastAsia="en-US"/>
        </w:rPr>
        <w:t xml:space="preserve"> RAN2 solution is highly undesirable</w:t>
      </w:r>
      <w:r w:rsidR="00195A81" w:rsidRPr="005B0DFA">
        <w:rPr>
          <w:rFonts w:ascii="Arial" w:hAnsi="Arial" w:cs="Arial"/>
          <w:color w:val="000000"/>
          <w:sz w:val="20"/>
          <w:lang w:val="en-GB" w:eastAsia="en-US"/>
        </w:rPr>
        <w:t xml:space="preserve"> compared to </w:t>
      </w:r>
      <w:r w:rsidR="008C0454" w:rsidRPr="005B0DFA">
        <w:rPr>
          <w:rFonts w:ascii="Arial" w:hAnsi="Arial" w:cs="Arial"/>
          <w:color w:val="000000"/>
          <w:sz w:val="20"/>
          <w:lang w:val="en-GB" w:eastAsia="en-US"/>
        </w:rPr>
        <w:t>what was proposed in RAN2’s earlier LS in R2-2501388=S2-2504576</w:t>
      </w:r>
      <w:r w:rsidRPr="005B0DFA">
        <w:rPr>
          <w:rFonts w:ascii="Arial" w:hAnsi="Arial" w:cs="Arial"/>
          <w:color w:val="000000"/>
          <w:sz w:val="20"/>
          <w:lang w:val="en-GB" w:eastAsia="en-US"/>
        </w:rPr>
        <w:t>.</w:t>
      </w:r>
    </w:p>
    <w:p w14:paraId="4E59DFD6" w14:textId="65821EFF" w:rsidR="0073794A" w:rsidRPr="00FC73C7" w:rsidRDefault="002476BB"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lastRenderedPageBreak/>
        <w:t xml:space="preserve">SA2 are investigating whether </w:t>
      </w:r>
      <w:r w:rsidR="00BA21C2" w:rsidRPr="00FC73C7">
        <w:rPr>
          <w:rFonts w:ascii="Arial" w:hAnsi="Arial" w:cs="Arial"/>
          <w:color w:val="000000"/>
          <w:sz w:val="20"/>
          <w:lang w:val="en-GB" w:eastAsia="en-US"/>
        </w:rPr>
        <w:t xml:space="preserve">a solution that builds on the current process in </w:t>
      </w:r>
      <w:r w:rsidR="008E2E40" w:rsidRPr="00FC73C7">
        <w:rPr>
          <w:rFonts w:ascii="Arial" w:hAnsi="Arial" w:cs="Arial"/>
          <w:color w:val="000000"/>
          <w:sz w:val="20"/>
          <w:lang w:val="en-GB" w:eastAsia="en-US"/>
        </w:rPr>
        <w:t xml:space="preserve">TS 23.501 </w:t>
      </w:r>
      <w:r w:rsidR="00BA21C2" w:rsidRPr="00FC73C7">
        <w:rPr>
          <w:rFonts w:ascii="Arial" w:hAnsi="Arial" w:cs="Arial"/>
          <w:color w:val="000000"/>
          <w:sz w:val="20"/>
          <w:lang w:val="en-GB" w:eastAsia="en-US"/>
        </w:rPr>
        <w:t>clause 5.4.4.</w:t>
      </w:r>
      <w:r w:rsidR="001054BC" w:rsidRPr="00FC73C7">
        <w:rPr>
          <w:rFonts w:ascii="Arial" w:hAnsi="Arial" w:cs="Arial"/>
          <w:color w:val="000000"/>
          <w:sz w:val="20"/>
          <w:lang w:val="en-GB" w:eastAsia="en-US"/>
        </w:rPr>
        <w:t>3</w:t>
      </w:r>
      <w:r w:rsidR="0019735C" w:rsidRPr="00FC73C7">
        <w:rPr>
          <w:rFonts w:ascii="Arial" w:hAnsi="Arial" w:cs="Arial"/>
          <w:color w:val="000000"/>
          <w:sz w:val="20"/>
          <w:lang w:val="en-GB" w:eastAsia="en-US"/>
        </w:rPr>
        <w:t xml:space="preserve"> </w:t>
      </w:r>
      <w:r w:rsidR="00D41CC6" w:rsidRPr="00FC73C7">
        <w:rPr>
          <w:rFonts w:ascii="Arial" w:hAnsi="Arial" w:cs="Arial"/>
          <w:color w:val="000000"/>
          <w:sz w:val="20"/>
          <w:lang w:val="en-GB" w:eastAsia="en-US"/>
        </w:rPr>
        <w:t xml:space="preserve">for handling </w:t>
      </w:r>
      <w:r w:rsidR="0067304E" w:rsidRPr="00FC73C7">
        <w:rPr>
          <w:rFonts w:ascii="Arial" w:hAnsi="Arial" w:cs="Arial"/>
          <w:color w:val="000000"/>
          <w:sz w:val="20"/>
          <w:lang w:val="en-GB" w:eastAsia="en-US"/>
        </w:rPr>
        <w:t xml:space="preserve">UEs that support both </w:t>
      </w:r>
      <w:r w:rsidR="00D41CC6"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LTE connected to 5GC</w:t>
      </w:r>
      <w:r w:rsidR="00D41CC6" w:rsidRPr="00FC73C7">
        <w:rPr>
          <w:rFonts w:ascii="Arial" w:hAnsi="Arial" w:cs="Arial"/>
          <w:color w:val="000000"/>
          <w:sz w:val="20"/>
          <w:lang w:val="en-GB" w:eastAsia="en-US"/>
        </w:rPr>
        <w:t xml:space="preserve">” and NR </w:t>
      </w:r>
      <w:r w:rsidR="00BA21C2" w:rsidRPr="00FC73C7">
        <w:rPr>
          <w:rFonts w:ascii="Arial" w:hAnsi="Arial" w:cs="Arial"/>
          <w:color w:val="000000"/>
          <w:sz w:val="20"/>
          <w:lang w:val="en-GB" w:eastAsia="en-US"/>
        </w:rPr>
        <w:t>can be used</w:t>
      </w:r>
      <w:r w:rsidR="007C21E5" w:rsidRPr="00FC73C7">
        <w:rPr>
          <w:rFonts w:ascii="Arial" w:hAnsi="Arial" w:cs="Arial"/>
          <w:color w:val="000000"/>
          <w:sz w:val="20"/>
          <w:lang w:val="en-GB" w:eastAsia="en-US"/>
        </w:rPr>
        <w:t xml:space="preserve"> to solve the problem</w:t>
      </w:r>
      <w:r w:rsidR="0073794A"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 xml:space="preserve"> </w:t>
      </w:r>
    </w:p>
    <w:p w14:paraId="430DEF8E" w14:textId="3F2DFD70" w:rsidR="0019735C" w:rsidRPr="00FC73C7" w:rsidRDefault="00C066EC"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t>F</w:t>
      </w:r>
      <w:r w:rsidR="00A827EE" w:rsidRPr="00FC73C7">
        <w:rPr>
          <w:rFonts w:ascii="Arial" w:hAnsi="Arial" w:cs="Arial"/>
          <w:color w:val="000000"/>
          <w:sz w:val="20"/>
          <w:lang w:val="en-GB" w:eastAsia="en-US"/>
        </w:rPr>
        <w:t xml:space="preserve">or example, </w:t>
      </w:r>
      <w:r w:rsidR="00D3715F" w:rsidRPr="00FC73C7">
        <w:rPr>
          <w:rFonts w:ascii="Arial" w:hAnsi="Arial" w:cs="Arial"/>
          <w:color w:val="000000"/>
          <w:sz w:val="20"/>
          <w:lang w:val="en-GB" w:eastAsia="en-US"/>
        </w:rPr>
        <w:t xml:space="preserve">when (as already specified) the UE Radio Capability for Paging is </w:t>
      </w:r>
      <w:r w:rsidR="00262CF7" w:rsidRPr="00FC73C7">
        <w:rPr>
          <w:rFonts w:ascii="Arial" w:hAnsi="Arial" w:cs="Arial"/>
          <w:color w:val="000000"/>
          <w:sz w:val="20"/>
          <w:lang w:val="en-GB" w:eastAsia="en-US"/>
        </w:rPr>
        <w:t xml:space="preserve">sent </w:t>
      </w:r>
      <w:r w:rsidR="00D3715F" w:rsidRPr="00FC73C7">
        <w:rPr>
          <w:rFonts w:ascii="Arial" w:hAnsi="Arial" w:cs="Arial"/>
          <w:color w:val="000000"/>
          <w:sz w:val="20"/>
          <w:lang w:val="en-GB" w:eastAsia="en-US"/>
        </w:rPr>
        <w:t>in the NGAP Initial UE Context Setup Request</w:t>
      </w:r>
      <w:r w:rsidR="002B073A" w:rsidRPr="00FC73C7">
        <w:rPr>
          <w:rFonts w:ascii="Arial" w:hAnsi="Arial" w:cs="Arial"/>
          <w:color w:val="000000"/>
          <w:sz w:val="20"/>
          <w:lang w:val="en-GB" w:eastAsia="en-US"/>
        </w:rPr>
        <w:t xml:space="preserve"> </w:t>
      </w:r>
      <w:r w:rsidR="00D3715F" w:rsidRPr="00FC73C7">
        <w:rPr>
          <w:rFonts w:ascii="Arial" w:hAnsi="Arial" w:cs="Arial"/>
          <w:color w:val="000000"/>
          <w:sz w:val="20"/>
          <w:lang w:val="en-GB" w:eastAsia="en-US"/>
        </w:rPr>
        <w:t>to the gNB</w:t>
      </w:r>
      <w:r w:rsidR="00FE2471" w:rsidRPr="00FC73C7">
        <w:rPr>
          <w:rFonts w:ascii="Arial" w:hAnsi="Arial" w:cs="Arial"/>
          <w:color w:val="000000"/>
          <w:sz w:val="20"/>
          <w:lang w:val="en-GB" w:eastAsia="en-US"/>
        </w:rPr>
        <w:t>, the gNB could</w:t>
      </w:r>
      <w:r w:rsidR="0064392E" w:rsidRPr="00FC73C7">
        <w:rPr>
          <w:rFonts w:ascii="Arial" w:hAnsi="Arial" w:cs="Arial"/>
          <w:color w:val="000000"/>
          <w:sz w:val="20"/>
          <w:lang w:val="en-GB" w:eastAsia="en-US"/>
        </w:rPr>
        <w:t xml:space="preserve"> use the UE Radio Access Capabilities </w:t>
      </w:r>
      <w:r w:rsidRPr="00FC73C7">
        <w:rPr>
          <w:rFonts w:ascii="Arial" w:hAnsi="Arial" w:cs="Arial"/>
          <w:color w:val="000000"/>
          <w:sz w:val="20"/>
          <w:lang w:val="en-GB" w:eastAsia="en-US"/>
        </w:rPr>
        <w:t>(received in the same message)</w:t>
      </w:r>
      <w:r w:rsidR="00830D5D" w:rsidRPr="00FC73C7">
        <w:rPr>
          <w:rFonts w:ascii="Arial" w:hAnsi="Arial" w:cs="Arial"/>
          <w:color w:val="000000"/>
          <w:sz w:val="20"/>
          <w:lang w:val="en-GB" w:eastAsia="en-US"/>
        </w:rPr>
        <w:t xml:space="preserve"> </w:t>
      </w:r>
      <w:r w:rsidR="0064392E" w:rsidRPr="00FC73C7">
        <w:rPr>
          <w:rFonts w:ascii="Arial" w:hAnsi="Arial" w:cs="Arial"/>
          <w:color w:val="000000"/>
          <w:sz w:val="20"/>
          <w:lang w:val="en-GB" w:eastAsia="en-US"/>
        </w:rPr>
        <w:t xml:space="preserve">to check that the UE Radio Capability for Paging contains the </w:t>
      </w:r>
      <w:r w:rsidR="004D3DA6" w:rsidRPr="00FC73C7">
        <w:rPr>
          <w:rFonts w:ascii="Arial" w:hAnsi="Arial" w:cs="Arial"/>
          <w:color w:val="000000"/>
          <w:sz w:val="20"/>
          <w:lang w:val="en-GB" w:eastAsia="en-US"/>
        </w:rPr>
        <w:t xml:space="preserve">full </w:t>
      </w:r>
      <w:r w:rsidR="0064392E" w:rsidRPr="00FC73C7">
        <w:rPr>
          <w:rFonts w:ascii="Arial" w:hAnsi="Arial" w:cs="Arial"/>
          <w:color w:val="000000"/>
          <w:sz w:val="20"/>
          <w:lang w:val="en-GB" w:eastAsia="en-US"/>
        </w:rPr>
        <w:t>information</w:t>
      </w:r>
      <w:r w:rsidR="005C262E" w:rsidRPr="00FC73C7">
        <w:rPr>
          <w:rFonts w:ascii="Arial" w:hAnsi="Arial" w:cs="Arial"/>
          <w:color w:val="000000"/>
          <w:sz w:val="20"/>
          <w:lang w:val="en-GB" w:eastAsia="en-US"/>
        </w:rPr>
        <w:t xml:space="preserve"> on paging related features.</w:t>
      </w:r>
      <w:r w:rsidR="000F184E" w:rsidRPr="00FC73C7">
        <w:rPr>
          <w:rFonts w:ascii="Arial" w:hAnsi="Arial" w:cs="Arial"/>
          <w:sz w:val="20"/>
        </w:rPr>
        <w:t xml:space="preserve"> If the </w:t>
      </w:r>
      <w:r w:rsidR="002B073A" w:rsidRPr="00FC73C7">
        <w:rPr>
          <w:rFonts w:ascii="Arial" w:hAnsi="Arial" w:cs="Arial"/>
          <w:sz w:val="20"/>
        </w:rPr>
        <w:t>gNB</w:t>
      </w:r>
      <w:r w:rsidR="000F184E" w:rsidRPr="00FC73C7">
        <w:rPr>
          <w:rFonts w:ascii="Arial" w:hAnsi="Arial" w:cs="Arial"/>
          <w:sz w:val="20"/>
        </w:rPr>
        <w:t xml:space="preserve"> detects an omission, then the </w:t>
      </w:r>
      <w:r w:rsidR="002B073A" w:rsidRPr="00FC73C7">
        <w:rPr>
          <w:rFonts w:ascii="Arial" w:hAnsi="Arial" w:cs="Arial"/>
          <w:sz w:val="20"/>
        </w:rPr>
        <w:t>gNB</w:t>
      </w:r>
      <w:r w:rsidR="000F184E" w:rsidRPr="00FC73C7">
        <w:rPr>
          <w:rFonts w:ascii="Arial" w:hAnsi="Arial" w:cs="Arial"/>
          <w:sz w:val="20"/>
        </w:rPr>
        <w:t xml:space="preserve"> should ensure that an update of the UE Radio Capability for Paging Information is sent to the AMF</w:t>
      </w:r>
      <w:r w:rsidR="007A0902" w:rsidRPr="00FC73C7">
        <w:rPr>
          <w:rFonts w:ascii="Arial" w:hAnsi="Arial" w:cs="Arial"/>
          <w:sz w:val="20"/>
        </w:rPr>
        <w:t>.</w:t>
      </w:r>
    </w:p>
    <w:p w14:paraId="472EB7BA"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2. Actions:</w:t>
      </w:r>
    </w:p>
    <w:p w14:paraId="664B46C4" w14:textId="7C95DCD4" w:rsidR="00E544BB" w:rsidRPr="005B0DFA"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5B0DFA">
        <w:rPr>
          <w:rFonts w:ascii="Arial" w:hAnsi="Arial" w:cs="Arial"/>
          <w:b/>
          <w:sz w:val="20"/>
          <w:lang w:val="en-GB" w:eastAsia="en-US"/>
        </w:rPr>
        <w:t xml:space="preserve">To </w:t>
      </w:r>
      <w:r w:rsidR="006D392F" w:rsidRPr="005B0DFA">
        <w:rPr>
          <w:rFonts w:ascii="Arial" w:hAnsi="Arial" w:cs="Arial"/>
          <w:b/>
          <w:sz w:val="20"/>
          <w:lang w:val="en-GB" w:eastAsia="en-US"/>
        </w:rPr>
        <w:t xml:space="preserve">RAN3, </w:t>
      </w:r>
      <w:r w:rsidR="00D802E7" w:rsidRPr="005B0DFA">
        <w:rPr>
          <w:rFonts w:ascii="Arial" w:hAnsi="Arial" w:cs="Arial"/>
          <w:b/>
          <w:sz w:val="20"/>
          <w:lang w:val="en-GB" w:eastAsia="en-US"/>
        </w:rPr>
        <w:t>RAN</w:t>
      </w:r>
      <w:r w:rsidR="00106E46" w:rsidRPr="005B0DFA">
        <w:rPr>
          <w:rFonts w:ascii="Arial" w:hAnsi="Arial" w:cs="Arial"/>
          <w:b/>
          <w:sz w:val="20"/>
          <w:lang w:val="en-GB" w:eastAsia="en-US"/>
        </w:rPr>
        <w:t>2</w:t>
      </w:r>
    </w:p>
    <w:p w14:paraId="1668BB1E" w14:textId="7B150AB6" w:rsidR="002D0405" w:rsidRPr="005B0DFA"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sidRPr="005B0DFA">
        <w:rPr>
          <w:rFonts w:ascii="Arial" w:hAnsi="Arial" w:cs="Arial"/>
          <w:sz w:val="20"/>
          <w:lang w:val="en-GB" w:eastAsia="en-US"/>
        </w:rPr>
        <w:t xml:space="preserve">SA2 </w:t>
      </w:r>
      <w:r w:rsidR="00844975" w:rsidRPr="005B0DFA">
        <w:rPr>
          <w:rFonts w:ascii="Arial" w:hAnsi="Arial" w:cs="Arial"/>
          <w:sz w:val="20"/>
          <w:lang w:val="en-GB" w:eastAsia="en-US"/>
        </w:rPr>
        <w:t xml:space="preserve">asks </w:t>
      </w:r>
      <w:r w:rsidR="006D392F" w:rsidRPr="005B0DFA">
        <w:rPr>
          <w:rFonts w:ascii="Arial" w:hAnsi="Arial" w:cs="Arial"/>
          <w:sz w:val="20"/>
          <w:lang w:val="en-GB" w:eastAsia="en-US"/>
        </w:rPr>
        <w:t xml:space="preserve">RAN3 and </w:t>
      </w:r>
      <w:r w:rsidRPr="005B0DFA">
        <w:rPr>
          <w:rFonts w:ascii="Arial" w:hAnsi="Arial" w:cs="Arial"/>
          <w:sz w:val="20"/>
          <w:lang w:val="en-GB" w:eastAsia="en-US"/>
        </w:rPr>
        <w:t xml:space="preserve">RAN2 to </w:t>
      </w:r>
      <w:r w:rsidR="00C402CE" w:rsidRPr="005B0DFA">
        <w:rPr>
          <w:rFonts w:ascii="Arial" w:hAnsi="Arial" w:cs="Arial"/>
          <w:sz w:val="20"/>
          <w:lang w:val="en-GB" w:eastAsia="en-US"/>
        </w:rPr>
        <w:t xml:space="preserve">provide </w:t>
      </w:r>
      <w:r w:rsidR="00FE4584" w:rsidRPr="005B0DFA">
        <w:rPr>
          <w:rFonts w:ascii="Arial" w:hAnsi="Arial" w:cs="Arial"/>
          <w:sz w:val="20"/>
          <w:lang w:val="en-GB" w:eastAsia="en-US"/>
        </w:rPr>
        <w:t>views on the potential solution</w:t>
      </w:r>
      <w:r w:rsidR="001C13EA" w:rsidRPr="005B0DFA">
        <w:rPr>
          <w:rFonts w:ascii="Arial" w:hAnsi="Arial" w:cs="Arial"/>
          <w:sz w:val="20"/>
          <w:lang w:val="en-GB" w:eastAsia="en-US"/>
        </w:rPr>
        <w:t xml:space="preserve"> described above.</w:t>
      </w:r>
    </w:p>
    <w:p w14:paraId="5D4C8F8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FC73C7" w:rsidRDefault="00625529" w:rsidP="00625529">
      <w:pPr>
        <w:spacing w:after="120"/>
        <w:rPr>
          <w:rFonts w:ascii="Arial" w:hAnsi="Arial" w:cs="Arial"/>
          <w:b/>
          <w:sz w:val="20"/>
          <w:szCs w:val="18"/>
          <w:lang w:eastAsia="ja-JP"/>
        </w:rPr>
      </w:pPr>
      <w:r w:rsidRPr="00FC73C7">
        <w:rPr>
          <w:rFonts w:ascii="Arial" w:hAnsi="Arial" w:cs="Arial"/>
          <w:b/>
          <w:sz w:val="20"/>
          <w:szCs w:val="18"/>
          <w:lang w:eastAsia="ja-JP"/>
        </w:rPr>
        <w:t>3. Date of Next TSG SA2 Meetings:</w:t>
      </w:r>
    </w:p>
    <w:p w14:paraId="7047BDCD" w14:textId="54121021"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SA2#170</w:t>
      </w:r>
      <w:r w:rsidRPr="00FC73C7">
        <w:rPr>
          <w:rFonts w:ascii="Arial" w:hAnsi="Arial" w:cs="Arial"/>
          <w:sz w:val="20"/>
          <w:szCs w:val="18"/>
          <w:lang w:val="sv-SE"/>
        </w:rPr>
        <w:tab/>
      </w:r>
      <w:r w:rsidR="00FC73C7" w:rsidRPr="00FC73C7">
        <w:rPr>
          <w:rFonts w:ascii="Arial" w:hAnsi="Arial" w:cs="Arial"/>
          <w:sz w:val="20"/>
          <w:szCs w:val="18"/>
          <w:lang w:val="sv-SE"/>
        </w:rPr>
        <w:tab/>
      </w:r>
      <w:r w:rsidRPr="00FC73C7">
        <w:rPr>
          <w:rFonts w:ascii="Arial" w:hAnsi="Arial" w:cs="Arial"/>
          <w:sz w:val="20"/>
          <w:szCs w:val="18"/>
          <w:lang w:val="sv-SE"/>
        </w:rPr>
        <w:t xml:space="preserve">25-29 August 2025 </w:t>
      </w:r>
      <w:r w:rsidRPr="00FC73C7">
        <w:rPr>
          <w:rFonts w:ascii="Arial" w:hAnsi="Arial" w:cs="Arial"/>
          <w:sz w:val="20"/>
          <w:szCs w:val="18"/>
          <w:lang w:val="sv-SE"/>
        </w:rPr>
        <w:tab/>
        <w:t>Goteborg, SE</w:t>
      </w:r>
    </w:p>
    <w:p w14:paraId="0B494308" w14:textId="5401B0BB"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SA2#171</w:t>
      </w:r>
      <w:r w:rsidR="009C2EC0" w:rsidRPr="00FC73C7">
        <w:rPr>
          <w:rFonts w:ascii="Arial" w:hAnsi="Arial" w:cs="Arial"/>
          <w:sz w:val="20"/>
          <w:szCs w:val="18"/>
          <w:lang w:val="sv-SE"/>
        </w:rPr>
        <w:tab/>
      </w:r>
      <w:r w:rsidR="00FC73C7">
        <w:rPr>
          <w:rFonts w:ascii="Arial" w:hAnsi="Arial" w:cs="Arial"/>
          <w:sz w:val="20"/>
          <w:szCs w:val="18"/>
          <w:lang w:val="sv-SE"/>
        </w:rPr>
        <w:tab/>
      </w:r>
      <w:r w:rsidRPr="00FC73C7">
        <w:rPr>
          <w:rFonts w:ascii="Arial" w:hAnsi="Arial" w:cs="Arial"/>
          <w:sz w:val="20"/>
          <w:szCs w:val="18"/>
          <w:lang w:val="sv-SE"/>
        </w:rPr>
        <w:t>13-17 October 2025</w:t>
      </w:r>
      <w:r w:rsidRPr="00FC73C7">
        <w:rPr>
          <w:rFonts w:ascii="Arial" w:hAnsi="Arial" w:cs="Arial"/>
          <w:sz w:val="20"/>
          <w:szCs w:val="18"/>
          <w:lang w:val="sv-SE"/>
        </w:rPr>
        <w:tab/>
      </w:r>
      <w:r w:rsidR="0070635E" w:rsidRPr="00FC73C7">
        <w:rPr>
          <w:rFonts w:ascii="Arial" w:hAnsi="Arial" w:cs="Arial"/>
          <w:sz w:val="20"/>
          <w:szCs w:val="18"/>
          <w:lang w:val="sv-SE"/>
        </w:rPr>
        <w:t>Wuhan</w:t>
      </w:r>
      <w:r w:rsidRPr="00FC73C7">
        <w:rPr>
          <w:rFonts w:ascii="Arial" w:hAnsi="Arial" w:cs="Arial"/>
          <w:sz w:val="20"/>
          <w:szCs w:val="18"/>
          <w:lang w:val="sv-SE"/>
        </w:rPr>
        <w:t>, CN</w:t>
      </w:r>
    </w:p>
    <w:p w14:paraId="29E379E6" w14:textId="78F32D2D" w:rsidR="00E544BB" w:rsidRPr="00D514EA" w:rsidRDefault="00E544BB" w:rsidP="00625529">
      <w:pPr>
        <w:overflowPunct/>
        <w:autoSpaceDE/>
        <w:autoSpaceDN/>
        <w:adjustRightInd/>
        <w:spacing w:after="120" w:line="240" w:lineRule="auto"/>
        <w:jc w:val="left"/>
        <w:textAlignment w:val="auto"/>
        <w:rPr>
          <w:rFonts w:ascii="Arial" w:eastAsiaTheme="minorEastAsia" w:hAnsi="Arial" w:cs="Arial"/>
          <w:bCs/>
          <w:sz w:val="20"/>
          <w:lang w:val="sv-SE"/>
        </w:rPr>
      </w:pPr>
    </w:p>
    <w:sectPr w:rsidR="00E544BB" w:rsidRPr="00D514EA" w:rsidSect="0083240D">
      <w:headerReference w:type="even" r:id="rId9"/>
      <w:footerReference w:type="even" r:id="rId10"/>
      <w:footerReference w:type="default"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FBBB" w14:textId="77777777" w:rsidR="00AB0DEA" w:rsidRDefault="00AB0DEA">
      <w:r>
        <w:separator/>
      </w:r>
    </w:p>
  </w:endnote>
  <w:endnote w:type="continuationSeparator" w:id="0">
    <w:p w14:paraId="475A43E6" w14:textId="77777777" w:rsidR="00AB0DEA" w:rsidRDefault="00AB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4190" w14:textId="2177EA24" w:rsidR="00F33FAA" w:rsidRDefault="00F3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2B462" w14:textId="77777777" w:rsidR="00AB0DEA" w:rsidRDefault="00AB0DEA">
      <w:r>
        <w:separator/>
      </w:r>
    </w:p>
  </w:footnote>
  <w:footnote w:type="continuationSeparator" w:id="0">
    <w:p w14:paraId="54D25A72" w14:textId="77777777" w:rsidR="00AB0DEA" w:rsidRDefault="00AB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47E"/>
    <w:rsid w:val="00051B01"/>
    <w:rsid w:val="0005224C"/>
    <w:rsid w:val="000524E5"/>
    <w:rsid w:val="000550AB"/>
    <w:rsid w:val="000558A2"/>
    <w:rsid w:val="00060F74"/>
    <w:rsid w:val="00062CF6"/>
    <w:rsid w:val="000659A1"/>
    <w:rsid w:val="0006651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514"/>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1253"/>
    <w:rsid w:val="000F184E"/>
    <w:rsid w:val="000F3B93"/>
    <w:rsid w:val="000F4DF1"/>
    <w:rsid w:val="000F5798"/>
    <w:rsid w:val="000F6018"/>
    <w:rsid w:val="00100036"/>
    <w:rsid w:val="00103D7D"/>
    <w:rsid w:val="001054BC"/>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30F9"/>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A81"/>
    <w:rsid w:val="00196100"/>
    <w:rsid w:val="0019735C"/>
    <w:rsid w:val="00197B1E"/>
    <w:rsid w:val="001A0316"/>
    <w:rsid w:val="001A20BA"/>
    <w:rsid w:val="001A32A7"/>
    <w:rsid w:val="001A3A13"/>
    <w:rsid w:val="001A4E84"/>
    <w:rsid w:val="001A7DA2"/>
    <w:rsid w:val="001B0500"/>
    <w:rsid w:val="001B170A"/>
    <w:rsid w:val="001B3EAC"/>
    <w:rsid w:val="001B7A5F"/>
    <w:rsid w:val="001B7C27"/>
    <w:rsid w:val="001C13EA"/>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36E1"/>
    <w:rsid w:val="00215D5E"/>
    <w:rsid w:val="002172ED"/>
    <w:rsid w:val="00217C1D"/>
    <w:rsid w:val="00221BD7"/>
    <w:rsid w:val="00224086"/>
    <w:rsid w:val="0022475D"/>
    <w:rsid w:val="0022514C"/>
    <w:rsid w:val="00231FB1"/>
    <w:rsid w:val="00232797"/>
    <w:rsid w:val="00234C68"/>
    <w:rsid w:val="002357EF"/>
    <w:rsid w:val="00237757"/>
    <w:rsid w:val="00240067"/>
    <w:rsid w:val="00241C29"/>
    <w:rsid w:val="00242B78"/>
    <w:rsid w:val="00243704"/>
    <w:rsid w:val="00245CB0"/>
    <w:rsid w:val="002476BB"/>
    <w:rsid w:val="002477AE"/>
    <w:rsid w:val="0025286A"/>
    <w:rsid w:val="0025480B"/>
    <w:rsid w:val="00254824"/>
    <w:rsid w:val="00254906"/>
    <w:rsid w:val="002603AD"/>
    <w:rsid w:val="00260E5B"/>
    <w:rsid w:val="0026204F"/>
    <w:rsid w:val="00262CF7"/>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073A"/>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28D8"/>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3A27"/>
    <w:rsid w:val="0032756A"/>
    <w:rsid w:val="00327FBA"/>
    <w:rsid w:val="003309AB"/>
    <w:rsid w:val="003310E0"/>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354A"/>
    <w:rsid w:val="0039560C"/>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07B0B"/>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07E"/>
    <w:rsid w:val="0047468C"/>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0A59"/>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A1"/>
    <w:rsid w:val="004C41D5"/>
    <w:rsid w:val="004C6AE0"/>
    <w:rsid w:val="004C79E8"/>
    <w:rsid w:val="004D3DA6"/>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3619"/>
    <w:rsid w:val="00534BB0"/>
    <w:rsid w:val="00543255"/>
    <w:rsid w:val="00545080"/>
    <w:rsid w:val="00546B1A"/>
    <w:rsid w:val="0054715C"/>
    <w:rsid w:val="00547C99"/>
    <w:rsid w:val="00547F66"/>
    <w:rsid w:val="0055050A"/>
    <w:rsid w:val="00550FD7"/>
    <w:rsid w:val="00552A71"/>
    <w:rsid w:val="00554818"/>
    <w:rsid w:val="005548E4"/>
    <w:rsid w:val="00554943"/>
    <w:rsid w:val="00561625"/>
    <w:rsid w:val="00561F90"/>
    <w:rsid w:val="005631F6"/>
    <w:rsid w:val="00563972"/>
    <w:rsid w:val="005654A7"/>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4A"/>
    <w:rsid w:val="005976B8"/>
    <w:rsid w:val="0059798E"/>
    <w:rsid w:val="005A092E"/>
    <w:rsid w:val="005A1E84"/>
    <w:rsid w:val="005A2C0F"/>
    <w:rsid w:val="005A3574"/>
    <w:rsid w:val="005A3EFF"/>
    <w:rsid w:val="005A3F43"/>
    <w:rsid w:val="005A7FE3"/>
    <w:rsid w:val="005B0DFA"/>
    <w:rsid w:val="005B27F4"/>
    <w:rsid w:val="005B2936"/>
    <w:rsid w:val="005B2C18"/>
    <w:rsid w:val="005B36D9"/>
    <w:rsid w:val="005B56F6"/>
    <w:rsid w:val="005B7D6F"/>
    <w:rsid w:val="005C23EE"/>
    <w:rsid w:val="005C2470"/>
    <w:rsid w:val="005C262E"/>
    <w:rsid w:val="005C2708"/>
    <w:rsid w:val="005C32D0"/>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1421"/>
    <w:rsid w:val="00633CD6"/>
    <w:rsid w:val="00634265"/>
    <w:rsid w:val="006351EE"/>
    <w:rsid w:val="00635DB3"/>
    <w:rsid w:val="00637444"/>
    <w:rsid w:val="006374BD"/>
    <w:rsid w:val="00637DCB"/>
    <w:rsid w:val="00641776"/>
    <w:rsid w:val="0064392E"/>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04E"/>
    <w:rsid w:val="00673F1E"/>
    <w:rsid w:val="00674057"/>
    <w:rsid w:val="00676E6E"/>
    <w:rsid w:val="0068024C"/>
    <w:rsid w:val="006812F3"/>
    <w:rsid w:val="00681CB8"/>
    <w:rsid w:val="00683120"/>
    <w:rsid w:val="0068486C"/>
    <w:rsid w:val="006849B5"/>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843"/>
    <w:rsid w:val="006A7EFB"/>
    <w:rsid w:val="006B0838"/>
    <w:rsid w:val="006B0EC9"/>
    <w:rsid w:val="006B10F0"/>
    <w:rsid w:val="006B1CCE"/>
    <w:rsid w:val="006B4EBA"/>
    <w:rsid w:val="006B5149"/>
    <w:rsid w:val="006B5FC4"/>
    <w:rsid w:val="006C1FDF"/>
    <w:rsid w:val="006C374B"/>
    <w:rsid w:val="006C421D"/>
    <w:rsid w:val="006C64B6"/>
    <w:rsid w:val="006C7590"/>
    <w:rsid w:val="006D2EAC"/>
    <w:rsid w:val="006D392F"/>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315"/>
    <w:rsid w:val="006F4647"/>
    <w:rsid w:val="006F519F"/>
    <w:rsid w:val="006F5B5F"/>
    <w:rsid w:val="006F79A9"/>
    <w:rsid w:val="00700881"/>
    <w:rsid w:val="007013FA"/>
    <w:rsid w:val="00701A91"/>
    <w:rsid w:val="00702873"/>
    <w:rsid w:val="007054E1"/>
    <w:rsid w:val="00705ECF"/>
    <w:rsid w:val="0070635E"/>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3794A"/>
    <w:rsid w:val="007379BE"/>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0902"/>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1E5"/>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107B"/>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0D5D"/>
    <w:rsid w:val="0083240D"/>
    <w:rsid w:val="00832CFF"/>
    <w:rsid w:val="00833F3F"/>
    <w:rsid w:val="00834CF2"/>
    <w:rsid w:val="008377E5"/>
    <w:rsid w:val="008402FD"/>
    <w:rsid w:val="00842AD5"/>
    <w:rsid w:val="008439C6"/>
    <w:rsid w:val="00844975"/>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0454"/>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2E40"/>
    <w:rsid w:val="008E3EC9"/>
    <w:rsid w:val="008E5A4B"/>
    <w:rsid w:val="008E7432"/>
    <w:rsid w:val="008F091E"/>
    <w:rsid w:val="008F4ADE"/>
    <w:rsid w:val="008F5138"/>
    <w:rsid w:val="008F580B"/>
    <w:rsid w:val="00903131"/>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C2EC0"/>
    <w:rsid w:val="009C462C"/>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06B7B"/>
    <w:rsid w:val="00A11C7E"/>
    <w:rsid w:val="00A13EC3"/>
    <w:rsid w:val="00A14551"/>
    <w:rsid w:val="00A14C4B"/>
    <w:rsid w:val="00A173B3"/>
    <w:rsid w:val="00A22016"/>
    <w:rsid w:val="00A23752"/>
    <w:rsid w:val="00A240C8"/>
    <w:rsid w:val="00A259A4"/>
    <w:rsid w:val="00A31C2A"/>
    <w:rsid w:val="00A32A72"/>
    <w:rsid w:val="00A32EC5"/>
    <w:rsid w:val="00A37FCC"/>
    <w:rsid w:val="00A40506"/>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2163"/>
    <w:rsid w:val="00A73138"/>
    <w:rsid w:val="00A731C0"/>
    <w:rsid w:val="00A733DC"/>
    <w:rsid w:val="00A74207"/>
    <w:rsid w:val="00A75A43"/>
    <w:rsid w:val="00A7737E"/>
    <w:rsid w:val="00A779CB"/>
    <w:rsid w:val="00A80525"/>
    <w:rsid w:val="00A827EE"/>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0DEA"/>
    <w:rsid w:val="00AB13EC"/>
    <w:rsid w:val="00AB6319"/>
    <w:rsid w:val="00AC05E3"/>
    <w:rsid w:val="00AC4FAC"/>
    <w:rsid w:val="00AC5C6A"/>
    <w:rsid w:val="00AC69D7"/>
    <w:rsid w:val="00AC6DDE"/>
    <w:rsid w:val="00AD1446"/>
    <w:rsid w:val="00AD1D41"/>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45B"/>
    <w:rsid w:val="00B32529"/>
    <w:rsid w:val="00B34770"/>
    <w:rsid w:val="00B34792"/>
    <w:rsid w:val="00B36A6C"/>
    <w:rsid w:val="00B371E3"/>
    <w:rsid w:val="00B37293"/>
    <w:rsid w:val="00B405A4"/>
    <w:rsid w:val="00B41677"/>
    <w:rsid w:val="00B44871"/>
    <w:rsid w:val="00B45A18"/>
    <w:rsid w:val="00B470BF"/>
    <w:rsid w:val="00B500D0"/>
    <w:rsid w:val="00B5104A"/>
    <w:rsid w:val="00B523E7"/>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1C2"/>
    <w:rsid w:val="00BA28B7"/>
    <w:rsid w:val="00BA30BC"/>
    <w:rsid w:val="00BA3202"/>
    <w:rsid w:val="00BA32B0"/>
    <w:rsid w:val="00BA3EFB"/>
    <w:rsid w:val="00BA4B6E"/>
    <w:rsid w:val="00BA582C"/>
    <w:rsid w:val="00BA6A03"/>
    <w:rsid w:val="00BB1C1E"/>
    <w:rsid w:val="00BB36FC"/>
    <w:rsid w:val="00BB4737"/>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5FC4"/>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066EC"/>
    <w:rsid w:val="00C101D0"/>
    <w:rsid w:val="00C11F43"/>
    <w:rsid w:val="00C126FB"/>
    <w:rsid w:val="00C129E4"/>
    <w:rsid w:val="00C1425E"/>
    <w:rsid w:val="00C16D8A"/>
    <w:rsid w:val="00C17D6D"/>
    <w:rsid w:val="00C20DE5"/>
    <w:rsid w:val="00C21CD2"/>
    <w:rsid w:val="00C23B2D"/>
    <w:rsid w:val="00C23E24"/>
    <w:rsid w:val="00C26206"/>
    <w:rsid w:val="00C26581"/>
    <w:rsid w:val="00C30424"/>
    <w:rsid w:val="00C34124"/>
    <w:rsid w:val="00C35868"/>
    <w:rsid w:val="00C35F81"/>
    <w:rsid w:val="00C402CE"/>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1B6E"/>
    <w:rsid w:val="00C6286F"/>
    <w:rsid w:val="00C6412A"/>
    <w:rsid w:val="00C67CD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CF7E7E"/>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3370"/>
    <w:rsid w:val="00D261BE"/>
    <w:rsid w:val="00D27DE8"/>
    <w:rsid w:val="00D31B5F"/>
    <w:rsid w:val="00D3268F"/>
    <w:rsid w:val="00D3283B"/>
    <w:rsid w:val="00D33BA1"/>
    <w:rsid w:val="00D35334"/>
    <w:rsid w:val="00D35FB9"/>
    <w:rsid w:val="00D36D16"/>
    <w:rsid w:val="00D3715F"/>
    <w:rsid w:val="00D41338"/>
    <w:rsid w:val="00D41A4A"/>
    <w:rsid w:val="00D41CC6"/>
    <w:rsid w:val="00D429F7"/>
    <w:rsid w:val="00D431F2"/>
    <w:rsid w:val="00D451B5"/>
    <w:rsid w:val="00D46A40"/>
    <w:rsid w:val="00D475A0"/>
    <w:rsid w:val="00D50C2E"/>
    <w:rsid w:val="00D514EA"/>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59B"/>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256"/>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5D5"/>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C73C7"/>
    <w:rsid w:val="00FD0648"/>
    <w:rsid w:val="00FD3934"/>
    <w:rsid w:val="00FD4628"/>
    <w:rsid w:val="00FD50F6"/>
    <w:rsid w:val="00FD52B5"/>
    <w:rsid w:val="00FD534E"/>
    <w:rsid w:val="00FD5380"/>
    <w:rsid w:val="00FD667B"/>
    <w:rsid w:val="00FD7333"/>
    <w:rsid w:val="00FE015E"/>
    <w:rsid w:val="00FE0405"/>
    <w:rsid w:val="00FE2471"/>
    <w:rsid w:val="00FE3BEC"/>
    <w:rsid w:val="00FE4584"/>
    <w:rsid w:val="00FE5914"/>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模板.dotx</Template>
  <TotalTime>1</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JK</cp:lastModifiedBy>
  <cp:revision>4</cp:revision>
  <dcterms:created xsi:type="dcterms:W3CDTF">2025-05-24T05:24:00Z</dcterms:created>
  <dcterms:modified xsi:type="dcterms:W3CDTF">2025-05-24T21:18:00Z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