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10AE8517" w:rsidR="00507906" w:rsidRPr="00783D2E" w:rsidRDefault="00507906" w:rsidP="00507906">
      <w:pPr>
        <w:keepLines/>
        <w:tabs>
          <w:tab w:val="left" w:pos="567"/>
        </w:tabs>
        <w:snapToGrid w:val="0"/>
        <w:spacing w:after="0"/>
        <w:rPr>
          <w:rFonts w:eastAsia="MS Mincho" w:cs="Arial"/>
          <w:b/>
          <w:sz w:val="28"/>
          <w:szCs w:val="28"/>
        </w:rPr>
      </w:pPr>
      <w:r w:rsidRPr="00783D2E">
        <w:rPr>
          <w:rFonts w:cs="Arial"/>
          <w:b/>
          <w:sz w:val="28"/>
          <w:szCs w:val="28"/>
        </w:rPr>
        <w:t>3GPP TSG RAN Meeting #108</w:t>
      </w:r>
      <w:r w:rsidRPr="00783D2E">
        <w:rPr>
          <w:rFonts w:cs="Arial"/>
          <w:b/>
          <w:sz w:val="28"/>
          <w:szCs w:val="28"/>
        </w:rPr>
        <w:tab/>
      </w:r>
      <w:r w:rsidRPr="00783D2E">
        <w:rPr>
          <w:rFonts w:eastAsia="MS Mincho" w:cs="Arial"/>
          <w:b/>
          <w:sz w:val="28"/>
          <w:szCs w:val="28"/>
        </w:rPr>
        <w:tab/>
      </w:r>
      <w:r w:rsidRPr="00783D2E">
        <w:rPr>
          <w:rFonts w:eastAsia="MS Mincho" w:cs="Arial" w:hint="eastAsia"/>
          <w:b/>
          <w:sz w:val="28"/>
          <w:szCs w:val="28"/>
        </w:rPr>
        <w:tab/>
      </w:r>
      <w:r w:rsidRPr="00783D2E">
        <w:rPr>
          <w:rFonts w:eastAsia="MS Mincho" w:cs="Arial"/>
          <w:b/>
          <w:sz w:val="28"/>
          <w:szCs w:val="28"/>
        </w:rPr>
        <w:tab/>
      </w:r>
      <w:r w:rsidRPr="00783D2E">
        <w:rPr>
          <w:rFonts w:eastAsia="MS Mincho" w:cs="Arial" w:hint="eastAsia"/>
          <w:b/>
          <w:sz w:val="28"/>
          <w:szCs w:val="28"/>
        </w:rPr>
        <w:tab/>
      </w:r>
      <w:r w:rsidRPr="00783D2E">
        <w:rPr>
          <w:rFonts w:cs="Arial"/>
          <w:b/>
          <w:sz w:val="28"/>
          <w:szCs w:val="28"/>
        </w:rPr>
        <w:t>RP-25</w:t>
      </w:r>
      <w:r w:rsidR="000D22FC">
        <w:rPr>
          <w:rFonts w:cs="Arial"/>
          <w:b/>
          <w:sz w:val="28"/>
          <w:szCs w:val="28"/>
        </w:rPr>
        <w:t>1</w:t>
      </w:r>
      <w:r w:rsidR="00D278E9">
        <w:rPr>
          <w:rFonts w:cs="Arial"/>
          <w:b/>
          <w:sz w:val="28"/>
          <w:szCs w:val="28"/>
        </w:rPr>
        <w:t>1</w:t>
      </w:r>
      <w:r w:rsidR="00EF7108">
        <w:rPr>
          <w:rFonts w:cs="Arial"/>
          <w:b/>
          <w:sz w:val="28"/>
          <w:szCs w:val="28"/>
        </w:rPr>
        <w:t>26</w:t>
      </w:r>
    </w:p>
    <w:p w14:paraId="26A9CD52" w14:textId="77777777" w:rsidR="00507906" w:rsidRPr="00783D2E" w:rsidRDefault="00507906" w:rsidP="00507906">
      <w:pPr>
        <w:keepLines/>
        <w:tabs>
          <w:tab w:val="left" w:pos="567"/>
        </w:tabs>
        <w:rPr>
          <w:rFonts w:cs="Arial"/>
          <w:b/>
          <w:sz w:val="28"/>
          <w:szCs w:val="28"/>
        </w:rPr>
      </w:pPr>
      <w:r w:rsidRPr="00783D2E">
        <w:rPr>
          <w:rFonts w:cs="Arial"/>
          <w:b/>
          <w:sz w:val="28"/>
          <w:szCs w:val="28"/>
        </w:rPr>
        <w:t>Prague, Czech Republic, June 9-13, 2025</w:t>
      </w:r>
    </w:p>
    <w:p w14:paraId="41ED9A00" w14:textId="77777777" w:rsidR="006F0FFF" w:rsidRPr="00783D2E" w:rsidRDefault="006F0FFF" w:rsidP="006F0FFF">
      <w:pPr>
        <w:pStyle w:val="3GPPheader"/>
      </w:pPr>
    </w:p>
    <w:p w14:paraId="5339C326" w14:textId="0ED67341" w:rsidR="006F0FFF" w:rsidRPr="00783D2E" w:rsidRDefault="006F0FFF" w:rsidP="006F0FFF">
      <w:pPr>
        <w:pStyle w:val="3GPPheader"/>
      </w:pPr>
      <w:r w:rsidRPr="00783D2E">
        <w:t>Agenda Item:</w:t>
      </w:r>
      <w:r w:rsidRPr="00783D2E">
        <w:tab/>
      </w:r>
      <w:r w:rsidR="00CF0500" w:rsidRPr="00783D2E">
        <w:t>16.1</w:t>
      </w:r>
    </w:p>
    <w:p w14:paraId="6A0057C7" w14:textId="3ED7FFC2" w:rsidR="006F0FFF" w:rsidRPr="00783D2E" w:rsidRDefault="006F0FFF" w:rsidP="006F0FFF">
      <w:pPr>
        <w:pStyle w:val="3GPPheader"/>
      </w:pPr>
      <w:r w:rsidRPr="00783D2E">
        <w:t>Source:</w:t>
      </w:r>
      <w:r w:rsidRPr="00783D2E">
        <w:tab/>
      </w:r>
      <w:r w:rsidR="00873621">
        <w:t>T-Mobile USA</w:t>
      </w:r>
    </w:p>
    <w:p w14:paraId="2A34585E" w14:textId="4DA5F6B7" w:rsidR="006F0FFF" w:rsidRPr="00783D2E" w:rsidRDefault="006F0FFF" w:rsidP="006F0FFF">
      <w:pPr>
        <w:pStyle w:val="3GPPheader"/>
      </w:pPr>
      <w:r w:rsidRPr="00783D2E">
        <w:t>Title:</w:t>
      </w:r>
      <w:r w:rsidRPr="00783D2E">
        <w:tab/>
      </w:r>
      <w:r w:rsidR="005603A7" w:rsidRPr="00783D2E">
        <w:t>On support of sensing in 6G</w:t>
      </w:r>
    </w:p>
    <w:p w14:paraId="352ED748" w14:textId="474045CC" w:rsidR="00EB0B04" w:rsidRPr="00783D2E" w:rsidRDefault="006F0FFF" w:rsidP="006F0FFF">
      <w:pPr>
        <w:pStyle w:val="3GPPheader"/>
      </w:pPr>
      <w:r w:rsidRPr="00783D2E">
        <w:t>Document for:</w:t>
      </w:r>
      <w:r w:rsidRPr="00783D2E">
        <w:tab/>
      </w:r>
      <w:r w:rsidR="00507906" w:rsidRPr="00783D2E">
        <w:t>Approval</w:t>
      </w:r>
    </w:p>
    <w:p w14:paraId="6105A36C" w14:textId="77777777" w:rsidR="006F0FFF" w:rsidRPr="00783D2E" w:rsidRDefault="006F0FFF" w:rsidP="006F0FFF"/>
    <w:p w14:paraId="305B3DE7" w14:textId="77777777" w:rsidR="006F0FFF" w:rsidRPr="00783D2E" w:rsidRDefault="006F0FFF" w:rsidP="00FE184E">
      <w:pPr>
        <w:pStyle w:val="Heading1"/>
      </w:pPr>
      <w:r w:rsidRPr="00783D2E">
        <w:t>1</w:t>
      </w:r>
      <w:r w:rsidRPr="00783D2E">
        <w:tab/>
        <w:t>Introduction</w:t>
      </w:r>
    </w:p>
    <w:p w14:paraId="43FCB0D2" w14:textId="38C4D5FF" w:rsidR="00213DA3" w:rsidRPr="00783D2E" w:rsidRDefault="000A2043" w:rsidP="003902BB">
      <w:r w:rsidRPr="00783D2E">
        <w:t>Radio s</w:t>
      </w:r>
      <w:r w:rsidR="00FC6C5B" w:rsidRPr="00783D2E">
        <w:t xml:space="preserve">ensing describes the </w:t>
      </w:r>
      <w:r w:rsidR="00A57962" w:rsidRPr="00783D2E">
        <w:t>capability</w:t>
      </w:r>
      <w:r w:rsidRPr="00783D2E">
        <w:t xml:space="preserve"> to detect passive objects by means of transmitting a radio signal, receiving the signal after it interacted with the environment/</w:t>
      </w:r>
      <w:r w:rsidR="00D0664B">
        <w:t>objects</w:t>
      </w:r>
      <w:r w:rsidR="009B0707" w:rsidRPr="00783D2E">
        <w:t xml:space="preserve">, </w:t>
      </w:r>
      <w:r w:rsidRPr="00783D2E">
        <w:t>and dra</w:t>
      </w:r>
      <w:r w:rsidR="00A57962" w:rsidRPr="00783D2E">
        <w:t>w</w:t>
      </w:r>
      <w:r w:rsidR="009B0707" w:rsidRPr="00783D2E">
        <w:t>ing</w:t>
      </w:r>
      <w:r w:rsidRPr="00783D2E">
        <w:t xml:space="preserve"> conclusions </w:t>
      </w:r>
      <w:r w:rsidR="00A57962" w:rsidRPr="00783D2E">
        <w:t>about the environment/</w:t>
      </w:r>
      <w:r w:rsidR="00D0664B">
        <w:t>objects</w:t>
      </w:r>
      <w:r w:rsidR="009B0707" w:rsidRPr="00783D2E">
        <w:t xml:space="preserve">, based on the received signal. </w:t>
      </w:r>
      <w:r w:rsidR="00524001">
        <w:t>Integration of</w:t>
      </w:r>
      <w:r w:rsidR="00691F9F" w:rsidRPr="00783D2E">
        <w:t xml:space="preserve"> this capability into a </w:t>
      </w:r>
      <w:r w:rsidR="00524001">
        <w:t xml:space="preserve">wireless </w:t>
      </w:r>
      <w:r w:rsidR="00691F9F" w:rsidRPr="00783D2E">
        <w:t xml:space="preserve">communication network </w:t>
      </w:r>
      <w:r w:rsidR="002D6E2E" w:rsidRPr="00783D2E">
        <w:t>is termed Integrated Sensing and Communication (ISAC) (a.k.a Joint Communication and Sensing, JCAS).</w:t>
      </w:r>
    </w:p>
    <w:p w14:paraId="7AED9BF7" w14:textId="22A59B72" w:rsidR="002D6E2E" w:rsidRPr="00783D2E" w:rsidRDefault="00F52385" w:rsidP="003902BB">
      <w:r w:rsidRPr="00783D2E">
        <w:t xml:space="preserve">ISAC </w:t>
      </w:r>
      <w:r w:rsidR="00AA0C01" w:rsidRPr="00783D2E">
        <w:t xml:space="preserve">is </w:t>
      </w:r>
      <w:r w:rsidR="00CC3BD0">
        <w:t>a candidate feature</w:t>
      </w:r>
      <w:r w:rsidR="00AA0C01" w:rsidRPr="00783D2E">
        <w:t xml:space="preserve"> to be included </w:t>
      </w:r>
      <w:r w:rsidR="0088110A" w:rsidRPr="00783D2E">
        <w:t>in NR Rel-20 with focus to detect</w:t>
      </w:r>
      <w:r w:rsidR="00492828" w:rsidRPr="00783D2E">
        <w:t xml:space="preserve"> and track</w:t>
      </w:r>
      <w:r w:rsidR="0088110A" w:rsidRPr="00783D2E">
        <w:t xml:space="preserve"> </w:t>
      </w:r>
      <w:r w:rsidR="00446932">
        <w:t>U</w:t>
      </w:r>
      <w:r w:rsidR="007A4BCF" w:rsidRPr="00783D2E">
        <w:t xml:space="preserve">nmanned </w:t>
      </w:r>
      <w:r w:rsidR="00446932">
        <w:t>A</w:t>
      </w:r>
      <w:r w:rsidR="007A4BCF" w:rsidRPr="00783D2E">
        <w:t xml:space="preserve">erial </w:t>
      </w:r>
      <w:r w:rsidR="00446932">
        <w:t>V</w:t>
      </w:r>
      <w:r w:rsidR="007A4BCF" w:rsidRPr="00783D2E">
        <w:t>ehicles (UAV) using base stations as sensing units.</w:t>
      </w:r>
      <w:r w:rsidR="0042011F" w:rsidRPr="00783D2E">
        <w:t xml:space="preserve"> </w:t>
      </w:r>
      <w:r w:rsidR="00181F81">
        <w:t>Many different use cases have been mentioned in the past</w:t>
      </w:r>
      <w:r w:rsidR="00381493">
        <w:t xml:space="preserve">, including </w:t>
      </w:r>
      <w:r w:rsidR="000622BD">
        <w:t xml:space="preserve">among others </w:t>
      </w:r>
      <w:r w:rsidR="008E5BC2">
        <w:t xml:space="preserve">use </w:t>
      </w:r>
      <w:r w:rsidR="00C24D43">
        <w:t xml:space="preserve">cases related to </w:t>
      </w:r>
      <w:r w:rsidR="00152ABA">
        <w:t xml:space="preserve">UAV detection, </w:t>
      </w:r>
      <w:r w:rsidR="002B5432">
        <w:t xml:space="preserve">smart </w:t>
      </w:r>
      <w:r w:rsidR="00C24D43">
        <w:t>transportation, in</w:t>
      </w:r>
      <w:r w:rsidR="000622BD">
        <w:t>dustries</w:t>
      </w:r>
      <w:proofErr w:type="gramStart"/>
      <w:r w:rsidR="000622BD">
        <w:t>, public</w:t>
      </w:r>
      <w:proofErr w:type="gramEnd"/>
      <w:r w:rsidR="000622BD">
        <w:t xml:space="preserve"> </w:t>
      </w:r>
      <w:r w:rsidR="00FE1070">
        <w:t xml:space="preserve">safety. </w:t>
      </w:r>
    </w:p>
    <w:p w14:paraId="5AFAE3F6" w14:textId="77777777" w:rsidR="006F0FFF" w:rsidRPr="00783D2E" w:rsidRDefault="006F0FFF" w:rsidP="00FE184E">
      <w:pPr>
        <w:pStyle w:val="Heading1"/>
      </w:pPr>
      <w:r w:rsidRPr="00783D2E">
        <w:t>2</w:t>
      </w:r>
      <w:r w:rsidRPr="00783D2E">
        <w:tab/>
        <w:t>Discussion</w:t>
      </w:r>
    </w:p>
    <w:p w14:paraId="37208536" w14:textId="1D39EC3F" w:rsidR="00D04991" w:rsidRPr="007C6F63" w:rsidRDefault="00675551" w:rsidP="007C6F63">
      <w:r w:rsidRPr="00783D2E">
        <w:t xml:space="preserve">The RAN1 study </w:t>
      </w:r>
      <w:r w:rsidR="006B6A43" w:rsidRPr="00783D2E">
        <w:t xml:space="preserve">“Study on channel modelling for Integrated Sensing </w:t>
      </w:r>
      <w:proofErr w:type="gramStart"/>
      <w:r w:rsidR="006B6A43" w:rsidRPr="00783D2E">
        <w:t>And</w:t>
      </w:r>
      <w:proofErr w:type="gramEnd"/>
      <w:r w:rsidR="006B6A43" w:rsidRPr="00783D2E">
        <w:t xml:space="preserve"> Communication (ISAC) for NR” </w:t>
      </w:r>
      <w:r w:rsidR="00C3340E">
        <w:t>(</w:t>
      </w:r>
      <w:r w:rsidR="00255FF2" w:rsidRPr="00255FF2">
        <w:t>RP-240799</w:t>
      </w:r>
      <w:r w:rsidR="00C3340E">
        <w:t xml:space="preserve">) </w:t>
      </w:r>
      <w:r w:rsidR="006B6A43" w:rsidRPr="00783D2E">
        <w:t xml:space="preserve">develops a channel model </w:t>
      </w:r>
      <w:r w:rsidR="00B17A99" w:rsidRPr="00783D2E">
        <w:t>supporting object detection and/or tracking</w:t>
      </w:r>
      <w:r w:rsidR="007C6F63">
        <w:t xml:space="preserve"> which includes among others the following objects: </w:t>
      </w:r>
      <w:r w:rsidR="007C6F63" w:rsidRPr="007C6F63">
        <w:t>UAVs</w:t>
      </w:r>
      <w:r w:rsidR="007C6F63">
        <w:t>, h</w:t>
      </w:r>
      <w:r w:rsidR="007C6F63" w:rsidRPr="007C6F63">
        <w:t>umans indoors and outdoors</w:t>
      </w:r>
      <w:r w:rsidR="007C6F63">
        <w:t>, a</w:t>
      </w:r>
      <w:r w:rsidR="007C6F63" w:rsidRPr="007C6F63">
        <w:t>utomotive vehicles</w:t>
      </w:r>
      <w:r w:rsidR="007C6F63">
        <w:t>, a</w:t>
      </w:r>
      <w:r w:rsidR="007C6F63" w:rsidRPr="007C6F63">
        <w:t>utomated guided vehicles (e.g. in indoor factories)</w:t>
      </w:r>
      <w:r w:rsidR="007C6F63">
        <w:t>,</w:t>
      </w:r>
      <w:r w:rsidR="00692162">
        <w:t xml:space="preserve"> o</w:t>
      </w:r>
      <w:r w:rsidR="007C6F63" w:rsidRPr="007C6F63">
        <w:t>bjects creating hazards on roads/railways</w:t>
      </w:r>
      <w:r w:rsidR="00334B24">
        <w:t>.</w:t>
      </w:r>
      <w:r w:rsidR="007C6F63" w:rsidRPr="007C6F63">
        <w:t xml:space="preserve"> </w:t>
      </w:r>
      <w:r w:rsidR="00031056" w:rsidRPr="00783D2E">
        <w:t xml:space="preserve">The developed channel model should support </w:t>
      </w:r>
      <w:r w:rsidR="00E56467" w:rsidRPr="00783D2E">
        <w:t>TRP-TRP bistatic, TRP monostatic, TRP-UE bistatic, UE-TRP bistatic, UE-UE bistatic, and UE monostatic sensing modes.</w:t>
      </w:r>
    </w:p>
    <w:p w14:paraId="69B3BA78" w14:textId="5C7AC959" w:rsidR="00E56467" w:rsidRPr="00783D2E" w:rsidRDefault="00744C77" w:rsidP="003902BB">
      <w:r w:rsidRPr="00783D2E">
        <w:t xml:space="preserve">Detection and tracking of UAVs is one of the currently most discussed applications of ISAC. A concrete example relates to protection of critical infrastructure where the already deployed mobile communication networks are used to detect UAVs in prohibited airspace. ISAC could also be used to track </w:t>
      </w:r>
      <w:r w:rsidR="00B41177">
        <w:t>commercial</w:t>
      </w:r>
      <w:r w:rsidRPr="00783D2E">
        <w:t xml:space="preserve"> drones and </w:t>
      </w:r>
      <w:proofErr w:type="gramStart"/>
      <w:r w:rsidRPr="00783D2E">
        <w:t>provide assistance</w:t>
      </w:r>
      <w:proofErr w:type="gramEnd"/>
      <w:r w:rsidRPr="00783D2E">
        <w:t xml:space="preserve"> data to the UAV traffic management system for navigation and collision avoidance. In many jurisdiction UAVs must send beacons to avoid collisions among UAVs, ISAC could complement such a system.</w:t>
      </w:r>
    </w:p>
    <w:p w14:paraId="404B047A" w14:textId="0841BD6E" w:rsidR="00BE776E" w:rsidRPr="00783D2E" w:rsidRDefault="00BE776E" w:rsidP="003902BB">
      <w:r w:rsidRPr="00783D2E">
        <w:t xml:space="preserve">ISAC can also play an important role in smart transportation. Most modern cars are equipped with onboard sensors – radar, lidar, cameras just to mention a few – which helps the car to get an overview of its immediate surrounding. </w:t>
      </w:r>
      <w:r w:rsidR="00490E40" w:rsidRPr="00490E40">
        <w:t xml:space="preserve">However, onboard systems fail to provide global contextual information. An ISAC system can complement onboard sensory data with more “global” data that cannot be obtained by sensors mounted on the vehicle. </w:t>
      </w:r>
      <w:r w:rsidRPr="00783D2E">
        <w:t xml:space="preserve">Another </w:t>
      </w:r>
      <w:proofErr w:type="gramStart"/>
      <w:r w:rsidRPr="00783D2E">
        <w:t>automotive related example</w:t>
      </w:r>
      <w:proofErr w:type="gramEnd"/>
      <w:r w:rsidRPr="00783D2E">
        <w:t xml:space="preserve"> is </w:t>
      </w:r>
      <w:proofErr w:type="gramStart"/>
      <w:r w:rsidRPr="00783D2E">
        <w:t>detection</w:t>
      </w:r>
      <w:proofErr w:type="gramEnd"/>
      <w:r w:rsidRPr="00783D2E">
        <w:t xml:space="preserve"> of pedestrians or animals on highways.</w:t>
      </w:r>
    </w:p>
    <w:p w14:paraId="7AAE8481" w14:textId="18F7884D" w:rsidR="00744C77" w:rsidRPr="00783D2E" w:rsidRDefault="00BE776E" w:rsidP="003902BB">
      <w:r w:rsidRPr="00783D2E">
        <w:t>Even non-automotive transportation such as rail transportation can benefit from ISAC: Mobile networks – and especially dedicated railway deployments – can be used to detect persons, animals, obstacles on train tracks and provide this information to train guidance systems to take counter measures.</w:t>
      </w:r>
    </w:p>
    <w:p w14:paraId="004E27C2" w14:textId="59117481" w:rsidR="009F30DF" w:rsidRPr="00783D2E" w:rsidRDefault="009F30DF" w:rsidP="003902BB">
      <w:r w:rsidRPr="00783D2E">
        <w:lastRenderedPageBreak/>
        <w:t>Modern industries and logistic operations often use Automated Guided Vehicles (AGVs) and Autonomous Mobile Robots (AMRs). At the same time more and more industries rely on private wireless networks deployed to cater for the special needs of industrial and logistical operations. ISAC can be deployed using these networks to assist in AGV/AMR navigation but also collision avoidance among them and humans.</w:t>
      </w:r>
    </w:p>
    <w:p w14:paraId="4E2E06C5" w14:textId="447184DF" w:rsidR="00031056" w:rsidRDefault="000D03B4" w:rsidP="003902BB">
      <w:r w:rsidRPr="00783D2E">
        <w:t xml:space="preserve">The challenge in detecting/localizing/tracking ground targets is the environment: The line-of-sight link between base stations serving as transmitter and receiver and the target may often be blocked by objects in the environment such as buildings. </w:t>
      </w:r>
      <w:r w:rsidR="004B6B78" w:rsidRPr="00783D2E">
        <w:t xml:space="preserve">A solution to improve line-of-sight likelihood is densification of sensing units. This can either be achieved by adding </w:t>
      </w:r>
      <w:r w:rsidR="00F754F2">
        <w:t>TRPs,</w:t>
      </w:r>
      <w:r w:rsidR="004B6B78" w:rsidRPr="00783D2E">
        <w:t xml:space="preserve"> </w:t>
      </w:r>
      <w:r w:rsidR="00F754F2">
        <w:t>and/</w:t>
      </w:r>
      <w:r w:rsidR="004B6B78" w:rsidRPr="00783D2E">
        <w:t xml:space="preserve">or to enable UEs as sensing units. To avoid challenges arising from using </w:t>
      </w:r>
      <w:r w:rsidR="007F28A8">
        <w:t>“</w:t>
      </w:r>
      <w:r w:rsidR="004B6B78" w:rsidRPr="00783D2E">
        <w:t>classical smartphone</w:t>
      </w:r>
      <w:r w:rsidR="005D7E10">
        <w:t>s”</w:t>
      </w:r>
      <w:r w:rsidR="004B6B78" w:rsidRPr="00783D2E">
        <w:t xml:space="preserve"> as sensing units (unknown UE location</w:t>
      </w:r>
      <w:r w:rsidR="001D2CC8">
        <w:t xml:space="preserve"> </w:t>
      </w:r>
      <w:r w:rsidR="002166AC">
        <w:t>and/</w:t>
      </w:r>
      <w:r w:rsidR="001D2CC8">
        <w:t>or orientation</w:t>
      </w:r>
      <w:r w:rsidR="004B6B78" w:rsidRPr="00783D2E">
        <w:t xml:space="preserve">, UE movements) such UEs </w:t>
      </w:r>
      <w:r w:rsidR="002166AC">
        <w:t>should</w:t>
      </w:r>
      <w:r w:rsidR="00652615">
        <w:t xml:space="preserve"> be assumed</w:t>
      </w:r>
      <w:r w:rsidR="002166AC">
        <w:t xml:space="preserve"> </w:t>
      </w:r>
      <w:r w:rsidR="004B6B78" w:rsidRPr="00783D2E">
        <w:t>stationary.</w:t>
      </w:r>
    </w:p>
    <w:p w14:paraId="452CF303" w14:textId="389D13A4" w:rsidR="00DD11AC" w:rsidRDefault="00652615" w:rsidP="003902BB">
      <w:r>
        <w:t xml:space="preserve">6G </w:t>
      </w:r>
      <w:r w:rsidR="00CE6B28">
        <w:t>shall</w:t>
      </w:r>
      <w:r>
        <w:t xml:space="preserve"> therefore </w:t>
      </w:r>
      <w:r w:rsidR="00CE6B28">
        <w:t xml:space="preserve">provide support for </w:t>
      </w:r>
      <w:r>
        <w:t xml:space="preserve">TRP </w:t>
      </w:r>
      <w:r w:rsidR="00596938">
        <w:t>monostatic</w:t>
      </w:r>
      <w:r w:rsidR="00D85B7A">
        <w:t xml:space="preserve"> and</w:t>
      </w:r>
      <w:r w:rsidR="00596938">
        <w:t xml:space="preserve"> </w:t>
      </w:r>
      <w:r w:rsidR="00596938" w:rsidRPr="00783D2E">
        <w:t xml:space="preserve">TRP-TRP </w:t>
      </w:r>
      <w:r w:rsidR="00C272F8">
        <w:t>bi-/</w:t>
      </w:r>
      <w:r w:rsidR="00447091">
        <w:t>multi-</w:t>
      </w:r>
      <w:r w:rsidR="00596938" w:rsidRPr="00783D2E">
        <w:t>static</w:t>
      </w:r>
      <w:r w:rsidR="00707EDA">
        <w:t xml:space="preserve"> sensing</w:t>
      </w:r>
      <w:r w:rsidR="00B64CC4">
        <w:t xml:space="preserve"> mode</w:t>
      </w:r>
      <w:r w:rsidR="00C842E5">
        <w:t>s</w:t>
      </w:r>
      <w:r w:rsidR="00D85B7A">
        <w:t xml:space="preserve">. </w:t>
      </w:r>
    </w:p>
    <w:p w14:paraId="1703AE1A" w14:textId="7D073EAF" w:rsidR="00652615" w:rsidRPr="00783D2E" w:rsidRDefault="00D85B7A" w:rsidP="003902BB">
      <w:r>
        <w:t xml:space="preserve">In addition to this we see a need for </w:t>
      </w:r>
      <w:r w:rsidR="00011025">
        <w:t>3GPP to evaluate and conclude on the merits</w:t>
      </w:r>
      <w:r w:rsidR="00BA7F12">
        <w:t xml:space="preserve"> of</w:t>
      </w:r>
      <w:r w:rsidR="003D7004">
        <w:t xml:space="preserve"> </w:t>
      </w:r>
      <w:r w:rsidR="00186CE6">
        <w:t>TRP-UE bi</w:t>
      </w:r>
      <w:r w:rsidR="009510BF">
        <w:t>-/multi-</w:t>
      </w:r>
      <w:r w:rsidR="00186CE6">
        <w:t>static</w:t>
      </w:r>
      <w:r w:rsidR="003D7004">
        <w:t xml:space="preserve"> sensing,</w:t>
      </w:r>
      <w:r w:rsidR="00186CE6">
        <w:t xml:space="preserve"> UE-TRP </w:t>
      </w:r>
      <w:proofErr w:type="gramStart"/>
      <w:r w:rsidR="00186CE6">
        <w:t>bi</w:t>
      </w:r>
      <w:r w:rsidR="009510BF">
        <w:t>-/</w:t>
      </w:r>
      <w:proofErr w:type="gramEnd"/>
      <w:r w:rsidR="009510BF">
        <w:t>multi-</w:t>
      </w:r>
      <w:r w:rsidR="00186CE6">
        <w:t>static</w:t>
      </w:r>
      <w:r w:rsidR="008C1431">
        <w:t xml:space="preserve"> sensing</w:t>
      </w:r>
      <w:r w:rsidR="00447091">
        <w:t>, UE-UE bistatic</w:t>
      </w:r>
      <w:r w:rsidR="003D7004">
        <w:t xml:space="preserve"> sensing</w:t>
      </w:r>
      <w:r w:rsidR="00447091">
        <w:t xml:space="preserve"> and </w:t>
      </w:r>
      <w:r w:rsidR="00624AE1">
        <w:t>UE mono-static</w:t>
      </w:r>
      <w:r w:rsidR="00C80821">
        <w:t xml:space="preserve"> </w:t>
      </w:r>
      <w:r w:rsidR="003D7004">
        <w:t xml:space="preserve">sensing </w:t>
      </w:r>
      <w:r w:rsidR="00C80821">
        <w:t>modes</w:t>
      </w:r>
      <w:r w:rsidR="008C1431">
        <w:t>.</w:t>
      </w:r>
      <w:r w:rsidR="00624AE1">
        <w:t xml:space="preserve"> After the evaluation and study has been done</w:t>
      </w:r>
      <w:r w:rsidR="003D7004">
        <w:t>,</w:t>
      </w:r>
      <w:r w:rsidR="00624AE1">
        <w:t xml:space="preserve"> TSG RAN will decide </w:t>
      </w:r>
      <w:proofErr w:type="gramStart"/>
      <w:r w:rsidR="00624AE1">
        <w:t>whether or not</w:t>
      </w:r>
      <w:proofErr w:type="gramEnd"/>
      <w:r w:rsidR="00624AE1">
        <w:t xml:space="preserve"> they are supported</w:t>
      </w:r>
      <w:r w:rsidR="008C1431">
        <w:t>.</w:t>
      </w:r>
    </w:p>
    <w:p w14:paraId="6399632A" w14:textId="7E3DCF46" w:rsidR="007A6BC3" w:rsidRPr="00783D2E" w:rsidRDefault="007A6BC3" w:rsidP="007A6BC3">
      <w:pPr>
        <w:pStyle w:val="Heading1"/>
      </w:pPr>
      <w:r w:rsidRPr="00783D2E">
        <w:t>3 Text proposal</w:t>
      </w:r>
    </w:p>
    <w:p w14:paraId="0EDC73B7" w14:textId="6F896DC4" w:rsidR="00D04991" w:rsidRPr="00783D2E" w:rsidRDefault="007A6BC3" w:rsidP="00D04991">
      <w:r w:rsidRPr="00783D2E">
        <w:t>Based on the discussion above we propose the following text proposal.</w:t>
      </w:r>
    </w:p>
    <w:p w14:paraId="094F5D95" w14:textId="5DFF7ACF" w:rsidR="00521D82" w:rsidRPr="00783D2E" w:rsidRDefault="00521D82" w:rsidP="00521D82">
      <w:pPr>
        <w:keepNext/>
        <w:keepLines/>
        <w:spacing w:before="180"/>
        <w:ind w:left="1134" w:hanging="1134"/>
        <w:outlineLvl w:val="1"/>
        <w:rPr>
          <w:rFonts w:eastAsia="SimSun"/>
          <w:sz w:val="32"/>
          <w:lang w:eastAsia="zh-CN"/>
        </w:rPr>
      </w:pPr>
      <w:r w:rsidRPr="00783D2E">
        <w:rPr>
          <w:rFonts w:eastAsia="SimSun" w:hint="eastAsia"/>
          <w:sz w:val="32"/>
          <w:lang w:eastAsia="zh-CN"/>
        </w:rPr>
        <w:t>5</w:t>
      </w:r>
      <w:r w:rsidRPr="00783D2E">
        <w:rPr>
          <w:rFonts w:eastAsia="SimSun"/>
          <w:sz w:val="32"/>
        </w:rPr>
        <w:t>.</w:t>
      </w:r>
      <w:r w:rsidRPr="00783D2E">
        <w:rPr>
          <w:rFonts w:eastAsia="SimSun" w:hint="eastAsia"/>
          <w:sz w:val="32"/>
          <w:lang w:eastAsia="zh-CN"/>
        </w:rPr>
        <w:t>x</w:t>
      </w:r>
      <w:r w:rsidRPr="00783D2E">
        <w:rPr>
          <w:rFonts w:eastAsia="SimSun"/>
          <w:sz w:val="32"/>
        </w:rPr>
        <w:tab/>
      </w:r>
      <w:r w:rsidR="00783D2E">
        <w:rPr>
          <w:rFonts w:eastAsia="SimSun"/>
          <w:sz w:val="32"/>
          <w:lang w:eastAsia="zh-CN"/>
        </w:rPr>
        <w:t>Support of sensing</w:t>
      </w:r>
      <w:r w:rsidR="00D374D7">
        <w:rPr>
          <w:rFonts w:eastAsia="SimSun"/>
          <w:sz w:val="32"/>
          <w:lang w:eastAsia="zh-CN"/>
        </w:rPr>
        <w:t xml:space="preserve"> in 6G</w:t>
      </w:r>
    </w:p>
    <w:p w14:paraId="0C2FDBD9" w14:textId="6EF34E0B" w:rsidR="00652615" w:rsidRPr="00783D2E" w:rsidRDefault="00521D82" w:rsidP="00CC5B93">
      <w:r w:rsidRPr="00524001">
        <w:rPr>
          <w:rFonts w:cs="Arial"/>
        </w:rPr>
        <w:t xml:space="preserve">The 6GR and 6G RAN architecture shall </w:t>
      </w:r>
      <w:r w:rsidR="00CB7C15" w:rsidRPr="00524001">
        <w:rPr>
          <w:rFonts w:cs="Arial"/>
        </w:rPr>
        <w:t>support</w:t>
      </w:r>
      <w:r w:rsidR="00D374D7" w:rsidRPr="00524001">
        <w:rPr>
          <w:rFonts w:cs="Arial"/>
        </w:rPr>
        <w:t xml:space="preserve"> detection and/or tracking </w:t>
      </w:r>
      <w:r w:rsidR="00E86CB0" w:rsidRPr="00524001">
        <w:rPr>
          <w:rFonts w:cs="Arial"/>
        </w:rPr>
        <w:t>of passive objects</w:t>
      </w:r>
      <w:r w:rsidR="00605397">
        <w:rPr>
          <w:rFonts w:cs="Arial"/>
        </w:rPr>
        <w:t>, in the air and on the ground</w:t>
      </w:r>
      <w:r w:rsidR="00D374D7" w:rsidRPr="00470C09">
        <w:rPr>
          <w:rFonts w:cs="Arial"/>
        </w:rPr>
        <w:t>.</w:t>
      </w:r>
      <w:r w:rsidR="00CC5B93">
        <w:rPr>
          <w:rFonts w:cs="Arial"/>
        </w:rPr>
        <w:t xml:space="preserve"> </w:t>
      </w:r>
      <w:r w:rsidR="00F105DE">
        <w:rPr>
          <w:rFonts w:cs="Arial"/>
        </w:rPr>
        <w:t xml:space="preserve">Passive objects to detect </w:t>
      </w:r>
      <w:r w:rsidR="00561411">
        <w:rPr>
          <w:rFonts w:cs="Arial"/>
        </w:rPr>
        <w:t xml:space="preserve">and/or track </w:t>
      </w:r>
      <w:r w:rsidR="006B0C81">
        <w:rPr>
          <w:rFonts w:cs="Arial"/>
        </w:rPr>
        <w:t xml:space="preserve">could </w:t>
      </w:r>
      <w:r w:rsidR="00F105DE">
        <w:rPr>
          <w:rFonts w:cs="Arial"/>
        </w:rPr>
        <w:t xml:space="preserve">include UAVs, pedestrians, cars, </w:t>
      </w:r>
      <w:r w:rsidR="006C720E">
        <w:rPr>
          <w:rFonts w:cs="Arial"/>
        </w:rPr>
        <w:t xml:space="preserve">traffic obstacles, </w:t>
      </w:r>
      <w:r w:rsidR="00952F16">
        <w:rPr>
          <w:rFonts w:cs="Arial"/>
        </w:rPr>
        <w:t>AGVs/AMRs in industries</w:t>
      </w:r>
      <w:r w:rsidR="00AC175D">
        <w:rPr>
          <w:rFonts w:cs="Arial"/>
        </w:rPr>
        <w:t>.</w:t>
      </w:r>
      <w:r w:rsidR="006C720E">
        <w:rPr>
          <w:rFonts w:cs="Arial"/>
        </w:rPr>
        <w:t xml:space="preserve"> </w:t>
      </w:r>
      <w:r w:rsidR="00CC5B93">
        <w:rPr>
          <w:rFonts w:cs="Arial"/>
        </w:rPr>
        <w:t xml:space="preserve">The </w:t>
      </w:r>
      <w:r w:rsidR="00CC5B93" w:rsidDel="006B0C81">
        <w:rPr>
          <w:rFonts w:cs="Arial"/>
        </w:rPr>
        <w:t>supported</w:t>
      </w:r>
      <w:r w:rsidR="006B0C81">
        <w:rPr>
          <w:rFonts w:cs="Arial"/>
        </w:rPr>
        <w:t xml:space="preserve"> </w:t>
      </w:r>
      <w:r w:rsidR="00CC5B93">
        <w:rPr>
          <w:rFonts w:cs="Arial"/>
        </w:rPr>
        <w:t xml:space="preserve">sensing modes include </w:t>
      </w:r>
      <w:r w:rsidR="00CC5B93">
        <w:t>TRP mono</w:t>
      </w:r>
      <w:r w:rsidR="008505D0">
        <w:t>-</w:t>
      </w:r>
      <w:r w:rsidR="00CC5B93">
        <w:t>static</w:t>
      </w:r>
      <w:r w:rsidR="00B17140">
        <w:t xml:space="preserve"> </w:t>
      </w:r>
      <w:r w:rsidR="00624AE1">
        <w:t>and</w:t>
      </w:r>
      <w:r w:rsidR="00CC5B93">
        <w:t xml:space="preserve"> </w:t>
      </w:r>
      <w:r w:rsidR="00596938" w:rsidRPr="00783D2E">
        <w:t xml:space="preserve">TRP-TRP </w:t>
      </w:r>
      <w:r w:rsidR="00C6521E">
        <w:t>bi-/</w:t>
      </w:r>
      <w:r w:rsidR="00667C0E">
        <w:t>multi</w:t>
      </w:r>
      <w:r w:rsidR="00B17140">
        <w:t>-</w:t>
      </w:r>
      <w:r w:rsidR="00596938" w:rsidRPr="00783D2E">
        <w:t>static</w:t>
      </w:r>
      <w:r w:rsidR="00CC5B93">
        <w:t>.</w:t>
      </w:r>
    </w:p>
    <w:p w14:paraId="0242D1B2" w14:textId="3078076C" w:rsidR="008505D0" w:rsidRPr="00873621" w:rsidRDefault="00DB3649" w:rsidP="00CC5B93">
      <w:pPr>
        <w:rPr>
          <w:i/>
          <w:iCs/>
          <w:color w:val="4472C4" w:themeColor="accent1"/>
        </w:rPr>
      </w:pPr>
      <w:r w:rsidRPr="00873621">
        <w:rPr>
          <w:i/>
          <w:iCs/>
          <w:color w:val="4472C4" w:themeColor="accent1"/>
        </w:rPr>
        <w:t>Editor’s</w:t>
      </w:r>
      <w:r w:rsidR="008505D0" w:rsidRPr="00873621">
        <w:rPr>
          <w:i/>
          <w:iCs/>
          <w:color w:val="4472C4" w:themeColor="accent1"/>
        </w:rPr>
        <w:t xml:space="preserve"> Note: Additional sensing modes can be added after </w:t>
      </w:r>
      <w:r w:rsidRPr="00873621">
        <w:rPr>
          <w:i/>
          <w:iCs/>
          <w:color w:val="4472C4" w:themeColor="accent1"/>
        </w:rPr>
        <w:t>the study</w:t>
      </w:r>
      <w:r w:rsidR="008505D0" w:rsidRPr="00873621">
        <w:rPr>
          <w:i/>
          <w:iCs/>
          <w:color w:val="4472C4" w:themeColor="accent1"/>
        </w:rPr>
        <w:t xml:space="preserve"> of them </w:t>
      </w:r>
      <w:r w:rsidRPr="00DB3649">
        <w:rPr>
          <w:i/>
          <w:iCs/>
          <w:color w:val="4472C4" w:themeColor="accent1"/>
        </w:rPr>
        <w:t>is</w:t>
      </w:r>
      <w:r w:rsidR="008505D0" w:rsidRPr="00873621">
        <w:rPr>
          <w:i/>
          <w:iCs/>
          <w:color w:val="4472C4" w:themeColor="accent1"/>
        </w:rPr>
        <w:t xml:space="preserve"> completed.</w:t>
      </w:r>
    </w:p>
    <w:p w14:paraId="44C5DC25" w14:textId="2311BE65" w:rsidR="00521D82" w:rsidRPr="00524001" w:rsidRDefault="00521D82" w:rsidP="003902BB">
      <w:pPr>
        <w:rPr>
          <w:rFonts w:cs="Arial"/>
        </w:rPr>
      </w:pPr>
    </w:p>
    <w:p w14:paraId="72E2BC2A" w14:textId="5F4F083D" w:rsidR="00217D4B" w:rsidRPr="00783D2E" w:rsidRDefault="00B1265C" w:rsidP="00E4473C">
      <w:pPr>
        <w:pStyle w:val="Heading1"/>
      </w:pPr>
      <w:r w:rsidRPr="00783D2E">
        <w:t>4</w:t>
      </w:r>
      <w:r w:rsidR="00E4473C" w:rsidRPr="00783D2E">
        <w:tab/>
        <w:t>Conclusion</w:t>
      </w:r>
    </w:p>
    <w:p w14:paraId="3174E6CD" w14:textId="77777777" w:rsidR="00624AE1" w:rsidRDefault="0091359B" w:rsidP="00B67DCD">
      <w:r w:rsidRPr="00783D2E">
        <w:t>I</w:t>
      </w:r>
      <w:r w:rsidR="00167118" w:rsidRPr="00783D2E">
        <w:t>n</w:t>
      </w:r>
      <w:r w:rsidRPr="00783D2E">
        <w:t xml:space="preserve"> this contribution we propose </w:t>
      </w:r>
    </w:p>
    <w:p w14:paraId="2588EF6C" w14:textId="083689E8" w:rsidR="0091359B" w:rsidRPr="00873621" w:rsidRDefault="00B17140" w:rsidP="00624AE1">
      <w:pPr>
        <w:pStyle w:val="ListParagraph"/>
        <w:numPr>
          <w:ilvl w:val="0"/>
          <w:numId w:val="12"/>
        </w:numPr>
        <w:rPr>
          <w:rFonts w:ascii="Arial" w:eastAsiaTheme="minorHAnsi" w:hAnsi="Arial" w:cstheme="minorBidi"/>
          <w:szCs w:val="22"/>
          <w:lang w:val="en-US" w:eastAsia="en-US"/>
        </w:rPr>
      </w:pPr>
      <w:r>
        <w:rPr>
          <w:rFonts w:ascii="Arial" w:eastAsiaTheme="minorHAnsi" w:hAnsi="Arial" w:cstheme="minorBidi"/>
          <w:szCs w:val="22"/>
          <w:lang w:val="en-US" w:eastAsia="en-US"/>
        </w:rPr>
        <w:t>T</w:t>
      </w:r>
      <w:r w:rsidR="0091359B" w:rsidRPr="00873621">
        <w:rPr>
          <w:rFonts w:ascii="Arial" w:eastAsiaTheme="minorHAnsi" w:hAnsi="Arial" w:cstheme="minorBidi"/>
          <w:szCs w:val="22"/>
          <w:lang w:val="en-US" w:eastAsia="en-US"/>
        </w:rPr>
        <w:t xml:space="preserve">o add the </w:t>
      </w:r>
      <w:r w:rsidR="00167118" w:rsidRPr="00873621">
        <w:rPr>
          <w:rFonts w:ascii="Arial" w:eastAsiaTheme="minorHAnsi" w:hAnsi="Arial" w:cstheme="minorBidi"/>
          <w:szCs w:val="22"/>
          <w:lang w:val="en-US" w:eastAsia="en-US"/>
        </w:rPr>
        <w:t>text proposal in section 3 to TR 38.914</w:t>
      </w:r>
    </w:p>
    <w:p w14:paraId="5C385840" w14:textId="3A3E5D56" w:rsidR="00BE040F" w:rsidRPr="00873621" w:rsidRDefault="00624AE1" w:rsidP="00624AE1">
      <w:pPr>
        <w:pStyle w:val="ListParagraph"/>
        <w:numPr>
          <w:ilvl w:val="0"/>
          <w:numId w:val="12"/>
        </w:numPr>
        <w:rPr>
          <w:rFonts w:ascii="Arial" w:eastAsiaTheme="minorHAnsi" w:hAnsi="Arial" w:cstheme="minorBidi"/>
          <w:szCs w:val="22"/>
          <w:lang w:val="en-US" w:eastAsia="en-US"/>
        </w:rPr>
      </w:pPr>
      <w:r w:rsidRPr="00873621">
        <w:rPr>
          <w:rFonts w:ascii="Arial" w:eastAsiaTheme="minorHAnsi" w:hAnsi="Arial" w:cstheme="minorBidi"/>
          <w:szCs w:val="22"/>
          <w:lang w:val="en-US" w:eastAsia="en-US"/>
        </w:rPr>
        <w:t>TSG RAN task</w:t>
      </w:r>
      <w:r w:rsidR="00DB3649">
        <w:rPr>
          <w:rFonts w:ascii="Arial" w:eastAsiaTheme="minorHAnsi" w:hAnsi="Arial" w:cstheme="minorBidi"/>
          <w:szCs w:val="22"/>
          <w:lang w:val="en-US" w:eastAsia="en-US"/>
        </w:rPr>
        <w:t>s</w:t>
      </w:r>
      <w:r w:rsidRPr="00873621">
        <w:rPr>
          <w:rFonts w:ascii="Arial" w:eastAsiaTheme="minorHAnsi" w:hAnsi="Arial" w:cstheme="minorBidi"/>
          <w:szCs w:val="22"/>
          <w:lang w:val="en-US" w:eastAsia="en-US"/>
        </w:rPr>
        <w:t xml:space="preserve"> the </w:t>
      </w:r>
      <w:r w:rsidR="003D7004" w:rsidRPr="00873621">
        <w:rPr>
          <w:rFonts w:ascii="Arial" w:eastAsiaTheme="minorHAnsi" w:hAnsi="Arial" w:cstheme="minorBidi"/>
          <w:szCs w:val="22"/>
          <w:lang w:val="en-US" w:eastAsia="en-US"/>
        </w:rPr>
        <w:t xml:space="preserve">RAN </w:t>
      </w:r>
      <w:r w:rsidRPr="00873621">
        <w:rPr>
          <w:rFonts w:ascii="Arial" w:eastAsiaTheme="minorHAnsi" w:hAnsi="Arial" w:cstheme="minorBidi"/>
          <w:szCs w:val="22"/>
          <w:lang w:val="en-US" w:eastAsia="en-US"/>
        </w:rPr>
        <w:t xml:space="preserve">working groups and SA2 </w:t>
      </w:r>
      <w:r w:rsidR="00667C0E" w:rsidRPr="00873621">
        <w:rPr>
          <w:rFonts w:ascii="Arial" w:eastAsiaTheme="minorHAnsi" w:hAnsi="Arial" w:cstheme="minorBidi"/>
          <w:szCs w:val="22"/>
          <w:lang w:val="en-US" w:eastAsia="en-US"/>
        </w:rPr>
        <w:t xml:space="preserve">to study and evaluate the feasibility of </w:t>
      </w:r>
      <w:r w:rsidR="00BA7F12" w:rsidRPr="00873621">
        <w:rPr>
          <w:rFonts w:ascii="Arial" w:eastAsiaTheme="minorHAnsi" w:hAnsi="Arial" w:cstheme="minorBidi"/>
          <w:szCs w:val="22"/>
          <w:lang w:val="en-US" w:eastAsia="en-US"/>
        </w:rPr>
        <w:t>TRP-UE bi</w:t>
      </w:r>
      <w:r w:rsidR="00DD11AC">
        <w:rPr>
          <w:rFonts w:ascii="Arial" w:eastAsiaTheme="minorHAnsi" w:hAnsi="Arial" w:cstheme="minorBidi"/>
          <w:szCs w:val="22"/>
          <w:lang w:val="en-US" w:eastAsia="en-US"/>
        </w:rPr>
        <w:t>/multi-</w:t>
      </w:r>
      <w:r w:rsidR="00BA7F12" w:rsidRPr="00873621">
        <w:rPr>
          <w:rFonts w:ascii="Arial" w:eastAsiaTheme="minorHAnsi" w:hAnsi="Arial" w:cstheme="minorBidi"/>
          <w:szCs w:val="22"/>
          <w:lang w:val="en-US" w:eastAsia="en-US"/>
        </w:rPr>
        <w:t>static</w:t>
      </w:r>
      <w:r w:rsidR="003D7004" w:rsidRPr="00873621">
        <w:rPr>
          <w:rFonts w:ascii="Arial" w:eastAsiaTheme="minorHAnsi" w:hAnsi="Arial" w:cstheme="minorBidi"/>
          <w:szCs w:val="22"/>
          <w:lang w:val="en-US" w:eastAsia="en-US"/>
        </w:rPr>
        <w:t>,</w:t>
      </w:r>
      <w:r w:rsidR="00BA7F12" w:rsidRPr="00873621">
        <w:rPr>
          <w:rFonts w:ascii="Arial" w:eastAsiaTheme="minorHAnsi" w:hAnsi="Arial" w:cstheme="minorBidi"/>
          <w:szCs w:val="22"/>
          <w:lang w:val="en-US" w:eastAsia="en-US"/>
        </w:rPr>
        <w:t xml:space="preserve"> UE-TRP bi</w:t>
      </w:r>
      <w:r w:rsidR="00DD11AC">
        <w:rPr>
          <w:rFonts w:ascii="Arial" w:eastAsiaTheme="minorHAnsi" w:hAnsi="Arial" w:cstheme="minorBidi"/>
          <w:szCs w:val="22"/>
          <w:lang w:val="en-US" w:eastAsia="en-US"/>
        </w:rPr>
        <w:t>/multi-</w:t>
      </w:r>
      <w:r w:rsidR="00BA7F12" w:rsidRPr="00873621">
        <w:rPr>
          <w:rFonts w:ascii="Arial" w:eastAsiaTheme="minorHAnsi" w:hAnsi="Arial" w:cstheme="minorBidi"/>
          <w:szCs w:val="22"/>
          <w:lang w:val="en-US" w:eastAsia="en-US"/>
        </w:rPr>
        <w:t xml:space="preserve">static sensing, UE-UE bistatic </w:t>
      </w:r>
      <w:r w:rsidR="003D7004" w:rsidRPr="00873621">
        <w:rPr>
          <w:rFonts w:ascii="Arial" w:eastAsiaTheme="minorHAnsi" w:hAnsi="Arial" w:cstheme="minorBidi"/>
          <w:szCs w:val="22"/>
          <w:lang w:val="en-US" w:eastAsia="en-US"/>
        </w:rPr>
        <w:t xml:space="preserve">sensing </w:t>
      </w:r>
      <w:r w:rsidR="00BA7F12" w:rsidRPr="00873621">
        <w:rPr>
          <w:rFonts w:ascii="Arial" w:eastAsiaTheme="minorHAnsi" w:hAnsi="Arial" w:cstheme="minorBidi"/>
          <w:szCs w:val="22"/>
          <w:lang w:val="en-US" w:eastAsia="en-US"/>
        </w:rPr>
        <w:t>and UE mono-static</w:t>
      </w:r>
      <w:r w:rsidR="003D7004" w:rsidRPr="00873621">
        <w:rPr>
          <w:rFonts w:ascii="Arial" w:eastAsiaTheme="minorHAnsi" w:hAnsi="Arial" w:cstheme="minorBidi"/>
          <w:szCs w:val="22"/>
          <w:lang w:val="en-US" w:eastAsia="en-US"/>
        </w:rPr>
        <w:t xml:space="preserve"> sensing</w:t>
      </w:r>
      <w:r w:rsidR="00BA7F12" w:rsidRPr="00873621">
        <w:rPr>
          <w:rFonts w:ascii="Arial" w:eastAsiaTheme="minorHAnsi" w:hAnsi="Arial" w:cstheme="minorBidi"/>
          <w:szCs w:val="22"/>
          <w:lang w:val="en-US" w:eastAsia="en-US"/>
        </w:rPr>
        <w:t xml:space="preserve"> modes. </w:t>
      </w:r>
    </w:p>
    <w:p w14:paraId="531CAB73" w14:textId="21C65703" w:rsidR="0091359B" w:rsidRPr="00B17140" w:rsidRDefault="00BA7F12" w:rsidP="00873621">
      <w:pPr>
        <w:pStyle w:val="ListParagraph"/>
        <w:numPr>
          <w:ilvl w:val="1"/>
          <w:numId w:val="12"/>
        </w:numPr>
        <w:rPr>
          <w:rFonts w:eastAsiaTheme="minorHAnsi"/>
        </w:rPr>
      </w:pPr>
      <w:r w:rsidRPr="00B17140">
        <w:rPr>
          <w:rFonts w:ascii="Arial" w:eastAsiaTheme="minorHAnsi" w:hAnsi="Arial" w:cstheme="minorBidi"/>
          <w:szCs w:val="22"/>
          <w:lang w:val="en-US" w:eastAsia="en-US"/>
        </w:rPr>
        <w:t xml:space="preserve">After the </w:t>
      </w:r>
      <w:r w:rsidR="00BE040F" w:rsidRPr="00B17140">
        <w:rPr>
          <w:rFonts w:ascii="Arial" w:eastAsiaTheme="minorHAnsi" w:hAnsi="Arial" w:cstheme="minorBidi"/>
          <w:szCs w:val="22"/>
          <w:lang w:val="en-US" w:eastAsia="en-US"/>
        </w:rPr>
        <w:t xml:space="preserve">study is concluded TSG RAN will decide </w:t>
      </w:r>
      <w:r w:rsidR="008F5BA0" w:rsidRPr="00B17140">
        <w:rPr>
          <w:rFonts w:ascii="Arial" w:eastAsiaTheme="minorHAnsi" w:hAnsi="Arial" w:cstheme="minorBidi"/>
          <w:szCs w:val="22"/>
          <w:lang w:val="en-US" w:eastAsia="en-US"/>
        </w:rPr>
        <w:t>whether</w:t>
      </w:r>
      <w:r w:rsidR="00BE040F" w:rsidRPr="00B17140">
        <w:rPr>
          <w:rFonts w:ascii="Arial" w:eastAsiaTheme="minorHAnsi" w:hAnsi="Arial" w:cstheme="minorBidi"/>
          <w:szCs w:val="22"/>
          <w:lang w:val="en-US" w:eastAsia="en-US"/>
        </w:rPr>
        <w:t xml:space="preserve"> they </w:t>
      </w:r>
      <w:r w:rsidR="00C80821" w:rsidRPr="00B17140">
        <w:rPr>
          <w:rFonts w:ascii="Arial" w:eastAsiaTheme="minorHAnsi" w:hAnsi="Arial" w:cstheme="minorBidi"/>
          <w:szCs w:val="22"/>
          <w:lang w:val="en-US" w:eastAsia="en-US"/>
        </w:rPr>
        <w:t>should be supported.</w:t>
      </w:r>
    </w:p>
    <w:sectPr w:rsidR="0091359B" w:rsidRPr="00B171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EEC01" w14:textId="77777777" w:rsidR="00A0260A" w:rsidRDefault="00A0260A" w:rsidP="00F25CB6">
      <w:pPr>
        <w:spacing w:after="0" w:line="240" w:lineRule="auto"/>
      </w:pPr>
      <w:r>
        <w:separator/>
      </w:r>
    </w:p>
  </w:endnote>
  <w:endnote w:type="continuationSeparator" w:id="0">
    <w:p w14:paraId="6E2D310A" w14:textId="77777777" w:rsidR="00A0260A" w:rsidRDefault="00A0260A" w:rsidP="00F25CB6">
      <w:pPr>
        <w:spacing w:after="0" w:line="240" w:lineRule="auto"/>
      </w:pPr>
      <w:r>
        <w:continuationSeparator/>
      </w:r>
    </w:p>
  </w:endnote>
  <w:endnote w:type="continuationNotice" w:id="1">
    <w:p w14:paraId="01B77927" w14:textId="77777777" w:rsidR="00A0260A" w:rsidRDefault="00A02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A3C88" w14:textId="77777777" w:rsidR="00A0260A" w:rsidRDefault="00A0260A" w:rsidP="00F25CB6">
      <w:pPr>
        <w:spacing w:after="0" w:line="240" w:lineRule="auto"/>
      </w:pPr>
      <w:r>
        <w:separator/>
      </w:r>
    </w:p>
  </w:footnote>
  <w:footnote w:type="continuationSeparator" w:id="0">
    <w:p w14:paraId="1CA8D4C0" w14:textId="77777777" w:rsidR="00A0260A" w:rsidRDefault="00A0260A" w:rsidP="00F25CB6">
      <w:pPr>
        <w:spacing w:after="0" w:line="240" w:lineRule="auto"/>
      </w:pPr>
      <w:r>
        <w:continuationSeparator/>
      </w:r>
    </w:p>
  </w:footnote>
  <w:footnote w:type="continuationNotice" w:id="1">
    <w:p w14:paraId="72F822B0" w14:textId="77777777" w:rsidR="00A0260A" w:rsidRDefault="00A026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2DE4DC9"/>
    <w:multiLevelType w:val="hybridMultilevel"/>
    <w:tmpl w:val="BCFCBB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5"/>
  </w:num>
  <w:num w:numId="2" w16cid:durableId="1174219751">
    <w:abstractNumId w:val="4"/>
  </w:num>
  <w:num w:numId="3" w16cid:durableId="216472925">
    <w:abstractNumId w:val="0"/>
  </w:num>
  <w:num w:numId="4" w16cid:durableId="1891842015">
    <w:abstractNumId w:val="9"/>
  </w:num>
  <w:num w:numId="5" w16cid:durableId="267470053">
    <w:abstractNumId w:val="8"/>
  </w:num>
  <w:num w:numId="6" w16cid:durableId="514197527">
    <w:abstractNumId w:val="3"/>
  </w:num>
  <w:num w:numId="7" w16cid:durableId="542641728">
    <w:abstractNumId w:val="11"/>
  </w:num>
  <w:num w:numId="8" w16cid:durableId="1871213951">
    <w:abstractNumId w:val="6"/>
  </w:num>
  <w:num w:numId="9" w16cid:durableId="869074757">
    <w:abstractNumId w:val="1"/>
  </w:num>
  <w:num w:numId="10" w16cid:durableId="1933195565">
    <w:abstractNumId w:val="2"/>
  </w:num>
  <w:num w:numId="11" w16cid:durableId="375004741">
    <w:abstractNumId w:val="10"/>
  </w:num>
  <w:num w:numId="12" w16cid:durableId="9998859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5063"/>
    <w:rsid w:val="00011025"/>
    <w:rsid w:val="0001328A"/>
    <w:rsid w:val="000138EE"/>
    <w:rsid w:val="00022F28"/>
    <w:rsid w:val="00024520"/>
    <w:rsid w:val="00031056"/>
    <w:rsid w:val="00033608"/>
    <w:rsid w:val="000622BD"/>
    <w:rsid w:val="000716D0"/>
    <w:rsid w:val="00076167"/>
    <w:rsid w:val="0007754E"/>
    <w:rsid w:val="000776BC"/>
    <w:rsid w:val="00082610"/>
    <w:rsid w:val="00091BDC"/>
    <w:rsid w:val="000A2043"/>
    <w:rsid w:val="000A604E"/>
    <w:rsid w:val="000C1057"/>
    <w:rsid w:val="000D03B4"/>
    <w:rsid w:val="000D22FC"/>
    <w:rsid w:val="000E3D9B"/>
    <w:rsid w:val="000E630A"/>
    <w:rsid w:val="00102299"/>
    <w:rsid w:val="00123C77"/>
    <w:rsid w:val="001407CA"/>
    <w:rsid w:val="0014146E"/>
    <w:rsid w:val="00145C69"/>
    <w:rsid w:val="001502DE"/>
    <w:rsid w:val="0015231B"/>
    <w:rsid w:val="00152ABA"/>
    <w:rsid w:val="00156CAC"/>
    <w:rsid w:val="001627E1"/>
    <w:rsid w:val="00166F81"/>
    <w:rsid w:val="00167118"/>
    <w:rsid w:val="00173B2A"/>
    <w:rsid w:val="00181F81"/>
    <w:rsid w:val="00183809"/>
    <w:rsid w:val="00186CE6"/>
    <w:rsid w:val="001903EF"/>
    <w:rsid w:val="001940B9"/>
    <w:rsid w:val="001D2CC8"/>
    <w:rsid w:val="001F51BE"/>
    <w:rsid w:val="001F65E6"/>
    <w:rsid w:val="00201308"/>
    <w:rsid w:val="00213DA3"/>
    <w:rsid w:val="00214F8C"/>
    <w:rsid w:val="002159CA"/>
    <w:rsid w:val="002166AC"/>
    <w:rsid w:val="00217D4B"/>
    <w:rsid w:val="00223CF4"/>
    <w:rsid w:val="00227ACD"/>
    <w:rsid w:val="00232F36"/>
    <w:rsid w:val="00241F95"/>
    <w:rsid w:val="002451F2"/>
    <w:rsid w:val="00253E67"/>
    <w:rsid w:val="00255FF2"/>
    <w:rsid w:val="00266D92"/>
    <w:rsid w:val="00274843"/>
    <w:rsid w:val="00285AAF"/>
    <w:rsid w:val="00297305"/>
    <w:rsid w:val="002A3909"/>
    <w:rsid w:val="002A743C"/>
    <w:rsid w:val="002B234A"/>
    <w:rsid w:val="002B5432"/>
    <w:rsid w:val="002D1CEA"/>
    <w:rsid w:val="002D48BC"/>
    <w:rsid w:val="002D6E2E"/>
    <w:rsid w:val="002F0145"/>
    <w:rsid w:val="00311237"/>
    <w:rsid w:val="0031565F"/>
    <w:rsid w:val="00316280"/>
    <w:rsid w:val="003226CC"/>
    <w:rsid w:val="003248A6"/>
    <w:rsid w:val="00334B24"/>
    <w:rsid w:val="00362E82"/>
    <w:rsid w:val="00381493"/>
    <w:rsid w:val="003902BB"/>
    <w:rsid w:val="003B62E6"/>
    <w:rsid w:val="003B6FC1"/>
    <w:rsid w:val="003D16BE"/>
    <w:rsid w:val="003D48DA"/>
    <w:rsid w:val="003D7004"/>
    <w:rsid w:val="00407D6E"/>
    <w:rsid w:val="0042011F"/>
    <w:rsid w:val="004404F1"/>
    <w:rsid w:val="00444213"/>
    <w:rsid w:val="00446932"/>
    <w:rsid w:val="00447091"/>
    <w:rsid w:val="00452E6C"/>
    <w:rsid w:val="00460FA4"/>
    <w:rsid w:val="00470C09"/>
    <w:rsid w:val="004759DF"/>
    <w:rsid w:val="00475A23"/>
    <w:rsid w:val="00476432"/>
    <w:rsid w:val="00476FAC"/>
    <w:rsid w:val="0048696F"/>
    <w:rsid w:val="00490E40"/>
    <w:rsid w:val="00492828"/>
    <w:rsid w:val="004A6C20"/>
    <w:rsid w:val="004B6B78"/>
    <w:rsid w:val="004C2742"/>
    <w:rsid w:val="004D36DF"/>
    <w:rsid w:val="004E0C79"/>
    <w:rsid w:val="004E2E9E"/>
    <w:rsid w:val="004F75C0"/>
    <w:rsid w:val="00503414"/>
    <w:rsid w:val="00507906"/>
    <w:rsid w:val="00514A69"/>
    <w:rsid w:val="00521D82"/>
    <w:rsid w:val="00524001"/>
    <w:rsid w:val="005315E1"/>
    <w:rsid w:val="00535E64"/>
    <w:rsid w:val="0053632D"/>
    <w:rsid w:val="00546081"/>
    <w:rsid w:val="00554BB8"/>
    <w:rsid w:val="005603A7"/>
    <w:rsid w:val="00561411"/>
    <w:rsid w:val="00585C17"/>
    <w:rsid w:val="00592006"/>
    <w:rsid w:val="00594E31"/>
    <w:rsid w:val="00596938"/>
    <w:rsid w:val="005D7E10"/>
    <w:rsid w:val="00605397"/>
    <w:rsid w:val="00614D21"/>
    <w:rsid w:val="00624AE1"/>
    <w:rsid w:val="006261CA"/>
    <w:rsid w:val="00642313"/>
    <w:rsid w:val="00642446"/>
    <w:rsid w:val="00647F4C"/>
    <w:rsid w:val="00652615"/>
    <w:rsid w:val="00667C0E"/>
    <w:rsid w:val="00674477"/>
    <w:rsid w:val="00675551"/>
    <w:rsid w:val="00685FA5"/>
    <w:rsid w:val="00691F9F"/>
    <w:rsid w:val="00692162"/>
    <w:rsid w:val="006B0C81"/>
    <w:rsid w:val="006B6A43"/>
    <w:rsid w:val="006C720E"/>
    <w:rsid w:val="006D63D5"/>
    <w:rsid w:val="006E69B2"/>
    <w:rsid w:val="006E69C3"/>
    <w:rsid w:val="006F0FFF"/>
    <w:rsid w:val="006F2C79"/>
    <w:rsid w:val="006F5648"/>
    <w:rsid w:val="00707EDA"/>
    <w:rsid w:val="0071137E"/>
    <w:rsid w:val="00727760"/>
    <w:rsid w:val="00744C77"/>
    <w:rsid w:val="00752F74"/>
    <w:rsid w:val="00755ACB"/>
    <w:rsid w:val="007707DA"/>
    <w:rsid w:val="00783D2E"/>
    <w:rsid w:val="00785A02"/>
    <w:rsid w:val="00797164"/>
    <w:rsid w:val="007A4BCF"/>
    <w:rsid w:val="007A6BC3"/>
    <w:rsid w:val="007B464F"/>
    <w:rsid w:val="007B53E2"/>
    <w:rsid w:val="007C6F63"/>
    <w:rsid w:val="007F28A8"/>
    <w:rsid w:val="007F708D"/>
    <w:rsid w:val="008057A0"/>
    <w:rsid w:val="0081043E"/>
    <w:rsid w:val="008128DF"/>
    <w:rsid w:val="008505D0"/>
    <w:rsid w:val="0085091D"/>
    <w:rsid w:val="00867955"/>
    <w:rsid w:val="00873621"/>
    <w:rsid w:val="0088110A"/>
    <w:rsid w:val="008817F9"/>
    <w:rsid w:val="008879AF"/>
    <w:rsid w:val="0089227C"/>
    <w:rsid w:val="00892A4F"/>
    <w:rsid w:val="00893A43"/>
    <w:rsid w:val="008A1B83"/>
    <w:rsid w:val="008B48B7"/>
    <w:rsid w:val="008C1431"/>
    <w:rsid w:val="008D3AD2"/>
    <w:rsid w:val="008E5BC2"/>
    <w:rsid w:val="008F5BA0"/>
    <w:rsid w:val="009115A9"/>
    <w:rsid w:val="0091359B"/>
    <w:rsid w:val="009344EB"/>
    <w:rsid w:val="00935379"/>
    <w:rsid w:val="009510BF"/>
    <w:rsid w:val="00952F16"/>
    <w:rsid w:val="00953552"/>
    <w:rsid w:val="00960A4F"/>
    <w:rsid w:val="009833C1"/>
    <w:rsid w:val="00987F5A"/>
    <w:rsid w:val="009942AE"/>
    <w:rsid w:val="00996A6B"/>
    <w:rsid w:val="009A66DF"/>
    <w:rsid w:val="009B0707"/>
    <w:rsid w:val="009B57EE"/>
    <w:rsid w:val="009D0FCE"/>
    <w:rsid w:val="009D2843"/>
    <w:rsid w:val="009D47CC"/>
    <w:rsid w:val="009E7E9A"/>
    <w:rsid w:val="009F0542"/>
    <w:rsid w:val="009F30DF"/>
    <w:rsid w:val="009F606E"/>
    <w:rsid w:val="009F7996"/>
    <w:rsid w:val="00A0260A"/>
    <w:rsid w:val="00A11F43"/>
    <w:rsid w:val="00A2243D"/>
    <w:rsid w:val="00A22D47"/>
    <w:rsid w:val="00A35F66"/>
    <w:rsid w:val="00A479C5"/>
    <w:rsid w:val="00A57962"/>
    <w:rsid w:val="00A57D53"/>
    <w:rsid w:val="00A740B5"/>
    <w:rsid w:val="00A7646D"/>
    <w:rsid w:val="00A80532"/>
    <w:rsid w:val="00A907EB"/>
    <w:rsid w:val="00A93C0B"/>
    <w:rsid w:val="00A94E15"/>
    <w:rsid w:val="00A966B2"/>
    <w:rsid w:val="00AA0C01"/>
    <w:rsid w:val="00AA1355"/>
    <w:rsid w:val="00AC175D"/>
    <w:rsid w:val="00AC3262"/>
    <w:rsid w:val="00AC4974"/>
    <w:rsid w:val="00AD31AF"/>
    <w:rsid w:val="00AD3C7A"/>
    <w:rsid w:val="00AD4DFD"/>
    <w:rsid w:val="00AD71EF"/>
    <w:rsid w:val="00AE787C"/>
    <w:rsid w:val="00B10D5B"/>
    <w:rsid w:val="00B1265C"/>
    <w:rsid w:val="00B17140"/>
    <w:rsid w:val="00B17A99"/>
    <w:rsid w:val="00B41177"/>
    <w:rsid w:val="00B64CC4"/>
    <w:rsid w:val="00B6752D"/>
    <w:rsid w:val="00B6797D"/>
    <w:rsid w:val="00B67DCD"/>
    <w:rsid w:val="00B95D91"/>
    <w:rsid w:val="00B96A66"/>
    <w:rsid w:val="00BA2ED8"/>
    <w:rsid w:val="00BA6F8E"/>
    <w:rsid w:val="00BA7F12"/>
    <w:rsid w:val="00BC28FE"/>
    <w:rsid w:val="00BE040F"/>
    <w:rsid w:val="00BE776E"/>
    <w:rsid w:val="00C03CD2"/>
    <w:rsid w:val="00C10562"/>
    <w:rsid w:val="00C14BDD"/>
    <w:rsid w:val="00C2071E"/>
    <w:rsid w:val="00C24D43"/>
    <w:rsid w:val="00C272F8"/>
    <w:rsid w:val="00C3340E"/>
    <w:rsid w:val="00C6521E"/>
    <w:rsid w:val="00C703D5"/>
    <w:rsid w:val="00C7054C"/>
    <w:rsid w:val="00C72CD8"/>
    <w:rsid w:val="00C80821"/>
    <w:rsid w:val="00C8210B"/>
    <w:rsid w:val="00C842E5"/>
    <w:rsid w:val="00C87647"/>
    <w:rsid w:val="00C94302"/>
    <w:rsid w:val="00CB589B"/>
    <w:rsid w:val="00CB5B83"/>
    <w:rsid w:val="00CB78C9"/>
    <w:rsid w:val="00CB7C15"/>
    <w:rsid w:val="00CC3BD0"/>
    <w:rsid w:val="00CC5B93"/>
    <w:rsid w:val="00CE1E3D"/>
    <w:rsid w:val="00CE6B28"/>
    <w:rsid w:val="00CE7D74"/>
    <w:rsid w:val="00CF0500"/>
    <w:rsid w:val="00CF1F72"/>
    <w:rsid w:val="00D04991"/>
    <w:rsid w:val="00D05996"/>
    <w:rsid w:val="00D0664B"/>
    <w:rsid w:val="00D11E99"/>
    <w:rsid w:val="00D223D5"/>
    <w:rsid w:val="00D278E9"/>
    <w:rsid w:val="00D34BEC"/>
    <w:rsid w:val="00D374D7"/>
    <w:rsid w:val="00D452E6"/>
    <w:rsid w:val="00D46877"/>
    <w:rsid w:val="00D47FD9"/>
    <w:rsid w:val="00D534DC"/>
    <w:rsid w:val="00D553C7"/>
    <w:rsid w:val="00D56D9D"/>
    <w:rsid w:val="00D730C4"/>
    <w:rsid w:val="00D7455D"/>
    <w:rsid w:val="00D74703"/>
    <w:rsid w:val="00D80673"/>
    <w:rsid w:val="00D80AA1"/>
    <w:rsid w:val="00D80FE4"/>
    <w:rsid w:val="00D85B7A"/>
    <w:rsid w:val="00DA0451"/>
    <w:rsid w:val="00DA23E5"/>
    <w:rsid w:val="00DA5C4D"/>
    <w:rsid w:val="00DB3649"/>
    <w:rsid w:val="00DB3CCC"/>
    <w:rsid w:val="00DC3CA5"/>
    <w:rsid w:val="00DD11AC"/>
    <w:rsid w:val="00DD3666"/>
    <w:rsid w:val="00DE400F"/>
    <w:rsid w:val="00DF6058"/>
    <w:rsid w:val="00E403F0"/>
    <w:rsid w:val="00E4473C"/>
    <w:rsid w:val="00E45065"/>
    <w:rsid w:val="00E53AB5"/>
    <w:rsid w:val="00E56467"/>
    <w:rsid w:val="00E6103A"/>
    <w:rsid w:val="00E63D7B"/>
    <w:rsid w:val="00E86CB0"/>
    <w:rsid w:val="00EA001C"/>
    <w:rsid w:val="00EA7F3C"/>
    <w:rsid w:val="00EB0B04"/>
    <w:rsid w:val="00EB0BE7"/>
    <w:rsid w:val="00EB3AA1"/>
    <w:rsid w:val="00EF7108"/>
    <w:rsid w:val="00F105DE"/>
    <w:rsid w:val="00F25CB6"/>
    <w:rsid w:val="00F31495"/>
    <w:rsid w:val="00F41AA9"/>
    <w:rsid w:val="00F52385"/>
    <w:rsid w:val="00F754F2"/>
    <w:rsid w:val="00F82964"/>
    <w:rsid w:val="00F918BC"/>
    <w:rsid w:val="00FA6B35"/>
    <w:rsid w:val="00FC6C5B"/>
    <w:rsid w:val="00FD2C51"/>
    <w:rsid w:val="00FD33EE"/>
    <w:rsid w:val="00FD3C6A"/>
    <w:rsid w:val="00FE03B1"/>
    <w:rsid w:val="00FE1070"/>
    <w:rsid w:val="00FE184E"/>
    <w:rsid w:val="00FF0E04"/>
    <w:rsid w:val="208012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B639BB68-37A3-4E2D-8336-708F57C9E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styleId="Header">
    <w:name w:val="header"/>
    <w:basedOn w:val="Normal"/>
    <w:link w:val="HeaderChar"/>
    <w:uiPriority w:val="99"/>
    <w:unhideWhenUsed/>
    <w:rsid w:val="002D1C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5CB6"/>
    <w:rPr>
      <w:rFonts w:ascii="Arial" w:hAnsi="Arial"/>
      <w:sz w:val="20"/>
    </w:rPr>
  </w:style>
  <w:style w:type="paragraph" w:styleId="Footer">
    <w:name w:val="footer"/>
    <w:basedOn w:val="Normal"/>
    <w:link w:val="FooterChar"/>
    <w:uiPriority w:val="99"/>
    <w:unhideWhenUsed/>
    <w:rsid w:val="002D1C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5CB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9536F1-401F-4D8A-A401-129E45AD1A7F}">
  <ds:schemaRefs>
    <ds:schemaRef ds:uri="http://schemas.microsoft.com/sharepoint/v3/contenttype/forms"/>
  </ds:schemaRefs>
</ds:datastoreItem>
</file>

<file path=customXml/itemProps2.xml><?xml version="1.0" encoding="utf-8"?>
<ds:datastoreItem xmlns:ds="http://schemas.openxmlformats.org/officeDocument/2006/customXml" ds:itemID="{64315A5A-8EBF-413E-A310-53ED68FBFCD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6134526-1FCB-4C4B-B140-4859492AF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360</TotalTime>
  <Pages>2</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Migaldi, Scott</cp:lastModifiedBy>
  <cp:revision>184</cp:revision>
  <dcterms:created xsi:type="dcterms:W3CDTF">2025-05-09T01:46:00Z</dcterms:created>
  <dcterms:modified xsi:type="dcterms:W3CDTF">2025-06-13T06:15:00Z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86600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ContentTypeId">
    <vt:lpwstr>0x010100F3E9551B3FDDA24EBF0A209BAAD637CA</vt:lpwstr>
  </property>
  <property fmtid="{D5CDD505-2E9C-101B-9397-08002B2CF9AE}" pid="7" name="MSIP_Label_b1aa2129-79ec-42c0-bfac-e5b7a0374572_SetDate">
    <vt:lpwstr>2018-07-29T10:22:25.9722227Z</vt:lpwstr>
  </property>
  <property fmtid="{D5CDD505-2E9C-101B-9397-08002B2CF9AE}" pid="8" name="ComplianceAssetId">
    <vt:lpwstr/>
  </property>
  <property fmtid="{D5CDD505-2E9C-101B-9397-08002B2CF9AE}" pid="9" name="MSIP_Label_b1aa2129-79ec-42c0-bfac-e5b7a0374572_Extended_MSFT_Method">
    <vt:lpwstr>Manual</vt:lpwstr>
  </property>
  <property fmtid="{D5CDD505-2E9C-101B-9397-08002B2CF9AE}" pid="10" name="TemplateUrl">
    <vt:lpwstr/>
  </property>
  <property fmtid="{D5CDD505-2E9C-101B-9397-08002B2CF9AE}" pid="11" name="MSIP_Label_b1aa2129-79ec-42c0-bfac-e5b7a0374572_Name">
    <vt:lpwstr>Public</vt:lpwstr>
  </property>
  <property fmtid="{D5CDD505-2E9C-101B-9397-08002B2CF9AE}" pid="12" name="_ExtendedDescription">
    <vt:lpwstr/>
  </property>
  <property fmtid="{D5CDD505-2E9C-101B-9397-08002B2CF9AE}" pid="13" name="MSIP_Label_b1aa2129-79ec-42c0-bfac-e5b7a0374572_Application">
    <vt:lpwstr>Microsoft Azure Information Protection</vt:lpwstr>
  </property>
  <property fmtid="{D5CDD505-2E9C-101B-9397-08002B2CF9AE}" pid="14" name="Sensitivity">
    <vt:lpwstr>Public</vt:lpwstr>
  </property>
  <property fmtid="{D5CDD505-2E9C-101B-9397-08002B2CF9AE}" pid="15" name="xd_Signature">
    <vt:bool>false</vt:bool>
  </property>
  <property fmtid="{D5CDD505-2E9C-101B-9397-08002B2CF9AE}" pid="16" name="MSIP_Label_b1aa2129-79ec-42c0-bfac-e5b7a0374572_SiteId">
    <vt:lpwstr>5d471751-9675-428d-917b-70f44f9630b0</vt:lpwstr>
  </property>
  <property fmtid="{D5CDD505-2E9C-101B-9397-08002B2CF9AE}" pid="17" name="MSIP_Label_b1aa2129-79ec-42c0-bfac-e5b7a0374572_Owner">
    <vt:lpwstr>balazs.bertenyi@nokia.com</vt:lpwstr>
  </property>
  <property fmtid="{D5CDD505-2E9C-101B-9397-08002B2CF9AE}" pid="18" name="TriggerFlowInfo">
    <vt:lpwstr/>
  </property>
  <property fmtid="{D5CDD505-2E9C-101B-9397-08002B2CF9AE}" pid="19" name="FLCMData">
    <vt:lpwstr>766DA7894274BBCCF29A4F2B9E432978E71B647B8E0980416E99B1557B83B7247ED19C7CFBC246A7FC18005AA0EEB68EB16275868AC4D08C9CD086BD55F370D3</vt:lpwstr>
  </property>
</Properties>
</file>