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447258AB" wp14:editId="57BEE149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D83A4A" w:rsidRPr="000F0C5C" w:rsidRDefault="00D83A4A" w:rsidP="00D83A4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Style w:val="Hyperlink"/>
                <w:rFonts w:ascii="Verdana" w:hAnsi="Verdana"/>
                <w:color w:val="auto"/>
                <w:sz w:val="20"/>
                <w:lang w:val="fr-FR" w:eastAsia="ja-JP"/>
              </w:rPr>
            </w:pPr>
            <w:bookmarkStart w:id="1" w:name="recibido"/>
            <w:bookmarkStart w:id="2" w:name="dnum" w:colFirst="1" w:colLast="1"/>
            <w:bookmarkEnd w:id="1"/>
            <w:r w:rsidRPr="000F0C5C">
              <w:rPr>
                <w:rFonts w:ascii="Verdana" w:hAnsi="Verdana"/>
                <w:sz w:val="20"/>
                <w:lang w:val="fr-FR" w:eastAsia="ja-JP"/>
              </w:rPr>
              <w:t>Source:</w:t>
            </w:r>
            <w:r w:rsidRPr="000F0C5C">
              <w:rPr>
                <w:rFonts w:ascii="Verdana" w:hAnsi="Verdana"/>
                <w:sz w:val="20"/>
                <w:lang w:val="fr-FR" w:eastAsia="ja-JP"/>
              </w:rPr>
              <w:tab/>
              <w:t xml:space="preserve">Document </w:t>
            </w:r>
            <w:r w:rsidR="000F0C5C" w:rsidRPr="000F0C5C">
              <w:rPr>
                <w:rFonts w:ascii="Verdana" w:hAnsi="Verdana"/>
                <w:sz w:val="20"/>
                <w:lang w:val="fr-FR" w:eastAsia="ja-JP"/>
              </w:rPr>
              <w:t>5C/TEMP/43</w:t>
            </w:r>
          </w:p>
          <w:p w:rsidR="00D73A04" w:rsidRPr="000F0C5C" w:rsidRDefault="00D83A4A" w:rsidP="00D83A4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r w:rsidRPr="000F0C5C">
              <w:rPr>
                <w:rFonts w:ascii="Verdana" w:hAnsi="Verdana"/>
                <w:sz w:val="20"/>
                <w:lang w:val="fr-FR"/>
              </w:rPr>
              <w:t>Subject:</w:t>
            </w:r>
            <w:r w:rsidRPr="000F0C5C">
              <w:rPr>
                <w:rFonts w:ascii="Verdana" w:hAnsi="Verdana"/>
                <w:sz w:val="20"/>
                <w:lang w:val="fr-FR"/>
              </w:rPr>
              <w:tab/>
            </w:r>
            <w:r w:rsidRPr="000F0C5C">
              <w:rPr>
                <w:lang w:val="fr-FR"/>
              </w:rPr>
              <w:t xml:space="preserve"> </w:t>
            </w:r>
            <w:r w:rsidRPr="000F0C5C">
              <w:rPr>
                <w:rFonts w:ascii="Verdana" w:hAnsi="Verdana"/>
                <w:sz w:val="20"/>
                <w:lang w:val="fr-FR"/>
              </w:rPr>
              <w:t>Question ITU-R 25</w:t>
            </w:r>
            <w:r w:rsidRPr="000F0C5C">
              <w:rPr>
                <w:rFonts w:ascii="Verdana" w:hAnsi="Verdana" w:hint="eastAsia"/>
                <w:sz w:val="20"/>
                <w:lang w:val="fr-FR" w:eastAsia="ja-JP"/>
              </w:rPr>
              <w:t>7</w:t>
            </w:r>
            <w:r w:rsidRPr="000F0C5C">
              <w:rPr>
                <w:rFonts w:ascii="Verdana" w:hAnsi="Verdana"/>
                <w:sz w:val="20"/>
                <w:lang w:val="fr-FR"/>
              </w:rPr>
              <w:t>/5</w:t>
            </w:r>
          </w:p>
        </w:tc>
        <w:tc>
          <w:tcPr>
            <w:tcW w:w="3402" w:type="dxa"/>
          </w:tcPr>
          <w:p w:rsidR="000069D4" w:rsidRPr="00DA70C7" w:rsidRDefault="000F0C5C" w:rsidP="006C6EF6">
            <w:pPr>
              <w:pStyle w:val="DocData"/>
              <w:framePr w:hSpace="0" w:wrap="auto" w:hAnchor="text" w:yAlign="inline"/>
              <w:rPr>
                <w:lang w:eastAsia="ja-JP"/>
              </w:rPr>
            </w:pPr>
            <w:r>
              <w:t>Annex 1.5 to</w:t>
            </w:r>
            <w:r>
              <w:br/>
            </w:r>
            <w:r w:rsidR="00DA70C7">
              <w:t xml:space="preserve">Document </w:t>
            </w:r>
            <w:r w:rsidR="00BE4BDF">
              <w:t>5C</w:t>
            </w:r>
            <w:r w:rsidR="001A09D6">
              <w:t>/</w:t>
            </w:r>
            <w:r>
              <w:t>152</w:t>
            </w:r>
            <w:r w:rsidR="004B162B">
              <w:rPr>
                <w:lang w:eastAsia="ja-JP"/>
              </w:rPr>
              <w:t>-E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DA70C7" w:rsidRDefault="000F0C5C" w:rsidP="006C6EF6">
            <w:pPr>
              <w:pStyle w:val="DocData"/>
              <w:framePr w:hSpace="0" w:wrap="auto" w:hAnchor="text" w:yAlign="inline"/>
            </w:pPr>
            <w:r>
              <w:rPr>
                <w:lang w:eastAsia="ja-JP"/>
              </w:rPr>
              <w:t>12 Dec</w:t>
            </w:r>
            <w:r w:rsidR="00BE4BDF">
              <w:t>ember 2024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D73A04" w:rsidRDefault="00D73A04" w:rsidP="006C6EF6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D73A04">
              <w:rPr>
                <w:rFonts w:eastAsia="SimSu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F0C5C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Annex 1.5 to Working Party 5C Chair’s Report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BE4BDF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C488D">
              <w:rPr>
                <w:caps w:val="0"/>
                <w:lang w:eastAsia="ja-JP"/>
              </w:rPr>
              <w:t xml:space="preserve">WORKING DOCUMENT TOWARDS A PRELIMINARY DRAFT </w:t>
            </w:r>
            <w:r>
              <w:rPr>
                <w:caps w:val="0"/>
                <w:lang w:eastAsia="ja-JP"/>
              </w:rPr>
              <w:br/>
            </w:r>
            <w:r w:rsidRPr="00CC488D">
              <w:rPr>
                <w:caps w:val="0"/>
                <w:lang w:eastAsia="ja-JP"/>
              </w:rPr>
              <w:t>NEW REPORT ITU-R F.[</w:t>
            </w:r>
            <w:bookmarkStart w:id="7" w:name="_Hlk166791380"/>
            <w:r>
              <w:rPr>
                <w:caps w:val="0"/>
                <w:lang w:eastAsia="ja-JP"/>
              </w:rPr>
              <w:t>FS.CHAR.</w:t>
            </w:r>
            <w:r w:rsidRPr="00CC488D">
              <w:rPr>
                <w:caps w:val="0"/>
                <w:lang w:eastAsia="ja-JP"/>
              </w:rPr>
              <w:t>450</w:t>
            </w:r>
            <w:r>
              <w:rPr>
                <w:caps w:val="0"/>
                <w:lang w:eastAsia="ja-JP"/>
              </w:rPr>
              <w:t>-1</w:t>
            </w:r>
            <w:r w:rsidRPr="00CC488D">
              <w:rPr>
                <w:caps w:val="0"/>
                <w:lang w:eastAsia="ja-JP"/>
              </w:rPr>
              <w:t xml:space="preserve"> </w:t>
            </w:r>
            <w:r>
              <w:rPr>
                <w:caps w:val="0"/>
                <w:lang w:eastAsia="ja-JP"/>
              </w:rPr>
              <w:t>000</w:t>
            </w:r>
            <w:r w:rsidRPr="00CC488D">
              <w:rPr>
                <w:caps w:val="0"/>
                <w:lang w:eastAsia="ja-JP"/>
              </w:rPr>
              <w:t xml:space="preserve"> GHZ</w:t>
            </w:r>
            <w:bookmarkEnd w:id="7"/>
            <w:r w:rsidRPr="00CC488D">
              <w:rPr>
                <w:caps w:val="0"/>
                <w:lang w:eastAsia="ja-JP"/>
              </w:rPr>
              <w:t>]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BE4BDF" w:rsidP="001A09D6">
            <w:pPr>
              <w:pStyle w:val="Title4"/>
              <w:rPr>
                <w:lang w:eastAsia="zh-CN"/>
              </w:rPr>
            </w:pPr>
            <w:bookmarkStart w:id="8" w:name="_Hlk162014725"/>
            <w:bookmarkStart w:id="9" w:name="dtitle1" w:colFirst="0" w:colLast="0"/>
            <w:bookmarkEnd w:id="6"/>
            <w:r w:rsidRPr="00CC488D">
              <w:rPr>
                <w:lang w:eastAsia="ja-JP"/>
              </w:rPr>
              <w:t xml:space="preserve">Technical and operational characteristics of the fixed service applications operating in the frequency </w:t>
            </w:r>
            <w:r>
              <w:rPr>
                <w:rFonts w:hint="eastAsia"/>
                <w:lang w:eastAsia="ja-JP"/>
              </w:rPr>
              <w:t>range</w:t>
            </w:r>
            <w:r w:rsidRPr="00CC488D">
              <w:rPr>
                <w:lang w:eastAsia="ja-JP"/>
              </w:rPr>
              <w:t xml:space="preserve"> 450</w:t>
            </w:r>
            <w:r>
              <w:rPr>
                <w:rFonts w:hint="eastAsia"/>
                <w:lang w:eastAsia="ja-JP"/>
              </w:rPr>
              <w:t>-1 000</w:t>
            </w:r>
            <w:r w:rsidRPr="00CC488D">
              <w:rPr>
                <w:lang w:eastAsia="ja-JP"/>
              </w:rPr>
              <w:t xml:space="preserve"> GHz</w:t>
            </w:r>
            <w:bookmarkEnd w:id="8"/>
          </w:p>
        </w:tc>
      </w:tr>
    </w:tbl>
    <w:p w:rsidR="00BE4BDF" w:rsidRPr="00A51D6C" w:rsidRDefault="00BE4BDF" w:rsidP="00BE4BDF">
      <w:pPr>
        <w:pStyle w:val="Questionref"/>
        <w:rPr>
          <w:lang w:eastAsia="ja-JP"/>
        </w:rPr>
      </w:pPr>
      <w:bookmarkStart w:id="10" w:name="dbreak"/>
      <w:bookmarkEnd w:id="9"/>
      <w:bookmarkEnd w:id="10"/>
      <w:r w:rsidRPr="00CC488D">
        <w:rPr>
          <w:lang w:eastAsia="ja-JP"/>
        </w:rPr>
        <w:t>(Question ITU-R 257</w:t>
      </w:r>
      <w:r>
        <w:rPr>
          <w:rFonts w:hint="eastAsia"/>
          <w:lang w:eastAsia="ja-JP"/>
        </w:rPr>
        <w:t>-2</w:t>
      </w:r>
      <w:r w:rsidRPr="00CC488D">
        <w:rPr>
          <w:lang w:eastAsia="ja-JP"/>
        </w:rPr>
        <w:t>/5)</w:t>
      </w:r>
    </w:p>
    <w:p w:rsidR="00BE4BDF" w:rsidRPr="00CC488D" w:rsidRDefault="00BE4BDF" w:rsidP="00BE4BDF">
      <w:pPr>
        <w:pStyle w:val="Heading1"/>
      </w:pPr>
      <w:r w:rsidRPr="00CC488D">
        <w:t>1</w:t>
      </w:r>
      <w:r w:rsidRPr="00CC488D">
        <w:tab/>
        <w:t>Introduction</w:t>
      </w:r>
    </w:p>
    <w:p w:rsidR="00BE4BDF" w:rsidRPr="00CC488D" w:rsidRDefault="00BE4BDF" w:rsidP="00BE4BDF">
      <w:pPr>
        <w:rPr>
          <w:iCs/>
          <w:lang w:eastAsia="ja-JP"/>
        </w:rPr>
      </w:pPr>
      <w:r w:rsidRPr="00CC488D">
        <w:rPr>
          <w:iCs/>
        </w:rPr>
        <w:t>Radio Regulation</w:t>
      </w:r>
      <w:r w:rsidRPr="00CC488D">
        <w:rPr>
          <w:iCs/>
          <w:lang w:eastAsia="ja-JP"/>
        </w:rPr>
        <w:t>s</w:t>
      </w:r>
      <w:r w:rsidRPr="00CC488D">
        <w:rPr>
          <w:iCs/>
        </w:rPr>
        <w:t xml:space="preserve"> </w:t>
      </w:r>
      <w:r w:rsidRPr="00CC488D">
        <w:rPr>
          <w:iCs/>
          <w:lang w:eastAsia="ja-JP"/>
        </w:rPr>
        <w:t xml:space="preserve">(RR) </w:t>
      </w:r>
      <w:r w:rsidRPr="00CC488D">
        <w:rPr>
          <w:iCs/>
        </w:rPr>
        <w:t>No.</w:t>
      </w:r>
      <w:r w:rsidRPr="00CC488D">
        <w:rPr>
          <w:b/>
          <w:iCs/>
        </w:rPr>
        <w:t xml:space="preserve"> 5.565</w:t>
      </w:r>
      <w:r w:rsidRPr="00CC488D">
        <w:rPr>
          <w:iCs/>
        </w:rPr>
        <w:t xml:space="preserve"> identifies the specific frequency bands for applications of the radio astronomy service, the earth exploration</w:t>
      </w:r>
      <w:r w:rsidRPr="00CC488D">
        <w:t>-</w:t>
      </w:r>
      <w:r w:rsidRPr="00CC488D">
        <w:rPr>
          <w:iCs/>
        </w:rPr>
        <w:t xml:space="preserve">satellite service (passive), and the space research service (passive) in the frequency range 275-1 000 GHz. </w:t>
      </w:r>
      <w:r w:rsidRPr="00CC488D">
        <w:rPr>
          <w:iCs/>
          <w:lang w:eastAsia="ja-JP"/>
        </w:rPr>
        <w:t xml:space="preserve">RR No. </w:t>
      </w:r>
      <w:r w:rsidRPr="00CC488D">
        <w:rPr>
          <w:b/>
          <w:bCs/>
          <w:iCs/>
          <w:lang w:eastAsia="ja-JP"/>
        </w:rPr>
        <w:t>5.564A</w:t>
      </w:r>
      <w:r w:rsidRPr="00CC488D">
        <w:rPr>
          <w:iCs/>
          <w:lang w:eastAsia="ja-JP"/>
        </w:rPr>
        <w:t xml:space="preserve"> i</w:t>
      </w:r>
      <w:r w:rsidRPr="00CC488D">
        <w:rPr>
          <w:iCs/>
          <w:spacing w:val="-2"/>
        </w:rPr>
        <w:t>dentifies the frequency bands 275-296 GHz, 306-313 GHz, 318</w:t>
      </w:r>
      <w:r w:rsidRPr="00CC488D">
        <w:rPr>
          <w:iCs/>
          <w:spacing w:val="-2"/>
        </w:rPr>
        <w:noBreakHyphen/>
        <w:t>333 GHz and 356-450 GHz for use by administrations for the implementation of fixed service</w:t>
      </w:r>
      <w:r w:rsidRPr="00CC488D">
        <w:rPr>
          <w:iCs/>
          <w:spacing w:val="-2"/>
          <w:lang w:eastAsia="ja-JP"/>
        </w:rPr>
        <w:t xml:space="preserve"> (FS)</w:t>
      </w:r>
      <w:r w:rsidRPr="00CC488D">
        <w:rPr>
          <w:iCs/>
          <w:spacing w:val="-2"/>
        </w:rPr>
        <w:t xml:space="preserve"> </w:t>
      </w:r>
      <w:r w:rsidRPr="00CC488D">
        <w:rPr>
          <w:iCs/>
          <w:spacing w:val="-2"/>
          <w:lang w:eastAsia="ja-JP"/>
        </w:rPr>
        <w:t xml:space="preserve">and </w:t>
      </w:r>
      <w:r w:rsidRPr="00CC488D">
        <w:rPr>
          <w:iCs/>
          <w:spacing w:val="-2"/>
        </w:rPr>
        <w:t>land mobile</w:t>
      </w:r>
      <w:r w:rsidRPr="00CC488D">
        <w:rPr>
          <w:iCs/>
          <w:spacing w:val="-2"/>
          <w:lang w:eastAsia="ja-JP"/>
        </w:rPr>
        <w:t xml:space="preserve"> service (MS)</w:t>
      </w:r>
      <w:r w:rsidRPr="00CC488D">
        <w:rPr>
          <w:iCs/>
          <w:spacing w:val="-2"/>
        </w:rPr>
        <w:t xml:space="preserve"> applications</w:t>
      </w:r>
      <w:r w:rsidRPr="00CC488D">
        <w:rPr>
          <w:iCs/>
          <w:spacing w:val="-2"/>
          <w:lang w:eastAsia="ja-JP"/>
        </w:rPr>
        <w:t xml:space="preserve">. </w:t>
      </w:r>
      <w:r w:rsidRPr="00CC488D">
        <w:rPr>
          <w:iCs/>
        </w:rPr>
        <w:t xml:space="preserve">Although the use of the frequency </w:t>
      </w:r>
      <w:r w:rsidRPr="00CC488D">
        <w:rPr>
          <w:iCs/>
          <w:lang w:eastAsia="ja-JP"/>
        </w:rPr>
        <w:t xml:space="preserve">range 450-1 </w:t>
      </w:r>
      <w:r w:rsidRPr="00CC488D">
        <w:rPr>
          <w:iCs/>
        </w:rPr>
        <w:t xml:space="preserve">000 GHz by the passive services does not preclude use of this range by </w:t>
      </w:r>
      <w:r w:rsidRPr="00CC488D">
        <w:rPr>
          <w:iCs/>
          <w:lang w:eastAsia="ja-JP"/>
        </w:rPr>
        <w:t>FS and MS applications</w:t>
      </w:r>
      <w:r w:rsidRPr="00CC488D">
        <w:rPr>
          <w:iCs/>
        </w:rPr>
        <w:t xml:space="preserve">, administrations wishing to make frequencies in the </w:t>
      </w:r>
      <w:r w:rsidRPr="00CC488D">
        <w:rPr>
          <w:iCs/>
          <w:lang w:eastAsia="ja-JP"/>
        </w:rPr>
        <w:t>450</w:t>
      </w:r>
      <w:r w:rsidRPr="00CC488D">
        <w:rPr>
          <w:iCs/>
        </w:rPr>
        <w:t xml:space="preserve">-1 000 GHz range available for </w:t>
      </w:r>
      <w:r w:rsidRPr="00CC488D">
        <w:rPr>
          <w:iCs/>
          <w:lang w:eastAsia="ja-JP"/>
        </w:rPr>
        <w:t>FS and MS</w:t>
      </w:r>
      <w:r w:rsidRPr="00CC488D">
        <w:rPr>
          <w:iCs/>
        </w:rPr>
        <w:t xml:space="preserve"> applications are urged to take all practicable steps to protect these passive services from harmful interference</w:t>
      </w:r>
      <w:r w:rsidRPr="00CC488D">
        <w:rPr>
          <w:iCs/>
          <w:lang w:eastAsia="ja-JP"/>
        </w:rPr>
        <w:t xml:space="preserve">, in accordance with RR </w:t>
      </w:r>
      <w:r w:rsidRPr="00CC488D">
        <w:rPr>
          <w:iCs/>
        </w:rPr>
        <w:t>No.</w:t>
      </w:r>
      <w:r w:rsidRPr="00CC488D">
        <w:rPr>
          <w:b/>
          <w:iCs/>
        </w:rPr>
        <w:t xml:space="preserve"> 5.565</w:t>
      </w:r>
      <w:r w:rsidRPr="00CC488D">
        <w:rPr>
          <w:iCs/>
          <w:lang w:eastAsia="ja-JP"/>
        </w:rPr>
        <w:t>.</w:t>
      </w:r>
    </w:p>
    <w:p w:rsidR="00BE4BDF" w:rsidRPr="00CC488D" w:rsidRDefault="00BE4BDF" w:rsidP="00BE4BDF">
      <w:pPr>
        <w:rPr>
          <w:iCs/>
          <w:lang w:eastAsia="ja-JP"/>
        </w:rPr>
      </w:pPr>
      <w:r w:rsidRPr="00CC488D">
        <w:rPr>
          <w:iCs/>
          <w:lang w:eastAsia="ja-JP"/>
        </w:rPr>
        <w:t xml:space="preserve">There have been many applications to transmit 8K video through optical fiber cables, but some deployment scenarios need point-to-point links without fiber cables such as </w:t>
      </w:r>
      <w:r>
        <w:rPr>
          <w:rFonts w:hint="eastAsia"/>
          <w:iCs/>
          <w:lang w:eastAsia="ja-JP"/>
        </w:rPr>
        <w:t xml:space="preserve">overhead-line and power-line tower communication links </w:t>
      </w:r>
      <w:r w:rsidRPr="00CC488D">
        <w:rPr>
          <w:iCs/>
          <w:lang w:eastAsia="ja-JP"/>
        </w:rPr>
        <w:t xml:space="preserve">which require ultra-high resolution monitor videos for safety train operation. The required technical and operational characteristics for point-to-point 8K video transmission systems with low latency are introduced for the fixed service applications operating in the frequency above 450 GHz whose transmission data rate is over 100 Gbit/s using simplified modulation schemes. </w:t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2</w:t>
      </w:r>
      <w:r w:rsidRPr="00CC488D">
        <w:rPr>
          <w:lang w:eastAsia="ja-JP"/>
        </w:rPr>
        <w:tab/>
        <w:t>Scope</w:t>
      </w:r>
    </w:p>
    <w:p w:rsidR="00BE4BDF" w:rsidRPr="00CC488D" w:rsidRDefault="00BE4BDF" w:rsidP="00BE4BDF">
      <w:pPr>
        <w:rPr>
          <w:lang w:eastAsia="ja-JP"/>
        </w:rPr>
      </w:pPr>
      <w:r w:rsidRPr="00CC488D">
        <w:rPr>
          <w:lang w:eastAsia="ja-JP"/>
        </w:rPr>
        <w:t xml:space="preserve">This Report provides the deployment scenarios and the technical and operational characteristics operating in the frequency </w:t>
      </w:r>
      <w:r>
        <w:rPr>
          <w:rFonts w:hint="eastAsia"/>
          <w:lang w:eastAsia="ja-JP"/>
        </w:rPr>
        <w:t>range</w:t>
      </w:r>
      <w:r w:rsidRPr="00CC488D">
        <w:rPr>
          <w:lang w:eastAsia="ja-JP"/>
        </w:rPr>
        <w:t xml:space="preserve"> 450</w:t>
      </w:r>
      <w:r>
        <w:rPr>
          <w:rFonts w:hint="eastAsia"/>
          <w:lang w:eastAsia="ja-JP"/>
        </w:rPr>
        <w:t>-1 000</w:t>
      </w:r>
      <w:r w:rsidRPr="00CC488D">
        <w:rPr>
          <w:lang w:eastAsia="ja-JP"/>
        </w:rPr>
        <w:t xml:space="preserve"> GHz. This information can be used for sharing and compatibility studies between fixed service applications and passive services, as well as among active services in the frequency </w:t>
      </w:r>
      <w:r>
        <w:rPr>
          <w:rFonts w:hint="eastAsia"/>
          <w:lang w:eastAsia="ja-JP"/>
        </w:rPr>
        <w:t>range</w:t>
      </w:r>
      <w:r w:rsidRPr="00CC488D">
        <w:rPr>
          <w:lang w:eastAsia="ja-JP"/>
        </w:rPr>
        <w:t xml:space="preserve"> 450</w:t>
      </w:r>
      <w:r>
        <w:rPr>
          <w:rFonts w:hint="eastAsia"/>
          <w:lang w:eastAsia="ja-JP"/>
        </w:rPr>
        <w:t>-1 000</w:t>
      </w:r>
      <w:r w:rsidRPr="00CC488D">
        <w:rPr>
          <w:lang w:eastAsia="ja-JP"/>
        </w:rPr>
        <w:t xml:space="preserve"> GHz.</w:t>
      </w:r>
    </w:p>
    <w:p w:rsidR="00C43125" w:rsidRDefault="00C4312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sz w:val="28"/>
          <w:lang w:eastAsia="ja-JP"/>
        </w:rPr>
      </w:pPr>
      <w:r>
        <w:rPr>
          <w:lang w:eastAsia="ja-JP"/>
        </w:rPr>
        <w:br w:type="page"/>
      </w:r>
    </w:p>
    <w:p w:rsidR="00BE4BDF" w:rsidRPr="00CC488D" w:rsidRDefault="00BE4BDF" w:rsidP="00BE4BDF">
      <w:pPr>
        <w:pStyle w:val="Heading1"/>
        <w:spacing w:after="120"/>
        <w:rPr>
          <w:lang w:eastAsia="ja-JP"/>
        </w:rPr>
      </w:pPr>
      <w:r w:rsidRPr="00CC488D">
        <w:rPr>
          <w:lang w:eastAsia="ja-JP"/>
        </w:rPr>
        <w:t>3</w:t>
      </w:r>
      <w:r w:rsidRPr="00CC488D">
        <w:rPr>
          <w:lang w:eastAsia="ja-JP"/>
        </w:rPr>
        <w:tab/>
      </w:r>
      <w:r w:rsidRPr="00CC488D">
        <w:t>Related</w:t>
      </w:r>
      <w:r w:rsidRPr="00CC488D">
        <w:rPr>
          <w:lang w:eastAsia="ja-JP"/>
        </w:rPr>
        <w:t xml:space="preserve"> Recommendations and Reports</w:t>
      </w:r>
    </w:p>
    <w:tbl>
      <w:tblPr>
        <w:tblW w:w="970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6165"/>
      </w:tblGrid>
      <w:tr w:rsidR="00BE4BDF" w:rsidRPr="00CC488D" w:rsidTr="00BE4BDF">
        <w:trPr>
          <w:cantSplit/>
          <w:jc w:val="center"/>
        </w:trPr>
        <w:tc>
          <w:tcPr>
            <w:tcW w:w="3544" w:type="dxa"/>
          </w:tcPr>
          <w:p w:rsidR="004B162B" w:rsidRPr="004B162B" w:rsidRDefault="00BE4BDF" w:rsidP="00C43125">
            <w:pPr>
              <w:rPr>
                <w:lang w:eastAsia="ja-JP"/>
              </w:rPr>
            </w:pPr>
            <w:r w:rsidRPr="00CC488D">
              <w:rPr>
                <w:lang w:eastAsia="ja-JP"/>
              </w:rPr>
              <w:t xml:space="preserve">Recommendation </w:t>
            </w:r>
            <w:hyperlink r:id="rId11" w:history="1">
              <w:r w:rsidRPr="00CC488D">
                <w:rPr>
                  <w:color w:val="0000FF" w:themeColor="hyperlink"/>
                  <w:u w:val="single"/>
                  <w:lang w:eastAsia="ja-JP"/>
                </w:rPr>
                <w:t>ITU-R P.676</w:t>
              </w:r>
            </w:hyperlink>
          </w:p>
        </w:tc>
        <w:tc>
          <w:tcPr>
            <w:tcW w:w="6165" w:type="dxa"/>
          </w:tcPr>
          <w:p w:rsidR="00BE4BDF" w:rsidRPr="00CC488D" w:rsidRDefault="00BE4BDF" w:rsidP="00D61545">
            <w:r w:rsidRPr="00CC488D">
              <w:rPr>
                <w:lang w:eastAsia="ja-JP"/>
              </w:rPr>
              <w:t>Attenuation by atmospheric gases</w:t>
            </w:r>
          </w:p>
        </w:tc>
      </w:tr>
      <w:tr w:rsidR="00BE4BDF" w:rsidRPr="00CC488D" w:rsidTr="00BE4BDF">
        <w:trPr>
          <w:cantSplit/>
          <w:jc w:val="center"/>
        </w:trPr>
        <w:tc>
          <w:tcPr>
            <w:tcW w:w="3544" w:type="dxa"/>
          </w:tcPr>
          <w:p w:rsidR="00BE4BDF" w:rsidRPr="00CC488D" w:rsidRDefault="00BE4BDF" w:rsidP="00D61545">
            <w:pPr>
              <w:rPr>
                <w:lang w:eastAsia="ja-JP"/>
              </w:rPr>
            </w:pPr>
            <w:r w:rsidRPr="00CC488D">
              <w:rPr>
                <w:lang w:eastAsia="ja-JP"/>
              </w:rPr>
              <w:t xml:space="preserve">Report </w:t>
            </w:r>
            <w:hyperlink r:id="rId12" w:history="1">
              <w:r w:rsidRPr="00CC488D">
                <w:rPr>
                  <w:color w:val="0000FF" w:themeColor="hyperlink"/>
                  <w:u w:val="single"/>
                </w:rPr>
                <w:t>ITU-R F.2416</w:t>
              </w:r>
            </w:hyperlink>
          </w:p>
        </w:tc>
        <w:tc>
          <w:tcPr>
            <w:tcW w:w="6165" w:type="dxa"/>
          </w:tcPr>
          <w:p w:rsidR="00BE4BDF" w:rsidRPr="00CC488D" w:rsidRDefault="00BE4BDF" w:rsidP="00D61545">
            <w:r w:rsidRPr="00CC488D">
              <w:t>Technical and operational characteristics and applications of the point-to-point fixed service applications operating in the frequency band 275-450 GHz</w:t>
            </w:r>
          </w:p>
        </w:tc>
      </w:tr>
      <w:tr w:rsidR="00BE4BDF" w:rsidRPr="00CC488D" w:rsidTr="00BE4BDF">
        <w:trPr>
          <w:cantSplit/>
          <w:jc w:val="center"/>
        </w:trPr>
        <w:tc>
          <w:tcPr>
            <w:tcW w:w="3544" w:type="dxa"/>
          </w:tcPr>
          <w:p w:rsidR="00BE4BDF" w:rsidRPr="00CC488D" w:rsidRDefault="00BE4BDF" w:rsidP="00D61545">
            <w:pPr>
              <w:rPr>
                <w:lang w:eastAsia="ja-JP"/>
              </w:rPr>
            </w:pPr>
            <w:r w:rsidRPr="00CC488D">
              <w:rPr>
                <w:lang w:eastAsia="ja-JP"/>
              </w:rPr>
              <w:t xml:space="preserve">Report </w:t>
            </w:r>
            <w:hyperlink r:id="rId13" w:history="1">
              <w:r w:rsidRPr="00CC488D">
                <w:rPr>
                  <w:color w:val="0000FF" w:themeColor="hyperlink"/>
                  <w:u w:val="single"/>
                </w:rPr>
                <w:t>ITU-R M.2417</w:t>
              </w:r>
            </w:hyperlink>
          </w:p>
        </w:tc>
        <w:tc>
          <w:tcPr>
            <w:tcW w:w="6165" w:type="dxa"/>
          </w:tcPr>
          <w:p w:rsidR="00BE4BDF" w:rsidRPr="00CC488D" w:rsidRDefault="00BE4BDF" w:rsidP="00D61545">
            <w:pPr>
              <w:rPr>
                <w:lang w:eastAsia="ja-JP"/>
              </w:rPr>
            </w:pPr>
            <w:r w:rsidRPr="00CC488D">
              <w:t>Technical and operational characteristics of land-mobile service applications in the frequency range 275-450 GHz</w:t>
            </w:r>
          </w:p>
        </w:tc>
      </w:tr>
      <w:tr w:rsidR="00BE4BDF" w:rsidRPr="00CC488D" w:rsidTr="00BE4BDF">
        <w:trPr>
          <w:cantSplit/>
          <w:jc w:val="center"/>
        </w:trPr>
        <w:tc>
          <w:tcPr>
            <w:tcW w:w="3544" w:type="dxa"/>
            <w:hideMark/>
          </w:tcPr>
          <w:p w:rsidR="00BE4BDF" w:rsidRPr="00CC488D" w:rsidRDefault="00BE4BDF" w:rsidP="00D61545">
            <w:r w:rsidRPr="00CC488D">
              <w:t xml:space="preserve">Report </w:t>
            </w:r>
            <w:hyperlink r:id="rId14" w:history="1">
              <w:r w:rsidRPr="00CC488D">
                <w:rPr>
                  <w:color w:val="0000FF" w:themeColor="hyperlink"/>
                  <w:u w:val="single"/>
                </w:rPr>
                <w:t>ITU-R SM.2352</w:t>
              </w:r>
            </w:hyperlink>
          </w:p>
        </w:tc>
        <w:tc>
          <w:tcPr>
            <w:tcW w:w="6165" w:type="dxa"/>
            <w:hideMark/>
          </w:tcPr>
          <w:p w:rsidR="00BE4BDF" w:rsidRPr="00CC488D" w:rsidRDefault="00BE4BDF" w:rsidP="00D61545">
            <w:pPr>
              <w:rPr>
                <w:lang w:eastAsia="ja-JP"/>
              </w:rPr>
            </w:pPr>
            <w:r w:rsidRPr="00CC488D">
              <w:t>Technology trends of active services in the frequency range 275</w:t>
            </w:r>
            <w:r w:rsidRPr="00CC488D">
              <w:noBreakHyphen/>
              <w:t>3 000 GHz</w:t>
            </w:r>
          </w:p>
        </w:tc>
      </w:tr>
      <w:tr w:rsidR="00BE4BDF" w:rsidRPr="00CC488D" w:rsidTr="00BE4BDF">
        <w:trPr>
          <w:cantSplit/>
          <w:jc w:val="center"/>
        </w:trPr>
        <w:tc>
          <w:tcPr>
            <w:tcW w:w="3544" w:type="dxa"/>
          </w:tcPr>
          <w:p w:rsidR="00BE4BDF" w:rsidRPr="00CC488D" w:rsidRDefault="00BE4BDF" w:rsidP="00D61545">
            <w:r w:rsidRPr="00CC488D">
              <w:t xml:space="preserve">Report </w:t>
            </w:r>
            <w:hyperlink r:id="rId15" w:history="1">
              <w:r w:rsidRPr="00CC488D">
                <w:rPr>
                  <w:color w:val="0000FF" w:themeColor="hyperlink"/>
                  <w:u w:val="single"/>
                </w:rPr>
                <w:t>ITU-R SM.2450</w:t>
              </w:r>
            </w:hyperlink>
          </w:p>
        </w:tc>
        <w:tc>
          <w:tcPr>
            <w:tcW w:w="6165" w:type="dxa"/>
          </w:tcPr>
          <w:p w:rsidR="00BE4BDF" w:rsidRPr="00CC488D" w:rsidRDefault="00BE4BDF" w:rsidP="00D61545">
            <w:r w:rsidRPr="00CC488D">
              <w:t>Sharing and compatibility studies between land-mobile, fixed and passive services in the frequency range 275-450 GHz</w:t>
            </w:r>
          </w:p>
        </w:tc>
      </w:tr>
    </w:tbl>
    <w:p w:rsidR="00BE4BDF" w:rsidRDefault="00BE4BDF" w:rsidP="00BE4BDF">
      <w:pPr>
        <w:pStyle w:val="Heading1"/>
        <w:spacing w:after="120"/>
        <w:rPr>
          <w:lang w:eastAsia="ja-JP"/>
        </w:rPr>
      </w:pPr>
      <w:r w:rsidRPr="00CC488D">
        <w:rPr>
          <w:lang w:eastAsia="ja-JP"/>
        </w:rPr>
        <w:t>4</w:t>
      </w:r>
      <w:r w:rsidRPr="00CC488D">
        <w:rPr>
          <w:lang w:eastAsia="ja-JP"/>
        </w:rPr>
        <w:tab/>
        <w:t>List of acronyms and abbreviations</w:t>
      </w:r>
    </w:p>
    <w:p w:rsidR="00C43125" w:rsidRDefault="00C43125" w:rsidP="00C43125">
      <w:pPr>
        <w:rPr>
          <w:lang w:eastAsia="ja-JP"/>
        </w:rPr>
      </w:pPr>
      <w:r w:rsidRPr="00CC488D">
        <w:rPr>
          <w:lang w:eastAsia="ja-JP"/>
        </w:rPr>
        <w:t>LoS</w:t>
      </w:r>
      <w:r>
        <w:rPr>
          <w:lang w:eastAsia="ja-JP"/>
        </w:rPr>
        <w:tab/>
      </w:r>
      <w:r w:rsidRPr="00CC488D">
        <w:rPr>
          <w:lang w:eastAsia="ja-JP"/>
        </w:rPr>
        <w:t>Line-of-Sight</w:t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5</w:t>
      </w:r>
      <w:r w:rsidRPr="00CC488D">
        <w:rPr>
          <w:lang w:eastAsia="ja-JP"/>
        </w:rPr>
        <w:tab/>
        <w:t xml:space="preserve">Consideration on </w:t>
      </w:r>
      <w:r>
        <w:rPr>
          <w:rFonts w:hint="eastAsia"/>
          <w:lang w:eastAsia="ja-JP"/>
        </w:rPr>
        <w:t>contiguous frequency bands in the frequency range</w:t>
      </w:r>
      <w:r w:rsidR="00B53661">
        <w:rPr>
          <w:lang w:eastAsia="ja-JP"/>
        </w:rPr>
        <w:t xml:space="preserve"> </w:t>
      </w:r>
      <w:r w:rsidRPr="00CC488D">
        <w:rPr>
          <w:lang w:eastAsia="ja-JP"/>
        </w:rPr>
        <w:t>450</w:t>
      </w:r>
      <w:r>
        <w:rPr>
          <w:rFonts w:hint="eastAsia"/>
          <w:lang w:eastAsia="ja-JP"/>
        </w:rPr>
        <w:t>-1 000</w:t>
      </w:r>
      <w:r w:rsidRPr="00CC488D">
        <w:rPr>
          <w:lang w:eastAsia="ja-JP"/>
        </w:rPr>
        <w:t xml:space="preserve"> GHz</w:t>
      </w:r>
    </w:p>
    <w:p w:rsidR="00BE4BDF" w:rsidRPr="008B668A" w:rsidRDefault="00BE4BDF" w:rsidP="002A72D9">
      <w:pPr>
        <w:spacing w:after="120"/>
        <w:rPr>
          <w:i/>
          <w:iCs/>
          <w:lang w:eastAsia="ja-JP"/>
        </w:rPr>
      </w:pPr>
      <w:r w:rsidRPr="00217178">
        <w:rPr>
          <w:rFonts w:hint="eastAsia"/>
          <w:i/>
          <w:iCs/>
          <w:lang w:eastAsia="ja-JP"/>
        </w:rPr>
        <w:t>[</w:t>
      </w:r>
      <w:r>
        <w:rPr>
          <w:rFonts w:hint="eastAsia"/>
          <w:i/>
          <w:iCs/>
          <w:lang w:eastAsia="ja-JP"/>
        </w:rPr>
        <w:t>To be further developed</w:t>
      </w:r>
      <w:r w:rsidRPr="00217178">
        <w:rPr>
          <w:rFonts w:hint="eastAsia"/>
          <w:i/>
          <w:iCs/>
          <w:lang w:eastAsia="ja-JP"/>
        </w:rPr>
        <w:t>]</w:t>
      </w:r>
    </w:p>
    <w:p w:rsidR="00BE4BDF" w:rsidRPr="00944803" w:rsidRDefault="00BE4BDF" w:rsidP="00BE4BDF">
      <w:pPr>
        <w:rPr>
          <w:iCs/>
          <w:lang w:eastAsia="ja-JP"/>
        </w:rPr>
      </w:pPr>
      <w:r w:rsidRPr="00CC488D">
        <w:rPr>
          <w:lang w:eastAsia="ja-JP"/>
        </w:rPr>
        <w:t xml:space="preserve">Report </w:t>
      </w:r>
      <w:hyperlink r:id="rId16" w:history="1">
        <w:r w:rsidRPr="00CC488D">
          <w:rPr>
            <w:color w:val="0000FF" w:themeColor="hyperlink"/>
            <w:u w:val="single"/>
          </w:rPr>
          <w:t>ITU-R F.2416</w:t>
        </w:r>
      </w:hyperlink>
      <w:r w:rsidRPr="00CC488D">
        <w:rPr>
          <w:iCs/>
          <w:lang w:eastAsia="ja-JP"/>
        </w:rPr>
        <w:t xml:space="preserve"> provides the deployment scenarios of fronthaul and backhaul links which can support high-speed data transmission on Line-of-Sight (LoS) basis. The link lengths of the fronthaul and backhaul are supposed to be 100-300 meters due to high propagation losses in the frequency range 275-450 GHz. FS applications operating in the frequency above 450 GHz are slightly different from those in the frequency range 275-450 GHz from the point of view of an ultra-broad bandwidth operation, as shown in Figure 1. This figure shows the specific attenuation characteristics due to atmospheric gases in the frequency range 450-1 000 GHz based on Recommendation </w:t>
      </w:r>
      <w:hyperlink r:id="rId17" w:history="1">
        <w:r w:rsidRPr="00B53661">
          <w:rPr>
            <w:rStyle w:val="Hyperlink"/>
            <w:iCs/>
            <w:lang w:eastAsia="ja-JP"/>
          </w:rPr>
          <w:t>ITU-R P.676</w:t>
        </w:r>
      </w:hyperlink>
      <w:r>
        <w:rPr>
          <w:iCs/>
          <w:lang w:eastAsia="ja-JP"/>
        </w:rPr>
        <w:t>, relative to standard dry atmosphere</w:t>
      </w:r>
      <w:r w:rsidRPr="00CC488D">
        <w:rPr>
          <w:iCs/>
          <w:lang w:eastAsia="ja-JP"/>
        </w:rPr>
        <w:t>. Although large gaseous attenuation by water vapour is observed in the frequency above 450 GHz, ultra-broad bandwidths are available if FS applications could be designed to operate at the specific attenuation level of 100</w:t>
      </w:r>
      <w:r w:rsidR="00B53661">
        <w:rPr>
          <w:iCs/>
          <w:lang w:eastAsia="ja-JP"/>
        </w:rPr>
        <w:t> </w:t>
      </w:r>
      <w:r w:rsidRPr="00CC488D">
        <w:rPr>
          <w:iCs/>
          <w:lang w:eastAsia="ja-JP"/>
        </w:rPr>
        <w:t xml:space="preserve">dB/km. </w:t>
      </w:r>
      <w:r>
        <w:rPr>
          <w:rFonts w:hint="eastAsia"/>
          <w:iCs/>
          <w:lang w:eastAsia="ja-JP"/>
        </w:rPr>
        <w:t xml:space="preserve"> Table 1 indicates three </w:t>
      </w:r>
      <w:r>
        <w:rPr>
          <w:iCs/>
          <w:lang w:eastAsia="ja-JP"/>
        </w:rPr>
        <w:t>frequency</w:t>
      </w:r>
      <w:r>
        <w:rPr>
          <w:rFonts w:hint="eastAsia"/>
          <w:iCs/>
          <w:lang w:eastAsia="ja-JP"/>
        </w:rPr>
        <w:t xml:space="preserve"> ranges whose specific attenuation is less than 100</w:t>
      </w:r>
      <w:r w:rsidR="00B53661">
        <w:rPr>
          <w:iCs/>
          <w:lang w:eastAsia="ja-JP"/>
        </w:rPr>
        <w:t> </w:t>
      </w:r>
      <w:r>
        <w:rPr>
          <w:rFonts w:hint="eastAsia"/>
          <w:iCs/>
          <w:lang w:eastAsia="ja-JP"/>
        </w:rPr>
        <w:t xml:space="preserve">dB/km. The contiguous frequency bands over 70 GHz are available in the </w:t>
      </w:r>
      <w:r>
        <w:rPr>
          <w:iCs/>
          <w:lang w:eastAsia="ja-JP"/>
        </w:rPr>
        <w:t>frequency</w:t>
      </w:r>
      <w:r>
        <w:rPr>
          <w:rFonts w:hint="eastAsia"/>
          <w:iCs/>
          <w:lang w:eastAsia="ja-JP"/>
        </w:rPr>
        <w:t xml:space="preserve"> ranges 452-522 GHz, 624-720 GHz and 786-908 GHz, as shown in Figure1. The similar estimation was also discussed in Ref. [1].</w:t>
      </w:r>
    </w:p>
    <w:p w:rsidR="00BE4BDF" w:rsidRPr="00AA3E9B" w:rsidRDefault="00BE4BDF" w:rsidP="00BE4BDF">
      <w:pPr>
        <w:pStyle w:val="TableNo"/>
      </w:pPr>
      <w:r w:rsidRPr="00AA3E9B">
        <w:t>Table</w:t>
      </w:r>
      <w:r w:rsidRPr="00AA3E9B">
        <w:rPr>
          <w:lang w:eastAsia="ja-JP"/>
        </w:rPr>
        <w:t xml:space="preserve"> </w:t>
      </w:r>
      <w:r w:rsidRPr="00AA3E9B">
        <w:rPr>
          <w:rFonts w:eastAsia="SimSun"/>
          <w:lang w:eastAsia="zh-CN"/>
        </w:rPr>
        <w:t>1</w:t>
      </w:r>
    </w:p>
    <w:p w:rsidR="00BE4BDF" w:rsidRPr="00AA3E9B" w:rsidRDefault="00BE4BDF" w:rsidP="00BE4BDF">
      <w:pPr>
        <w:pStyle w:val="Tabletitle"/>
      </w:pPr>
      <w:r>
        <w:rPr>
          <w:rFonts w:hint="eastAsia"/>
          <w:lang w:eastAsia="ja-JP"/>
        </w:rPr>
        <w:t xml:space="preserve">Available </w:t>
      </w:r>
      <w:r>
        <w:rPr>
          <w:lang w:eastAsia="ja-JP"/>
        </w:rPr>
        <w:t>contiguous</w:t>
      </w:r>
      <w:r>
        <w:rPr>
          <w:rFonts w:hint="eastAsia"/>
          <w:lang w:eastAsia="ja-JP"/>
        </w:rPr>
        <w:t xml:space="preserve"> bandwidth</w:t>
      </w:r>
      <w:r w:rsidRPr="00AA3E9B">
        <w:t xml:space="preserve"> in the frequency range </w:t>
      </w:r>
      <w:r>
        <w:rPr>
          <w:rFonts w:hint="eastAsia"/>
          <w:lang w:eastAsia="ja-JP"/>
        </w:rPr>
        <w:t>450</w:t>
      </w:r>
      <w:r w:rsidRPr="00AA3E9B">
        <w:t>-1</w:t>
      </w:r>
      <w:r>
        <w:rPr>
          <w:rFonts w:hint="eastAsia"/>
          <w:lang w:eastAsia="ja-JP"/>
        </w:rPr>
        <w:t xml:space="preserve"> 0</w:t>
      </w:r>
      <w:r w:rsidRPr="00AA3E9B">
        <w:t>00 GHz</w:t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276"/>
        <w:gridCol w:w="2835"/>
        <w:gridCol w:w="2268"/>
      </w:tblGrid>
      <w:tr w:rsidR="00BE4BDF" w:rsidRPr="005F0638" w:rsidTr="002A72D9">
        <w:tc>
          <w:tcPr>
            <w:tcW w:w="1276" w:type="dxa"/>
          </w:tcPr>
          <w:p w:rsidR="00BE4BDF" w:rsidRPr="00BE4BDF" w:rsidRDefault="00BE4BDF" w:rsidP="002A72D9">
            <w:pPr>
              <w:pStyle w:val="Tablehead"/>
              <w:rPr>
                <w:lang w:eastAsia="ja-JP"/>
              </w:rPr>
            </w:pPr>
            <w:r w:rsidRPr="00BE4BDF">
              <w:rPr>
                <w:lang w:eastAsia="ja-JP"/>
              </w:rPr>
              <w:t>Band #</w:t>
            </w:r>
          </w:p>
        </w:tc>
        <w:tc>
          <w:tcPr>
            <w:tcW w:w="2835" w:type="dxa"/>
          </w:tcPr>
          <w:p w:rsidR="00BE4BDF" w:rsidRPr="00BE4BDF" w:rsidRDefault="00BE4BDF" w:rsidP="002A72D9">
            <w:pPr>
              <w:pStyle w:val="Tablehead"/>
              <w:rPr>
                <w:lang w:eastAsia="ja-JP"/>
              </w:rPr>
            </w:pPr>
            <w:r w:rsidRPr="00BE4BDF">
              <w:rPr>
                <w:lang w:eastAsia="ja-JP"/>
              </w:rPr>
              <w:t>Frequency Range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(GHz)</w:t>
            </w:r>
          </w:p>
        </w:tc>
        <w:tc>
          <w:tcPr>
            <w:tcW w:w="2268" w:type="dxa"/>
          </w:tcPr>
          <w:p w:rsidR="00BE4BDF" w:rsidRPr="00BE4BDF" w:rsidRDefault="00BE4BDF" w:rsidP="002A72D9">
            <w:pPr>
              <w:pStyle w:val="Tablehead"/>
              <w:rPr>
                <w:lang w:eastAsia="ja-JP"/>
              </w:rPr>
            </w:pPr>
            <w:r w:rsidRPr="00BE4BDF">
              <w:rPr>
                <w:lang w:eastAsia="ja-JP"/>
              </w:rPr>
              <w:t>Bandwidth</w:t>
            </w:r>
            <w:r>
              <w:rPr>
                <w:lang w:eastAsia="ja-JP"/>
              </w:rPr>
              <w:br/>
            </w:r>
            <w:r>
              <w:rPr>
                <w:rFonts w:hint="eastAsia"/>
                <w:lang w:eastAsia="ja-JP"/>
              </w:rPr>
              <w:t>(GHz)</w:t>
            </w:r>
          </w:p>
        </w:tc>
      </w:tr>
      <w:tr w:rsidR="00BE4BDF" w:rsidRPr="005F0638" w:rsidTr="002A72D9">
        <w:tc>
          <w:tcPr>
            <w:tcW w:w="1276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 w:rsidRPr="00BE4BDF">
              <w:rPr>
                <w:lang w:eastAsia="ja-JP"/>
              </w:rPr>
              <w:t>1</w:t>
            </w:r>
          </w:p>
        </w:tc>
        <w:tc>
          <w:tcPr>
            <w:tcW w:w="2835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452-522</w:t>
            </w:r>
          </w:p>
        </w:tc>
        <w:tc>
          <w:tcPr>
            <w:tcW w:w="2268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70</w:t>
            </w:r>
          </w:p>
        </w:tc>
      </w:tr>
      <w:tr w:rsidR="00BE4BDF" w:rsidRPr="005F0638" w:rsidTr="002A72D9">
        <w:tc>
          <w:tcPr>
            <w:tcW w:w="1276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 w:rsidRPr="00BE4BDF">
              <w:rPr>
                <w:lang w:eastAsia="ja-JP"/>
              </w:rPr>
              <w:t>2</w:t>
            </w:r>
          </w:p>
        </w:tc>
        <w:tc>
          <w:tcPr>
            <w:tcW w:w="2835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624-720</w:t>
            </w:r>
          </w:p>
        </w:tc>
        <w:tc>
          <w:tcPr>
            <w:tcW w:w="2268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96</w:t>
            </w:r>
          </w:p>
        </w:tc>
      </w:tr>
      <w:tr w:rsidR="00BE4BDF" w:rsidRPr="005F0638" w:rsidTr="002A72D9">
        <w:tc>
          <w:tcPr>
            <w:tcW w:w="1276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 w:rsidRPr="00BE4BDF">
              <w:rPr>
                <w:lang w:eastAsia="ja-JP"/>
              </w:rPr>
              <w:t>3</w:t>
            </w:r>
          </w:p>
        </w:tc>
        <w:tc>
          <w:tcPr>
            <w:tcW w:w="2835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786-908</w:t>
            </w:r>
          </w:p>
        </w:tc>
        <w:tc>
          <w:tcPr>
            <w:tcW w:w="2268" w:type="dxa"/>
          </w:tcPr>
          <w:p w:rsidR="00BE4BDF" w:rsidRPr="00BE4BDF" w:rsidRDefault="00BE4BDF" w:rsidP="002A72D9">
            <w:pPr>
              <w:pStyle w:val="Tabletex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122</w:t>
            </w:r>
          </w:p>
        </w:tc>
      </w:tr>
    </w:tbl>
    <w:p w:rsidR="00BE4BDF" w:rsidRPr="00CC488D" w:rsidRDefault="00BE4BDF" w:rsidP="00B53661">
      <w:pPr>
        <w:pStyle w:val="Tablefin"/>
      </w:pPr>
    </w:p>
    <w:p w:rsidR="00BE4BDF" w:rsidRPr="00CC488D" w:rsidRDefault="00BE4BDF" w:rsidP="00BE4BDF">
      <w:pPr>
        <w:pStyle w:val="FigureNo"/>
        <w:rPr>
          <w:lang w:eastAsia="ja-JP"/>
        </w:rPr>
      </w:pPr>
      <w:r w:rsidRPr="00CC488D">
        <w:rPr>
          <w:lang w:eastAsia="zh-CN"/>
        </w:rPr>
        <w:t xml:space="preserve">FIGURE </w:t>
      </w:r>
      <w:r w:rsidRPr="00CC488D">
        <w:rPr>
          <w:lang w:eastAsia="ja-JP"/>
        </w:rPr>
        <w:t>1</w:t>
      </w:r>
    </w:p>
    <w:p w:rsidR="00BE4BDF" w:rsidRPr="00CC488D" w:rsidRDefault="00BE4BDF" w:rsidP="00BE4BDF">
      <w:pPr>
        <w:pStyle w:val="Figuretitle"/>
      </w:pPr>
      <w:r w:rsidRPr="00CC488D">
        <w:t>Specific attenuation due to atmospheric gases</w:t>
      </w:r>
    </w:p>
    <w:p w:rsidR="00BE4BDF" w:rsidRPr="00CC488D" w:rsidRDefault="001853BC" w:rsidP="00BE4BDF">
      <w:pPr>
        <w:pStyle w:val="Figure"/>
        <w:rPr>
          <w:iCs/>
          <w:noProof w:val="0"/>
          <w:lang w:eastAsia="ja-JP"/>
        </w:rPr>
      </w:pPr>
      <w:r>
        <w:drawing>
          <wp:inline distT="0" distB="0" distL="0" distR="0" wp14:anchorId="7EA48838" wp14:editId="6B8D7973">
            <wp:extent cx="6120765" cy="3630295"/>
            <wp:effectExtent l="0" t="0" r="0" b="8255"/>
            <wp:docPr id="16483325" name="Picture 1" descr="A diagram of a ba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3325" name="Picture 1" descr="A diagram of a band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3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6</w:t>
      </w:r>
      <w:r w:rsidRPr="00CC488D">
        <w:rPr>
          <w:lang w:eastAsia="ja-JP"/>
        </w:rPr>
        <w:tab/>
        <w:t>Deployment scenarios of FS applications</w:t>
      </w:r>
    </w:p>
    <w:p w:rsidR="00BE4BDF" w:rsidRPr="002A72D9" w:rsidRDefault="00BE4BDF" w:rsidP="002A72D9">
      <w:pPr>
        <w:spacing w:after="120"/>
        <w:rPr>
          <w:i/>
          <w:iCs/>
          <w:lang w:eastAsia="ja-JP"/>
        </w:rPr>
      </w:pPr>
      <w:r w:rsidRPr="00217178">
        <w:rPr>
          <w:rFonts w:hint="eastAsia"/>
          <w:i/>
          <w:iCs/>
          <w:lang w:eastAsia="ja-JP"/>
        </w:rPr>
        <w:t>[</w:t>
      </w:r>
      <w:r>
        <w:rPr>
          <w:rFonts w:hint="eastAsia"/>
          <w:i/>
          <w:iCs/>
          <w:lang w:eastAsia="ja-JP"/>
        </w:rPr>
        <w:t>To be further developed</w:t>
      </w:r>
      <w:r w:rsidRPr="00217178">
        <w:rPr>
          <w:rFonts w:hint="eastAsia"/>
          <w:i/>
          <w:iCs/>
          <w:lang w:eastAsia="ja-JP"/>
        </w:rPr>
        <w:t>]</w:t>
      </w:r>
    </w:p>
    <w:p w:rsidR="00BE4BDF" w:rsidRDefault="00BE4BDF" w:rsidP="00BE4BDF">
      <w:pPr>
        <w:pStyle w:val="Heading2"/>
        <w:rPr>
          <w:lang w:val="en-US" w:eastAsia="ja-JP"/>
        </w:rPr>
      </w:pPr>
      <w:r>
        <w:rPr>
          <w:rFonts w:hint="eastAsia"/>
          <w:lang w:eastAsia="ja-JP"/>
        </w:rPr>
        <w:t>6</w:t>
      </w:r>
      <w:r>
        <w:rPr>
          <w:rFonts w:hint="eastAsia"/>
          <w:lang w:val="en-US" w:eastAsia="ja-JP"/>
        </w:rPr>
        <w:t>.1</w:t>
      </w:r>
      <w:r>
        <w:rPr>
          <w:rFonts w:hint="eastAsia"/>
          <w:lang w:val="en-US" w:eastAsia="ja-JP"/>
        </w:rPr>
        <w:tab/>
        <w:t>Necessary bandwidth for transmission of 8K video</w:t>
      </w:r>
    </w:p>
    <w:p w:rsidR="00BE4BDF" w:rsidRDefault="00BE4BDF" w:rsidP="00BE4BDF">
      <w:pPr>
        <w:spacing w:after="240"/>
        <w:rPr>
          <w:lang w:eastAsia="ja-JP"/>
        </w:rPr>
      </w:pPr>
      <w:r>
        <w:rPr>
          <w:rFonts w:hint="eastAsia"/>
          <w:lang w:eastAsia="ja-JP"/>
        </w:rPr>
        <w:t xml:space="preserve">Uncompressed 8K video with low latency can be transmitted using THz spectrum in the frequency range 450 -1 000 GHz due to their sufficient bandwidths. </w:t>
      </w:r>
    </w:p>
    <w:p w:rsidR="00BE4BDF" w:rsidRPr="002A72D9" w:rsidRDefault="00BE4BDF" w:rsidP="002A72D9">
      <w:pPr>
        <w:spacing w:after="120"/>
        <w:rPr>
          <w:i/>
          <w:iCs/>
          <w:lang w:eastAsia="ja-JP"/>
        </w:rPr>
      </w:pPr>
      <w:r w:rsidRPr="002A72D9">
        <w:rPr>
          <w:i/>
          <w:iCs/>
          <w:lang w:eastAsia="ja-JP"/>
        </w:rPr>
        <w:t>[</w:t>
      </w:r>
      <w:r>
        <w:rPr>
          <w:rFonts w:hint="eastAsia"/>
          <w:i/>
          <w:iCs/>
          <w:lang w:eastAsia="ja-JP"/>
        </w:rPr>
        <w:t>To be further developed</w:t>
      </w:r>
      <w:r w:rsidRPr="002A72D9">
        <w:rPr>
          <w:i/>
          <w:iCs/>
          <w:lang w:eastAsia="ja-JP"/>
        </w:rPr>
        <w:t>]</w:t>
      </w:r>
    </w:p>
    <w:p w:rsidR="00BE4BDF" w:rsidRDefault="00BE4BDF" w:rsidP="00BE4BDF">
      <w:pPr>
        <w:pStyle w:val="Heading2"/>
        <w:rPr>
          <w:lang w:val="en-US" w:eastAsia="ja-JP"/>
        </w:rPr>
      </w:pPr>
      <w:r>
        <w:rPr>
          <w:rFonts w:hint="eastAsia"/>
          <w:lang w:val="en-US" w:eastAsia="ja-JP"/>
        </w:rPr>
        <w:t>6.2</w:t>
      </w:r>
      <w:r>
        <w:rPr>
          <w:rFonts w:hint="eastAsia"/>
          <w:lang w:val="en-US" w:eastAsia="ja-JP"/>
        </w:rPr>
        <w:tab/>
        <w:t>Infrastructure-to-infrastructure link</w:t>
      </w:r>
    </w:p>
    <w:p w:rsidR="00BE4BDF" w:rsidRDefault="00BE4BDF" w:rsidP="00BE4BDF">
      <w:pPr>
        <w:pStyle w:val="Heading2"/>
        <w:rPr>
          <w:lang w:val="en-US" w:eastAsia="ja-JP"/>
        </w:rPr>
      </w:pPr>
      <w:r>
        <w:rPr>
          <w:rFonts w:hint="eastAsia"/>
          <w:lang w:val="en-US" w:eastAsia="ja-JP"/>
        </w:rPr>
        <w:t>6.2.1</w:t>
      </w:r>
      <w:r>
        <w:rPr>
          <w:rFonts w:hint="eastAsia"/>
          <w:lang w:val="en-US" w:eastAsia="ja-JP"/>
        </w:rPr>
        <w:tab/>
        <w:t>Overhead-line tower access link</w:t>
      </w:r>
    </w:p>
    <w:p w:rsidR="00BE4BDF" w:rsidRPr="006D295E" w:rsidRDefault="00BE4BDF" w:rsidP="00BE4BDF">
      <w:pPr>
        <w:spacing w:after="240"/>
        <w:rPr>
          <w:lang w:eastAsia="ja-JP"/>
        </w:rPr>
      </w:pPr>
      <w:r>
        <w:rPr>
          <w:rFonts w:hint="eastAsia"/>
          <w:lang w:eastAsia="ja-JP"/>
        </w:rPr>
        <w:t>T</w:t>
      </w:r>
      <w:r w:rsidRPr="00D21798">
        <w:rPr>
          <w:lang w:eastAsia="ja-JP"/>
        </w:rPr>
        <w:t>he infrastructure-to-infrastructure communication scenario for railways</w:t>
      </w:r>
      <w:r>
        <w:rPr>
          <w:rFonts w:hint="eastAsia"/>
          <w:lang w:eastAsia="ja-JP"/>
        </w:rPr>
        <w:t xml:space="preserve"> is</w:t>
      </w:r>
      <w:r w:rsidRPr="00D21798">
        <w:rPr>
          <w:lang w:eastAsia="ja-JP"/>
        </w:rPr>
        <w:t xml:space="preserve"> crucial for train operation as well as passenger’s services</w:t>
      </w:r>
      <w:r>
        <w:rPr>
          <w:rFonts w:hint="eastAsia"/>
          <w:lang w:eastAsia="ja-JP"/>
        </w:rPr>
        <w:t xml:space="preserve">. Figure 2 illustrated overhead-line tower access links which support high-speed data transmission among multi cameras installed at overhead-line towers and </w:t>
      </w:r>
      <w:r>
        <w:rPr>
          <w:lang w:eastAsia="ja-JP"/>
        </w:rPr>
        <w:t>access</w:t>
      </w:r>
      <w:r>
        <w:rPr>
          <w:rFonts w:hint="eastAsia"/>
          <w:lang w:eastAsia="ja-JP"/>
        </w:rPr>
        <w:t xml:space="preserve"> points [2].</w:t>
      </w:r>
    </w:p>
    <w:p w:rsidR="00BE4BDF" w:rsidRPr="00CC488D" w:rsidRDefault="00BE4BDF" w:rsidP="00BE4BDF">
      <w:pPr>
        <w:pStyle w:val="FigureNo"/>
        <w:rPr>
          <w:lang w:eastAsia="ja-JP"/>
        </w:rPr>
      </w:pPr>
      <w:r w:rsidRPr="00CC488D">
        <w:rPr>
          <w:lang w:eastAsia="zh-CN"/>
        </w:rPr>
        <w:t xml:space="preserve">FIGURE </w:t>
      </w:r>
      <w:r>
        <w:rPr>
          <w:rFonts w:hint="eastAsia"/>
          <w:lang w:eastAsia="ja-JP"/>
        </w:rPr>
        <w:t>2</w:t>
      </w:r>
    </w:p>
    <w:p w:rsidR="00BE4BDF" w:rsidRPr="00CC488D" w:rsidRDefault="00BE4BDF" w:rsidP="00BE4BDF">
      <w:pPr>
        <w:pStyle w:val="Figuretitle"/>
        <w:rPr>
          <w:lang w:eastAsia="ja-JP"/>
        </w:rPr>
      </w:pPr>
      <w:r>
        <w:rPr>
          <w:rFonts w:hint="eastAsia"/>
          <w:lang w:eastAsia="ja-JP"/>
        </w:rPr>
        <w:t>Overhead-line tower communication links [2]</w:t>
      </w:r>
    </w:p>
    <w:p w:rsidR="00BE4BDF" w:rsidRDefault="00BE4BDF" w:rsidP="001853BC">
      <w:pPr>
        <w:pStyle w:val="Figure"/>
        <w:rPr>
          <w:lang w:val="en-US"/>
        </w:rPr>
      </w:pPr>
      <w:r w:rsidRPr="00D21798">
        <w:rPr>
          <w:lang w:val="en-US"/>
        </w:rPr>
        <w:drawing>
          <wp:inline distT="0" distB="0" distL="0" distR="0" wp14:anchorId="2C935063" wp14:editId="2A7FC0DB">
            <wp:extent cx="3378200" cy="1790700"/>
            <wp:effectExtent l="0" t="0" r="0" b="0"/>
            <wp:docPr id="62852652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BDF" w:rsidRPr="00BD53E5" w:rsidRDefault="00BE4BDF" w:rsidP="00BE4BDF">
      <w:pPr>
        <w:spacing w:after="120"/>
        <w:rPr>
          <w:i/>
          <w:iCs/>
          <w:lang w:eastAsia="ja-JP"/>
        </w:rPr>
      </w:pPr>
      <w:r w:rsidRPr="00217178">
        <w:rPr>
          <w:rFonts w:hint="eastAsia"/>
          <w:i/>
          <w:iCs/>
          <w:lang w:eastAsia="ja-JP"/>
        </w:rPr>
        <w:t>[</w:t>
      </w:r>
      <w:r>
        <w:rPr>
          <w:rFonts w:hint="eastAsia"/>
          <w:i/>
          <w:iCs/>
          <w:lang w:eastAsia="ja-JP"/>
        </w:rPr>
        <w:t>To be further developed</w:t>
      </w:r>
      <w:r w:rsidRPr="00217178">
        <w:rPr>
          <w:rFonts w:hint="eastAsia"/>
          <w:i/>
          <w:iCs/>
          <w:lang w:eastAsia="ja-JP"/>
        </w:rPr>
        <w:t>]</w:t>
      </w:r>
    </w:p>
    <w:p w:rsidR="00BE4BDF" w:rsidRDefault="00BE4BDF" w:rsidP="00BE4BDF">
      <w:pPr>
        <w:pStyle w:val="Heading2"/>
        <w:rPr>
          <w:lang w:val="en-US" w:eastAsia="ja-JP"/>
        </w:rPr>
      </w:pPr>
      <w:r>
        <w:rPr>
          <w:rFonts w:hint="eastAsia"/>
          <w:lang w:val="en-US" w:eastAsia="ja-JP"/>
        </w:rPr>
        <w:t>6.2.2</w:t>
      </w:r>
      <w:r>
        <w:rPr>
          <w:rFonts w:hint="eastAsia"/>
          <w:lang w:val="en-US" w:eastAsia="ja-JP"/>
        </w:rPr>
        <w:tab/>
        <w:t>Power-line tower link</w:t>
      </w:r>
    </w:p>
    <w:p w:rsidR="00BE4BDF" w:rsidRPr="002A72D9" w:rsidRDefault="00BE4BDF" w:rsidP="002A72D9">
      <w:pPr>
        <w:spacing w:after="120"/>
        <w:rPr>
          <w:lang w:eastAsia="ja-JP"/>
        </w:rPr>
      </w:pPr>
      <w:r w:rsidRPr="00217178">
        <w:rPr>
          <w:rFonts w:hint="eastAsia"/>
          <w:i/>
          <w:iCs/>
          <w:lang w:eastAsia="ja-JP"/>
        </w:rPr>
        <w:t>[</w:t>
      </w:r>
      <w:r>
        <w:rPr>
          <w:rFonts w:hint="eastAsia"/>
          <w:i/>
          <w:iCs/>
          <w:lang w:eastAsia="ja-JP"/>
        </w:rPr>
        <w:t>To be further developed</w:t>
      </w:r>
      <w:r w:rsidRPr="00217178">
        <w:rPr>
          <w:rFonts w:hint="eastAsia"/>
          <w:i/>
          <w:iCs/>
          <w:lang w:eastAsia="ja-JP"/>
        </w:rPr>
        <w:t>]</w:t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7</w:t>
      </w:r>
      <w:r w:rsidRPr="00CC488D">
        <w:rPr>
          <w:lang w:eastAsia="ja-JP"/>
        </w:rPr>
        <w:tab/>
        <w:t>Technical and operational characteristics</w:t>
      </w:r>
    </w:p>
    <w:p w:rsidR="00BE4BDF" w:rsidRPr="00E85E14" w:rsidRDefault="00BE4BDF" w:rsidP="002A72D9">
      <w:pPr>
        <w:spacing w:after="120"/>
        <w:rPr>
          <w:lang w:eastAsia="ja-JP"/>
        </w:rPr>
      </w:pPr>
      <w:r>
        <w:rPr>
          <w:rFonts w:hint="eastAsia"/>
          <w:lang w:eastAsia="ja-JP"/>
        </w:rPr>
        <w:t xml:space="preserve">Report ITU-R F.2416 defines the channel bandwidths from 2 GHz to 50 GHz in the </w:t>
      </w:r>
      <w:r>
        <w:rPr>
          <w:lang w:eastAsia="ja-JP"/>
        </w:rPr>
        <w:t>frequency</w:t>
      </w:r>
      <w:r>
        <w:rPr>
          <w:rFonts w:hint="eastAsia"/>
          <w:lang w:eastAsia="ja-JP"/>
        </w:rPr>
        <w:t xml:space="preserve"> range 275-325 GHz, and from 2 GHz to 65 GHz in the frequency range 380-445 GHz. However, the </w:t>
      </w:r>
      <w:r>
        <w:rPr>
          <w:lang w:eastAsia="ja-JP"/>
        </w:rPr>
        <w:t>frequency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bands 275-296 GHz, 306-313 GHz, 318-333 GHz and 356-450 GHz are identified for use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administrations for the implementation of fixed service applications</w:t>
      </w:r>
      <w:r>
        <w:rPr>
          <w:rFonts w:hint="eastAsia"/>
          <w:lang w:eastAsia="ja-JP"/>
        </w:rPr>
        <w:t xml:space="preserve">, in accordance with RR No. </w:t>
      </w:r>
      <w:r w:rsidRPr="002A72D9">
        <w:rPr>
          <w:b/>
          <w:bCs/>
          <w:lang w:eastAsia="ja-JP"/>
        </w:rPr>
        <w:t>5.564A</w:t>
      </w:r>
      <w:r>
        <w:rPr>
          <w:rFonts w:hint="eastAsia"/>
          <w:lang w:eastAsia="ja-JP"/>
        </w:rPr>
        <w:t xml:space="preserve">. As indicated in </w:t>
      </w:r>
      <w:r>
        <w:rPr>
          <w:lang w:eastAsia="ja-JP"/>
        </w:rPr>
        <w:t>section</w:t>
      </w:r>
      <w:r>
        <w:rPr>
          <w:rFonts w:hint="eastAsia"/>
          <w:lang w:eastAsia="ja-JP"/>
        </w:rPr>
        <w:t xml:space="preserve"> 5, the channel bandwidth of </w:t>
      </w:r>
      <w:r w:rsidRPr="0044588B">
        <w:rPr>
          <w:lang w:eastAsia="ja-JP"/>
        </w:rPr>
        <w:t>103.68 GHz</w:t>
      </w:r>
      <w:r>
        <w:rPr>
          <w:rFonts w:hint="eastAsia"/>
          <w:lang w:eastAsia="ja-JP"/>
        </w:rPr>
        <w:t xml:space="preserve"> could be </w:t>
      </w:r>
      <w:r>
        <w:rPr>
          <w:lang w:eastAsia="ja-JP"/>
        </w:rPr>
        <w:t>considered</w:t>
      </w:r>
      <w:r>
        <w:rPr>
          <w:rFonts w:hint="eastAsia"/>
          <w:lang w:eastAsia="ja-JP"/>
        </w:rPr>
        <w:t xml:space="preserve"> as the possible candidate channel bandwidths for FS applications operating in the </w:t>
      </w:r>
      <w:r>
        <w:rPr>
          <w:lang w:eastAsia="ja-JP"/>
        </w:rPr>
        <w:t>frequency</w:t>
      </w:r>
      <w:r>
        <w:rPr>
          <w:rFonts w:hint="eastAsia"/>
          <w:lang w:eastAsia="ja-JP"/>
        </w:rPr>
        <w:t xml:space="preserve"> range 450-1 000 GHz. </w:t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8</w:t>
      </w:r>
      <w:r w:rsidRPr="00CC488D">
        <w:rPr>
          <w:lang w:eastAsia="ja-JP"/>
        </w:rPr>
        <w:tab/>
        <w:t>Demonstration of FS link performance</w:t>
      </w:r>
    </w:p>
    <w:p w:rsidR="00BE4BDF" w:rsidRPr="00CC488D" w:rsidRDefault="00BE4BDF" w:rsidP="00BE4BDF">
      <w:pPr>
        <w:spacing w:after="240"/>
        <w:rPr>
          <w:i/>
          <w:iCs/>
          <w:lang w:eastAsia="ja-JP"/>
        </w:rPr>
      </w:pPr>
      <w:r w:rsidRPr="00CC488D">
        <w:rPr>
          <w:i/>
          <w:iCs/>
          <w:lang w:eastAsia="ja-JP"/>
        </w:rPr>
        <w:t>[TBD]</w:t>
      </w:r>
    </w:p>
    <w:p w:rsidR="00BE4BDF" w:rsidRPr="00CC488D" w:rsidRDefault="00BE4BDF" w:rsidP="00BE4BDF">
      <w:pPr>
        <w:pStyle w:val="Heading1"/>
        <w:rPr>
          <w:lang w:eastAsia="ja-JP"/>
        </w:rPr>
      </w:pPr>
      <w:r w:rsidRPr="00CC488D">
        <w:rPr>
          <w:lang w:eastAsia="ja-JP"/>
        </w:rPr>
        <w:t>9</w:t>
      </w:r>
      <w:r w:rsidRPr="00CC488D">
        <w:rPr>
          <w:lang w:eastAsia="ja-JP"/>
        </w:rPr>
        <w:tab/>
        <w:t>Summary</w:t>
      </w:r>
    </w:p>
    <w:p w:rsidR="00BE4BDF" w:rsidRDefault="00BE4BDF" w:rsidP="00BE4BDF">
      <w:pPr>
        <w:spacing w:after="240"/>
        <w:rPr>
          <w:i/>
          <w:iCs/>
          <w:lang w:eastAsia="ja-JP"/>
        </w:rPr>
      </w:pPr>
      <w:r w:rsidRPr="00CC488D">
        <w:rPr>
          <w:i/>
          <w:iCs/>
          <w:lang w:eastAsia="ja-JP"/>
        </w:rPr>
        <w:t>[TBD]</w:t>
      </w:r>
    </w:p>
    <w:p w:rsidR="00BE4BDF" w:rsidRPr="00CC488D" w:rsidRDefault="00BE4BDF" w:rsidP="00BE4BDF">
      <w:pPr>
        <w:pStyle w:val="Heading1"/>
        <w:rPr>
          <w:lang w:eastAsia="ja-JP"/>
        </w:rPr>
      </w:pPr>
      <w:r>
        <w:rPr>
          <w:rFonts w:hint="eastAsia"/>
          <w:lang w:eastAsia="ja-JP"/>
        </w:rPr>
        <w:t>10</w:t>
      </w:r>
      <w:r w:rsidRPr="00CC488D">
        <w:rPr>
          <w:lang w:eastAsia="ja-JP"/>
        </w:rPr>
        <w:tab/>
      </w:r>
      <w:r>
        <w:rPr>
          <w:rFonts w:hint="eastAsia"/>
          <w:lang w:eastAsia="ja-JP"/>
        </w:rPr>
        <w:t>References</w:t>
      </w:r>
    </w:p>
    <w:p w:rsidR="00BE4BDF" w:rsidRDefault="00BE4BDF" w:rsidP="001853BC">
      <w:pPr>
        <w:pStyle w:val="Reftext"/>
        <w:rPr>
          <w:lang w:eastAsia="ja-JP"/>
        </w:rPr>
      </w:pPr>
      <w:r>
        <w:rPr>
          <w:rFonts w:hint="eastAsia"/>
          <w:lang w:eastAsia="ja-JP"/>
        </w:rPr>
        <w:t>[1]</w:t>
      </w:r>
      <w:r>
        <w:rPr>
          <w:lang w:eastAsia="ja-JP"/>
        </w:rPr>
        <w:tab/>
        <w:t>APT R</w:t>
      </w:r>
      <w:r>
        <w:rPr>
          <w:rFonts w:hint="eastAsia"/>
          <w:lang w:eastAsia="ja-JP"/>
        </w:rPr>
        <w:t xml:space="preserve">eport on short range radiocommunication systems and application scenarios operating in the frequency range 275-1 000 GHz, </w:t>
      </w:r>
      <w:r w:rsidRPr="00691584">
        <w:rPr>
          <w:lang w:eastAsia="ja-JP"/>
        </w:rPr>
        <w:t>APT/AWG/REP-66(Rev.1) Edition: September 2018</w:t>
      </w:r>
      <w:r>
        <w:rPr>
          <w:rFonts w:hint="eastAsia"/>
          <w:lang w:eastAsia="ja-JP"/>
        </w:rPr>
        <w:t>.</w:t>
      </w:r>
    </w:p>
    <w:p w:rsidR="00BE4BDF" w:rsidRDefault="00BE4BDF" w:rsidP="001853BC">
      <w:pPr>
        <w:pStyle w:val="Reftext"/>
        <w:rPr>
          <w:lang w:eastAsia="ja-JP"/>
        </w:rPr>
      </w:pPr>
      <w:r>
        <w:rPr>
          <w:rFonts w:hint="eastAsia"/>
          <w:lang w:eastAsia="ja-JP"/>
        </w:rPr>
        <w:t xml:space="preserve">[2] </w:t>
      </w:r>
      <w:r>
        <w:rPr>
          <w:lang w:eastAsia="ja-JP"/>
        </w:rPr>
        <w:tab/>
        <w:t>TeraHertz modeling (THz);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Identification of use cases for THz communication systems</w:t>
      </w:r>
      <w:r>
        <w:rPr>
          <w:rFonts w:hint="eastAsia"/>
          <w:lang w:eastAsia="ja-JP"/>
        </w:rPr>
        <w:t xml:space="preserve">, </w:t>
      </w:r>
      <w:r w:rsidRPr="00386789">
        <w:rPr>
          <w:lang w:eastAsia="ja-JP"/>
        </w:rPr>
        <w:t>ETSI GR THz 001 V1.1.1 (2024-01)</w:t>
      </w:r>
      <w:r>
        <w:rPr>
          <w:rFonts w:hint="eastAsia"/>
          <w:lang w:eastAsia="ja-JP"/>
        </w:rPr>
        <w:t>.</w:t>
      </w:r>
    </w:p>
    <w:sectPr w:rsidR="00BE4BDF" w:rsidSect="00D02712">
      <w:headerReference w:type="default" r:id="rId20"/>
      <w:footerReference w:type="default" r:id="rId21"/>
      <w:footerReference w:type="first" r:id="rId2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6031E" w:rsidRDefault="0066031E">
      <w:r>
        <w:separator/>
      </w:r>
    </w:p>
  </w:endnote>
  <w:endnote w:type="continuationSeparator" w:id="0">
    <w:p w:rsidR="0066031E" w:rsidRDefault="00660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BE4BDF" w:rsidRDefault="001853BC" w:rsidP="00BE4BDF">
    <w:pPr>
      <w:pStyle w:val="Footer"/>
      <w:tabs>
        <w:tab w:val="clear" w:pos="5954"/>
      </w:tabs>
      <w:rPr>
        <w:lang w:val="en-US"/>
      </w:rPr>
    </w:pPr>
    <w:fldSimple w:instr=" FILENAME \p \* MERGEFORMAT ">
      <w:r w:rsidRPr="001853BC">
        <w:rPr>
          <w:lang w:val="en-US"/>
        </w:rPr>
        <w:t>M</w:t>
      </w:r>
      <w:r>
        <w:t>:\BRSGD\TEXT2023\SG05\WP5C\100\152\152N01.05e.docx</w:t>
      </w:r>
    </w:fldSimple>
    <w:r w:rsidR="00BE4BDF">
      <w:t xml:space="preserve"> </w:t>
    </w:r>
    <w:r w:rsidR="00BE4BDF">
      <w:rPr>
        <w:lang w:val="en-US"/>
      </w:rPr>
      <w:tab/>
    </w:r>
    <w:r w:rsidR="00BE4BDF">
      <w:fldChar w:fldCharType="begin"/>
    </w:r>
    <w:r w:rsidR="00BE4BDF">
      <w:instrText xml:space="preserve"> savedate \@ dd.MM.yy </w:instrText>
    </w:r>
    <w:r w:rsidR="00BE4BDF">
      <w:fldChar w:fldCharType="separate"/>
    </w:r>
    <w:r w:rsidR="00A82887">
      <w:t>13.12.24</w:t>
    </w:r>
    <w:r w:rsidR="00BE4BDF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Pr="004B162B" w:rsidRDefault="001853BC" w:rsidP="004B162B">
    <w:pPr>
      <w:pStyle w:val="Footer"/>
      <w:rPr>
        <w:lang w:val="en-US"/>
      </w:rPr>
    </w:pPr>
    <w:fldSimple w:instr=" FILENAME \p \* MERGEFORMAT ">
      <w:r w:rsidRPr="001853BC">
        <w:rPr>
          <w:lang w:val="en-US"/>
        </w:rPr>
        <w:t>M</w:t>
      </w:r>
      <w:r>
        <w:t>:\BRSGD\TEXT2023\SG05\WP5C\100\152\152N01.05e.docx</w:t>
      </w:r>
    </w:fldSimple>
    <w:r w:rsidR="004B162B" w:rsidRPr="002F7CB3">
      <w:rPr>
        <w:lang w:val="en-US"/>
      </w:rPr>
      <w:tab/>
    </w:r>
    <w:r w:rsidR="004B162B">
      <w:rPr>
        <w:lang w:val="en-US"/>
      </w:rPr>
      <w:tab/>
    </w:r>
    <w:r w:rsidR="004B162B">
      <w:fldChar w:fldCharType="begin"/>
    </w:r>
    <w:r w:rsidR="004B162B">
      <w:instrText xml:space="preserve"> savedate \@ dd.MM.yy </w:instrText>
    </w:r>
    <w:r w:rsidR="004B162B">
      <w:fldChar w:fldCharType="separate"/>
    </w:r>
    <w:r w:rsidR="00A82887">
      <w:t>13.12.24</w:t>
    </w:r>
    <w:r w:rsidR="004B162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6031E" w:rsidRDefault="0066031E">
      <w:r>
        <w:t>____________________</w:t>
      </w:r>
    </w:p>
  </w:footnote>
  <w:footnote w:type="continuationSeparator" w:id="0">
    <w:p w:rsidR="0066031E" w:rsidRDefault="00660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BE4BDF">
    <w:pPr>
      <w:pStyle w:val="Header"/>
      <w:rPr>
        <w:lang w:val="en-US"/>
      </w:rPr>
    </w:pPr>
    <w:r>
      <w:rPr>
        <w:lang w:val="en-US"/>
      </w:rPr>
      <w:t>5C</w:t>
    </w:r>
    <w:r w:rsidR="001A09D6">
      <w:rPr>
        <w:lang w:val="en-US"/>
      </w:rPr>
      <w:t>/</w:t>
    </w:r>
    <w:r w:rsidR="001853BC">
      <w:rPr>
        <w:lang w:val="en-US"/>
      </w:rPr>
      <w:t>152 (Annex 1.5)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D9A64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49E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340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A65D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2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344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1EB1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87A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109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B61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15433192">
    <w:abstractNumId w:val="9"/>
  </w:num>
  <w:num w:numId="2" w16cid:durableId="968633296">
    <w:abstractNumId w:val="7"/>
  </w:num>
  <w:num w:numId="3" w16cid:durableId="2094548076">
    <w:abstractNumId w:val="6"/>
  </w:num>
  <w:num w:numId="4" w16cid:durableId="1202791910">
    <w:abstractNumId w:val="5"/>
  </w:num>
  <w:num w:numId="5" w16cid:durableId="1042637299">
    <w:abstractNumId w:val="4"/>
  </w:num>
  <w:num w:numId="6" w16cid:durableId="523633851">
    <w:abstractNumId w:val="8"/>
  </w:num>
  <w:num w:numId="7" w16cid:durableId="777018540">
    <w:abstractNumId w:val="3"/>
  </w:num>
  <w:num w:numId="8" w16cid:durableId="1066225728">
    <w:abstractNumId w:val="2"/>
  </w:num>
  <w:num w:numId="9" w16cid:durableId="781343803">
    <w:abstractNumId w:val="1"/>
  </w:num>
  <w:num w:numId="10" w16cid:durableId="1776553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242"/>
    <w:rsid w:val="000069D4"/>
    <w:rsid w:val="00011242"/>
    <w:rsid w:val="000174AD"/>
    <w:rsid w:val="00047A1D"/>
    <w:rsid w:val="000604B9"/>
    <w:rsid w:val="00073DA8"/>
    <w:rsid w:val="000A7D55"/>
    <w:rsid w:val="000C12C8"/>
    <w:rsid w:val="000C2E8E"/>
    <w:rsid w:val="000E0E7C"/>
    <w:rsid w:val="000F0C5C"/>
    <w:rsid w:val="000F1B4B"/>
    <w:rsid w:val="0012744F"/>
    <w:rsid w:val="00131178"/>
    <w:rsid w:val="00153513"/>
    <w:rsid w:val="00156F66"/>
    <w:rsid w:val="00163271"/>
    <w:rsid w:val="00172122"/>
    <w:rsid w:val="00182528"/>
    <w:rsid w:val="0018500B"/>
    <w:rsid w:val="001853BC"/>
    <w:rsid w:val="00196A19"/>
    <w:rsid w:val="001A09D6"/>
    <w:rsid w:val="001A3F00"/>
    <w:rsid w:val="00202DC1"/>
    <w:rsid w:val="002116EE"/>
    <w:rsid w:val="002309D8"/>
    <w:rsid w:val="00245E2F"/>
    <w:rsid w:val="00287D3E"/>
    <w:rsid w:val="002957F7"/>
    <w:rsid w:val="002A72D9"/>
    <w:rsid w:val="002A7FE2"/>
    <w:rsid w:val="002E1B4F"/>
    <w:rsid w:val="002F2E67"/>
    <w:rsid w:val="002F7CB3"/>
    <w:rsid w:val="0030312B"/>
    <w:rsid w:val="00315546"/>
    <w:rsid w:val="00330567"/>
    <w:rsid w:val="0038291E"/>
    <w:rsid w:val="00382970"/>
    <w:rsid w:val="00386A9D"/>
    <w:rsid w:val="00391081"/>
    <w:rsid w:val="003B2789"/>
    <w:rsid w:val="003C13CE"/>
    <w:rsid w:val="003C697E"/>
    <w:rsid w:val="003E2518"/>
    <w:rsid w:val="003E7CEF"/>
    <w:rsid w:val="004151EF"/>
    <w:rsid w:val="0042569E"/>
    <w:rsid w:val="0042717F"/>
    <w:rsid w:val="004B162B"/>
    <w:rsid w:val="004B1EF7"/>
    <w:rsid w:val="004B3FAD"/>
    <w:rsid w:val="004C5749"/>
    <w:rsid w:val="00501DCA"/>
    <w:rsid w:val="00513A47"/>
    <w:rsid w:val="00516A42"/>
    <w:rsid w:val="005408DF"/>
    <w:rsid w:val="00560204"/>
    <w:rsid w:val="00573344"/>
    <w:rsid w:val="00583F9B"/>
    <w:rsid w:val="005B0D29"/>
    <w:rsid w:val="005E4FC2"/>
    <w:rsid w:val="005E5C10"/>
    <w:rsid w:val="005F2C78"/>
    <w:rsid w:val="006144E4"/>
    <w:rsid w:val="006318DE"/>
    <w:rsid w:val="00650299"/>
    <w:rsid w:val="00655FC5"/>
    <w:rsid w:val="0066031E"/>
    <w:rsid w:val="00676677"/>
    <w:rsid w:val="006B73CB"/>
    <w:rsid w:val="006C6EF6"/>
    <w:rsid w:val="00721E06"/>
    <w:rsid w:val="007A1AFA"/>
    <w:rsid w:val="0080538C"/>
    <w:rsid w:val="00814E0A"/>
    <w:rsid w:val="00822581"/>
    <w:rsid w:val="008309DD"/>
    <w:rsid w:val="0083227A"/>
    <w:rsid w:val="00850637"/>
    <w:rsid w:val="00866900"/>
    <w:rsid w:val="00876A8A"/>
    <w:rsid w:val="00881BA1"/>
    <w:rsid w:val="008C2302"/>
    <w:rsid w:val="008C26B8"/>
    <w:rsid w:val="008F208F"/>
    <w:rsid w:val="00936862"/>
    <w:rsid w:val="0095644F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5173C"/>
    <w:rsid w:val="00A61AEF"/>
    <w:rsid w:val="00A82887"/>
    <w:rsid w:val="00AD2345"/>
    <w:rsid w:val="00AF173A"/>
    <w:rsid w:val="00B066A4"/>
    <w:rsid w:val="00B07A13"/>
    <w:rsid w:val="00B4279B"/>
    <w:rsid w:val="00B45FC9"/>
    <w:rsid w:val="00B53661"/>
    <w:rsid w:val="00B76F35"/>
    <w:rsid w:val="00B81138"/>
    <w:rsid w:val="00BC7CCF"/>
    <w:rsid w:val="00BD61A5"/>
    <w:rsid w:val="00BE470B"/>
    <w:rsid w:val="00BE4BDF"/>
    <w:rsid w:val="00C43125"/>
    <w:rsid w:val="00C57A91"/>
    <w:rsid w:val="00CC01C2"/>
    <w:rsid w:val="00CC234B"/>
    <w:rsid w:val="00CF21F2"/>
    <w:rsid w:val="00D02712"/>
    <w:rsid w:val="00D046A7"/>
    <w:rsid w:val="00D20421"/>
    <w:rsid w:val="00D214D0"/>
    <w:rsid w:val="00D435D3"/>
    <w:rsid w:val="00D65412"/>
    <w:rsid w:val="00D6546B"/>
    <w:rsid w:val="00D73A04"/>
    <w:rsid w:val="00D83A4A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129A9"/>
    <w:rsid w:val="00F25662"/>
    <w:rsid w:val="00F61308"/>
    <w:rsid w:val="00F87DD2"/>
    <w:rsid w:val="00FA124A"/>
    <w:rsid w:val="00FC08DD"/>
    <w:rsid w:val="00FC2316"/>
    <w:rsid w:val="00FC2CFD"/>
    <w:rsid w:val="00FE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11BB644"/>
  <w15:docId w15:val="{8A873113-998A-4812-9B6E-B6E592F2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qFormat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link w:val="NormalaftertitleChar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6C6EF6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basedOn w:val="DefaultParagraphFont"/>
    <w:unhideWhenUsed/>
    <w:rsid w:val="00BE4BDF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BE4BDF"/>
    <w:rPr>
      <w:rFonts w:ascii="Times New Roman" w:hAnsi="Times New Roman"/>
      <w:sz w:val="24"/>
      <w:lang w:val="en-GB" w:eastAsia="en-US"/>
    </w:rPr>
  </w:style>
  <w:style w:type="table" w:styleId="TableGrid">
    <w:name w:val="Table Grid"/>
    <w:basedOn w:val="TableNormal"/>
    <w:rsid w:val="00BE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NoChar">
    <w:name w:val="Table_No Char"/>
    <w:link w:val="TableNo"/>
    <w:rsid w:val="00BE4BDF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link w:val="Tabletitle"/>
    <w:rsid w:val="00BE4BDF"/>
    <w:rPr>
      <w:rFonts w:ascii="Times New Roman Bold" w:hAnsi="Times New Roman Bold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BE4BDF"/>
    <w:rPr>
      <w:rFonts w:ascii="Times New Roman" w:hAnsi="Times New Roman"/>
      <w:b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4BD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4BDF"/>
    <w:rPr>
      <w:rFonts w:ascii="Times New Roman" w:hAnsi="Times New Roman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BE4BDF"/>
  </w:style>
  <w:style w:type="character" w:styleId="FollowedHyperlink">
    <w:name w:val="FollowedHyperlink"/>
    <w:basedOn w:val="DefaultParagraphFont"/>
    <w:semiHidden/>
    <w:unhideWhenUsed/>
    <w:rsid w:val="00D83A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pub/R-REP-M.2417" TargetMode="Externa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pub/R-REP-F.2416" TargetMode="External"/><Relationship Id="rId17" Type="http://schemas.openxmlformats.org/officeDocument/2006/relationships/hyperlink" Target="https://www.itu.int/rec/R-REC-P.676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pub/R-REP-F.2416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rec/R-REC-P.676/e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pub/R-REP-SM.2450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pub/R-REP-SM.2352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INPU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F61ED6AB095743A237D41623A28401" ma:contentTypeVersion="2" ma:contentTypeDescription="Create a new document." ma:contentTypeScope="" ma:versionID="196b4f243b641e9087c486b7ae18f566">
  <xsd:schema xmlns:xsd="http://www.w3.org/2001/XMLSchema" xmlns:xs="http://www.w3.org/2001/XMLSchema" xmlns:p="http://schemas.microsoft.com/office/2006/metadata/properties" xmlns:ns2="4c6a61cb-1973-4fc6-92ae-f4d7a4471404" xmlns:ns3="2a35ede1-9471-4420-b2cc-9695a1faae90" targetNamespace="http://schemas.microsoft.com/office/2006/metadata/properties" ma:root="true" ma:fieldsID="6e075d15c821434be499618c5f5fc128" ns2:_="" ns3:_="">
    <xsd:import namespace="4c6a61cb-1973-4fc6-92ae-f4d7a4471404"/>
    <xsd:import namespace="2a35ede1-9471-4420-b2cc-9695a1faae90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5ede1-9471-4420-b2cc-9695a1fa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1B923-BA93-47E0-8303-5A9ABDE0F580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D00C5D47-B89A-4F88-BF2F-52F7E1DEF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D4CEA-CBC6-41A4-BF9A-49786EA2F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a35ede1-9471-4420-b2cc-9695a1fa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PE_BR_INPUT.dotx</Template>
  <TotalTime>0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JK</cp:lastModifiedBy>
  <cp:revision>1</cp:revision>
  <cp:lastPrinted>2008-02-21T14:04:00Z</cp:lastPrinted>
  <dcterms:created xsi:type="dcterms:W3CDTF">2025-02-08T18:39:00Z</dcterms:created>
  <dcterms:modified xsi:type="dcterms:W3CDTF">2025-02-08T18:39:00Z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0x0101002AF61ED6AB095743A237D41623A28401</vt:lpwstr>
  </property>
</Properties>
</file>