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401660</w:t>
      </w:r>
    </w:p>
    <w:p>
      <w:pPr>
        <w:pStyle w:val="83"/>
        <w:outlineLvl w:val="0"/>
        <w:rPr>
          <w:rFonts w:hint="eastAsia" w:eastAsiaTheme="minorEastAsia"/>
          <w:b/>
          <w:sz w:val="24"/>
          <w:lang w:val="en-US" w:eastAsia="zh-CN"/>
        </w:rPr>
      </w:pPr>
      <w:r>
        <w:rPr>
          <w:rFonts w:ascii="Arial" w:hAnsi="Arial" w:eastAsia="宋体" w:cs="Arial"/>
          <w:b/>
          <w:sz w:val="24"/>
          <w:szCs w:val="24"/>
          <w:lang w:eastAsia="zh-CN"/>
        </w:rPr>
        <w:t>Athens, GR, 26 Feb – 01 Mar</w:t>
      </w:r>
      <w:r>
        <w:rPr>
          <w:b/>
          <w:sz w:val="24"/>
          <w:szCs w:val="24"/>
        </w:rPr>
        <w:t>, 202</w:t>
      </w:r>
      <w:r>
        <w:rPr>
          <w:rFonts w:hint="eastAsia"/>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highlight w:val="none"/>
                <w:lang w:val="en-US" w:eastAsia="zh-CN"/>
              </w:rPr>
              <w:t>4165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ind w:firstLine="201" w:firstLineChars="100"/>
              <w:jc w:val="both"/>
              <w:rPr>
                <w:rFonts w:hint="default" w:eastAsiaTheme="minorEastAsia"/>
                <w:b/>
                <w:lang w:val="en-US" w:eastAsia="zh-CN"/>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4</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NR_RRM_enh2-Perf</w:t>
            </w:r>
            <w:r>
              <w:rPr>
                <w:rFonts w:hint="eastAsia"/>
                <w:lang w:val="en-US" w:eastAsia="zh-CN"/>
              </w:rPr>
              <w:t>] CR on Test case of PUCCH SCell and fast SCell activation of R17 enhancement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NR_RRM_enh2-Perf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b/>
                <w:lang w:val="en-US"/>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val="en-US" w:eastAsia="zh-CN"/>
              </w:rPr>
            </w:pPr>
            <w:r>
              <w:t>Rel-1</w:t>
            </w:r>
            <w:r>
              <w:rPr>
                <w:rFonts w:hint="eastAsia"/>
                <w:lang w:val="en-US" w:eastAsia="zh-CN"/>
              </w:rPr>
              <w:t>8</w:t>
            </w:r>
            <w:bookmarkStart w:id="3" w:name="_GoBack"/>
            <w:bookmarkEnd w:id="3"/>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default"/>
                <w:lang w:val="en-US" w:eastAsia="zh-CN"/>
              </w:rPr>
            </w:pPr>
            <w:r>
              <w:rPr>
                <w:rFonts w:hint="eastAsia"/>
                <w:lang w:val="en-US" w:eastAsia="zh-CN"/>
              </w:rPr>
              <w:t xml:space="preserve">In F17 SCell activation enhancement, PUCCH SCell activation and fast SCell activation are introduced, the relevant test cases are also identified. While some  test cases are not correctly captured in 38.133 In this CR, we revise the test case. </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lang w:val="en-US" w:eastAsia="zh-CN"/>
              </w:rPr>
            </w:pPr>
            <w:r>
              <w:rPr>
                <w:rFonts w:hint="eastAsia"/>
                <w:lang w:val="en-US" w:eastAsia="zh-CN"/>
              </w:rPr>
              <w:t>Revise the test cases for PUCCH SCell activation.</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title of some test cases would lead to confusion.</w:t>
            </w:r>
          </w:p>
          <w:p>
            <w:pPr>
              <w:pStyle w:val="83"/>
              <w:numPr>
                <w:ilvl w:val="0"/>
                <w:numId w:val="0"/>
              </w:numPr>
              <w:spacing w:after="0"/>
              <w:rPr>
                <w:rFonts w:hint="default" w:eastAsiaTheme="minorEastAsia"/>
                <w:lang w:val="en-US" w:eastAsia="zh-CN"/>
              </w:rPr>
            </w:pPr>
          </w:p>
        </w:tc>
      </w:tr>
      <w:tr>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rPr>
          <w:trHeight w:val="257"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A.6.5.3.7.2</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A.6.5.3.7</w:t>
      </w:r>
      <w:r>
        <w:tab/>
      </w:r>
      <w:r>
        <w:t>SCell Activation and deactivation of unknown SCell in FR1 in non-DRX</w:t>
      </w:r>
    </w:p>
    <w:p>
      <w:pPr>
        <w:pStyle w:val="6"/>
      </w:pPr>
      <w:r>
        <w:t>A.6.5.3.7.1</w:t>
      </w:r>
      <w:r>
        <w:tab/>
      </w:r>
      <w:r>
        <w:t>Test Purpose and Environment</w:t>
      </w:r>
    </w:p>
    <w:p>
      <w:pPr>
        <w:jc w:val="both"/>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UE shall support cross PUCCH group CSI reporting capability [TBD].</w:t>
      </w:r>
    </w:p>
    <w:p>
      <w:pPr>
        <w:jc w:val="both"/>
      </w:pPr>
      <w:r>
        <w:t xml:space="preserve">The supported test configurations are shown in Table A.6.5.3.7.1-1 below. The test parameters are given in Table A.6.5.3.7.1-2 and cell-specific parameters in Table A.6.5.3.7.1-3 below. The test consists of three successive time periods, with duration of T1, T2 and T3, respectively. There are two NR carriers, each with one cell. Cell 1 is the PCell in primary Timing Advance Group (pTAG) and Cell 2 is the PUCCH SCell in the secondary Timing Advance Group (sTAG). Both cells have constant signal levels throughout the test. </w:t>
      </w:r>
    </w:p>
    <w:p>
      <w:pPr>
        <w:jc w:val="both"/>
        <w:rPr>
          <w:lang w:eastAsia="zh-TW"/>
        </w:rPr>
      </w:pPr>
      <w:r>
        <w:rPr>
          <w:rFonts w:hint="eastAsia"/>
          <w:lang w:eastAsia="zh-TW"/>
        </w:rPr>
        <w:t>T</w:t>
      </w:r>
      <w:r>
        <w:rPr>
          <w:lang w:eastAsia="zh-TW"/>
        </w:rPr>
        <w:t>here are two sub tests in this section.</w:t>
      </w:r>
    </w:p>
    <w:p>
      <w:pPr>
        <w:pStyle w:val="77"/>
        <w:ind w:firstLine="0"/>
        <w:rPr>
          <w:rFonts w:eastAsia="等线"/>
        </w:rPr>
      </w:pPr>
      <w:r>
        <w:rPr>
          <w:lang w:eastAsia="zh-TW"/>
        </w:rPr>
        <w:t xml:space="preserve">For Test 1 (valid TA case), </w:t>
      </w:r>
      <w:r>
        <w:t>UE is provided with new Timing Advance Command MAC control element at least once during each time alignment timer period to maintain uplink time alignment for sTAG.</w:t>
      </w:r>
    </w:p>
    <w:p>
      <w:pPr>
        <w:pStyle w:val="77"/>
        <w:ind w:firstLine="0"/>
        <w:rPr>
          <w:lang w:eastAsia="zh-TW"/>
        </w:rPr>
      </w:pPr>
      <w:r>
        <w:rPr>
          <w:lang w:eastAsia="zh-TW"/>
        </w:rPr>
        <w:t xml:space="preserve">For Test 2 (invalid TA case), </w:t>
      </w:r>
      <w:r>
        <w:t>TimeAlignmentTimer of sTAG expires before UE receives the activation command</w:t>
      </w:r>
    </w:p>
    <w:p>
      <w:pPr>
        <w:jc w:val="both"/>
      </w:pPr>
      <w:r>
        <w:t>Before the test starts the UE is connected to PCell, but is not aware of PUCCH SCell. The UE is only monitoring the PCC. The UE shall be continuously scheduled in the PCell throughout the whole test.</w:t>
      </w:r>
    </w:p>
    <w:p>
      <w:pPr>
        <w:jc w:val="both"/>
        <w:rPr>
          <w:rFonts w:eastAsia="宋体"/>
        </w:rPr>
      </w:pPr>
      <w:r>
        <w:t xml:space="preserve">At the beginning of T1 the UE receives an RRC message by which the PUCCH SCell becomes configured on NR. During T1 the </w:t>
      </w:r>
      <w:r>
        <w:rPr>
          <w:rFonts w:hint="eastAsia"/>
          <w:lang w:eastAsia="zh-TW"/>
        </w:rPr>
        <w:t xml:space="preserve">PUCCH </w:t>
      </w:r>
      <w:r>
        <w:t>SCell is powered off and UE is not aware of PUCCH SCell.</w:t>
      </w:r>
    </w:p>
    <w:p>
      <w:r>
        <w:t>The point in time at which the MAC message is received at the UE antenna connector, in slot # denoted n, defines the start of time period T2.</w:t>
      </w:r>
      <w:r>
        <w:rPr>
          <w:lang w:eastAsia="zh-TW"/>
        </w:rPr>
        <w:t xml:space="preserve"> </w:t>
      </w:r>
      <w:r>
        <w:t xml:space="preserve">The UE shall be able to report valid CSI on PUCCH SCell for the activated PUCCH SCell at latest in </w:t>
      </w:r>
    </w:p>
    <w:p>
      <w:pPr>
        <w:pStyle w:val="77"/>
      </w:pPr>
      <w: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activation</m:t>
                </m:r>
                <m:r>
                  <m:rPr>
                    <m:sty m:val="p"/>
                  </m:rPr>
                  <w:rPr>
                    <w:rFonts w:ascii="Cambria Math" w:hAnsi="Cambria Math" w:cs="MS Gothic"/>
                  </w:rPr>
                  <m:t>_time</m:t>
                </m:r>
                <m:ctrlPr>
                  <w:rPr>
                    <w:rFonts w:ascii="Cambria Math" w:hAnsi="Cambria Math"/>
                    <w:i/>
                  </w:rPr>
                </m:ctrlPr>
              </m:sub>
            </m:sSub>
            <m:r>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rPr>
                      <m:t>X</m:t>
                    </m:r>
                    <m:ctrlPr>
                      <w:rPr>
                        <w:rFonts w:ascii="Cambria Math" w:hAnsi="Cambria Math"/>
                        <w:i/>
                      </w:rPr>
                    </m:ctrlPr>
                  </m:e>
                </m:d>
                <m:r>
                  <m:rPr/>
                  <w:rPr>
                    <w:rFonts w:ascii="Cambria Math" w:hAnsi="Cambria Math"/>
                  </w:rPr>
                  <m:t>+T</m:t>
                </m:r>
                <m:ctrlPr>
                  <w:rPr>
                    <w:rFonts w:ascii="Cambria Math" w:hAnsi="Cambria Math"/>
                    <w:i/>
                  </w:rPr>
                </m:ctrlPr>
              </m:e>
              <m:sub>
                <m:r>
                  <m:rPr>
                    <m:sty m:val="p"/>
                  </m:rPr>
                  <w:rPr>
                    <w:rFonts w:ascii="Cambria Math" w:hAnsi="Cambria Math"/>
                  </w:rPr>
                  <m:t>CSI_Reporting</m:t>
                </m:r>
                <m:ctrlPr>
                  <w:rPr>
                    <w:rFonts w:ascii="Cambria Math" w:hAnsi="Cambria Math"/>
                    <w:i/>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rFonts w:hint="eastAsia"/>
          <w:lang w:eastAsia="zh-TW"/>
        </w:rPr>
        <w:t xml:space="preserve"> </w:t>
      </w:r>
      <w:r>
        <w:rPr>
          <w:lang w:eastAsia="zh-TW"/>
        </w:rPr>
        <w:t xml:space="preserve">for </w:t>
      </w:r>
      <w:r>
        <w:t>Test 1, or</w:t>
      </w:r>
    </w:p>
    <w:p>
      <w:pPr>
        <w:pStyle w:val="77"/>
      </w:pPr>
      <w: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hint="eastAsia"/>
          <w:lang w:eastAsia="zh-TW"/>
        </w:rPr>
        <w:t xml:space="preserve">  </w:t>
      </w:r>
      <w:r>
        <w:rPr>
          <w:lang w:eastAsia="zh-TW"/>
        </w:rPr>
        <w:t xml:space="preserve">for </w:t>
      </w:r>
      <w:r>
        <w:t>Test 2</w:t>
      </w:r>
    </w:p>
    <w:p>
      <w:pPr>
        <w:pStyle w:val="58"/>
        <w:rPr>
          <w:lang w:val="en-US"/>
        </w:rPr>
      </w:pPr>
      <w:r>
        <w:rPr>
          <w:rFonts w:hint="eastAsia"/>
          <w:lang w:eastAsia="zh-TW"/>
        </w:rPr>
        <w:t>N</w:t>
      </w:r>
      <w:r>
        <w:rPr>
          <w:lang w:eastAsia="zh-TW"/>
        </w:rPr>
        <w:t xml:space="preserve">ote: </w:t>
      </w: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[X] + max ((T</w:t>
      </w:r>
      <w:r>
        <w:rPr>
          <w:vertAlign w:val="subscript"/>
          <w:lang w:val="en-US"/>
        </w:rPr>
        <w:t>First_available_CSI</w:t>
      </w:r>
      <w:r>
        <w:rPr>
          <w:lang w:val="en-US"/>
        </w:rPr>
        <w:t xml:space="preserve"> + T</w:t>
      </w:r>
      <w:r>
        <w:rPr>
          <w:vertAlign w:val="subscript"/>
          <w:lang w:val="en-US"/>
        </w:rPr>
        <w:t>CSI_processing</w:t>
      </w:r>
      <w:r>
        <w:rPr>
          <w:lang w:val="en-US"/>
        </w:rPr>
        <w:t>), (T1+T2+T3)) + T</w:t>
      </w:r>
      <w:r>
        <w:rPr>
          <w:vertAlign w:val="subscript"/>
          <w:lang w:val="en-US"/>
        </w:rPr>
        <w:t>CSI_reporting_after</w:t>
      </w:r>
      <w:r>
        <w:rPr>
          <w:lang w:val="en-US"/>
        </w:rPr>
        <w:t xml:space="preserve">, </w:t>
      </w:r>
      <w:r>
        <w:rPr>
          <w:lang w:eastAsia="zh-TW"/>
        </w:rPr>
        <w:t>as defined in clause 8.3,</w:t>
      </w:r>
    </w:p>
    <w:p>
      <w:pPr>
        <w:rPr>
          <w:rFonts w:eastAsia="宋体"/>
        </w:rPr>
      </w:pPr>
      <w:r>
        <w:t xml:space="preserve">Any PCell interruption due to activation of PUCCH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clause 8.2, and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oMath>
      <w:r>
        <w:rPr>
          <w:rFonts w:hint="eastAsia"/>
          <w:lang w:eastAsia="zh-TW"/>
        </w:rPr>
        <w:t xml:space="preserve"> </w:t>
      </w:r>
      <w:r>
        <w:rPr>
          <w:lang w:eastAsia="zh-TW"/>
        </w:rPr>
        <w:t xml:space="preserve">is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activation</m:t>
            </m:r>
            <m:r>
              <m:rPr>
                <m:sty m:val="p"/>
              </m:rPr>
              <w:rPr>
                <w:rFonts w:ascii="Cambria Math" w:hAnsi="Cambria Math" w:cs="MS Gothic"/>
              </w:rPr>
              <m:t>_time</m:t>
            </m:r>
            <m:ctrlPr>
              <w:rPr>
                <w:rFonts w:ascii="Cambria Math" w:hAnsi="Cambria Math"/>
                <w:i/>
              </w:rPr>
            </m:ctrlPr>
          </m:sub>
        </m:sSub>
        <m:r>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rPr>
                  <m:t>X</m:t>
                </m:r>
                <m:ctrlPr>
                  <w:rPr>
                    <w:rFonts w:ascii="Cambria Math" w:hAnsi="Cambria Math"/>
                    <w:i/>
                  </w:rPr>
                </m:ctrlPr>
              </m:e>
            </m:d>
            <m:r>
              <m:rPr/>
              <w:rPr>
                <w:rFonts w:ascii="Cambria Math" w:hAnsi="Cambria Math"/>
              </w:rPr>
              <m:t>+T</m:t>
            </m:r>
            <m:ctrlPr>
              <w:rPr>
                <w:rFonts w:ascii="Cambria Math" w:hAnsi="Cambria Math"/>
                <w:i/>
              </w:rPr>
            </m:ctrlPr>
          </m:e>
          <m:sub>
            <m:r>
              <m:rPr>
                <m:sty m:val="p"/>
              </m:rPr>
              <w:rPr>
                <w:rFonts w:ascii="Cambria Math" w:hAnsi="Cambria Math"/>
              </w:rPr>
              <m:t>CSI_Reporting</m:t>
            </m:r>
            <m:ctrlPr>
              <w:rPr>
                <w:rFonts w:ascii="Cambria Math" w:hAnsi="Cambria Math"/>
                <w:i/>
              </w:rPr>
            </m:ctrlPr>
          </m:sub>
        </m:sSub>
      </m:oMath>
      <w:r>
        <w:rPr>
          <w:rFonts w:hint="eastAsia"/>
          <w:lang w:eastAsia="zh-TW"/>
        </w:rPr>
        <w:t xml:space="preserve"> </w:t>
      </w:r>
      <w:r>
        <w:rPr>
          <w:lang w:eastAsia="zh-TW"/>
        </w:rPr>
        <w:t xml:space="preserve">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delay_PUCCH_SCell</m:t>
            </m:r>
            <m:ctrlPr>
              <w:rPr>
                <w:rFonts w:ascii="Cambria Math" w:hAnsi="Cambria Math"/>
                <w:i/>
              </w:rPr>
            </m:ctrlPr>
          </m:sub>
        </m:sSub>
      </m:oMath>
      <w:r>
        <w:rPr>
          <w:lang w:eastAsia="zh-TW"/>
        </w:rPr>
        <w:t xml:space="preserve"> for Test 1 and Test 2, respectively</w:t>
      </w:r>
      <w:r>
        <w:t>.</w:t>
      </w:r>
    </w:p>
    <w:p>
      <w:r>
        <w:t xml:space="preserve">Time period T3 starts when a MAC message for deactivation of PUCCH SCell, sent from the test equipment to the UE in a slot # denoted m, is received at the UE antenna connector. </w:t>
      </w:r>
      <w:bookmarkStart w:id="1" w:name="_Hlk112145302"/>
      <w:r>
        <w:t xml:space="preserve">The UE shall carry out deactivation of the PUCCH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+3ms</m:t>
            </m:r>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as defined in clause 8.3, 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bookmarkEnd w:id="1"/>
    </w:p>
    <w:p>
      <w:r>
        <w:t>The test equipment verifies that potential interruption is carried out in the correct time span by monitoring ACK/NACK sent in PCell during activation and deactivation of PUCCH SCell, respectively.</w:t>
      </w:r>
    </w:p>
    <w:p>
      <w:r>
        <w:t>The test equipment verifies the activation time by counting the slots from the time when the PUCCH SCell activation command is sent until a CSI report with other than CQI index 0 is received.</w:t>
      </w:r>
    </w:p>
    <w:p>
      <w:r>
        <w:t>The test equipment verifies the deactivation time by counting the slots from the time when the PUCCH SCell deactivation command is sent until CQI reporting for PUCCH SCell is discontinued.</w:t>
      </w:r>
    </w:p>
    <w:p>
      <w:pPr>
        <w:pStyle w:val="57"/>
      </w:pPr>
      <w:r>
        <w:t>Table A.6.5.3.7.1-1: unknown FR1 PUCCH SCell activation in non-DRX for 160ms SCell measurement cycle supported test configurations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Config</w:t>
            </w:r>
          </w:p>
        </w:tc>
        <w:tc>
          <w:tcPr>
            <w:tcW w:w="7654" w:type="dxa"/>
          </w:tcPr>
          <w:p>
            <w:pPr>
              <w:pStyle w:val="53"/>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1</w:t>
            </w:r>
          </w:p>
        </w:tc>
        <w:tc>
          <w:tcPr>
            <w:tcW w:w="7654" w:type="dxa"/>
          </w:tcPr>
          <w:p>
            <w:pPr>
              <w:pStyle w:val="55"/>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2</w:t>
            </w:r>
          </w:p>
        </w:tc>
        <w:tc>
          <w:tcPr>
            <w:tcW w:w="7654" w:type="dxa"/>
          </w:tcPr>
          <w:p>
            <w:pPr>
              <w:pStyle w:val="55"/>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3</w:t>
            </w:r>
          </w:p>
        </w:tc>
        <w:tc>
          <w:tcPr>
            <w:tcW w:w="7654" w:type="dxa"/>
          </w:tcPr>
          <w:p>
            <w:pPr>
              <w:pStyle w:val="55"/>
              <w:spacing w:line="240" w:lineRule="auto"/>
              <w:rPr>
                <w:szCs w:val="20"/>
                <w:lang w:eastAsia="zh-CN"/>
              </w:rPr>
            </w:pPr>
            <w:r>
              <w:rPr>
                <w:szCs w:val="20"/>
                <w:lang w:eastAsia="ko-KR"/>
              </w:rPr>
              <w:t xml:space="preserve">NR 30 kHz SSB SCS, </w:t>
            </w:r>
            <w:r>
              <w:rPr>
                <w:rFonts w:cs="Arial"/>
                <w:szCs w:val="18"/>
                <w:lang w:eastAsia="ja-JP"/>
              </w:rPr>
              <w:t>≥</w:t>
            </w:r>
            <w:r>
              <w:rPr>
                <w:szCs w:val="20"/>
                <w:lang w:eastAsia="ko-KR"/>
              </w:rPr>
              <w:t xml:space="preserve">40 MHz bandwidth, </w:t>
            </w:r>
            <w:r>
              <w:rPr>
                <w:rFonts w:eastAsiaTheme="minorEastAsia"/>
                <w:szCs w:val="20"/>
                <w:lang w:eastAsia="zh-CN"/>
              </w:rPr>
              <w:t>T</w:t>
            </w:r>
            <w:r>
              <w:rPr>
                <w:szCs w:val="20"/>
                <w:lang w:eastAsia="ko-KR"/>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68"/>
              <w:spacing w:line="240" w:lineRule="auto"/>
              <w:rPr>
                <w:szCs w:val="20"/>
                <w:lang w:eastAsia="ko-KR"/>
              </w:rPr>
            </w:pPr>
            <w:r>
              <w:rPr>
                <w:szCs w:val="20"/>
                <w:lang w:eastAsia="ko-KR"/>
              </w:rPr>
              <w:t>Note 1:</w:t>
            </w:r>
            <w:r>
              <w:rPr>
                <w:szCs w:val="20"/>
                <w:lang w:eastAsia="ko-KR"/>
              </w:rPr>
              <w:tab/>
            </w:r>
            <w:r>
              <w:rPr>
                <w:szCs w:val="20"/>
                <w:lang w:eastAsia="ko-KR"/>
              </w:rPr>
              <w:t>The UE is only required to be tested in one of the supported test configurations</w:t>
            </w:r>
          </w:p>
          <w:p>
            <w:pPr>
              <w:pStyle w:val="68"/>
              <w:spacing w:line="240" w:lineRule="auto"/>
              <w:rPr>
                <w:szCs w:val="20"/>
                <w:lang w:eastAsia="ko-KR"/>
              </w:rPr>
            </w:pPr>
            <w:r>
              <w:rPr>
                <w:szCs w:val="20"/>
                <w:lang w:eastAsia="ko-KR"/>
              </w:rPr>
              <w:t>Note 2:</w:t>
            </w:r>
            <w:r>
              <w:rPr>
                <w:szCs w:val="20"/>
                <w:lang w:eastAsia="ko-KR"/>
              </w:rPr>
              <w:tab/>
            </w:r>
            <w:r>
              <w:rPr>
                <w:szCs w:val="20"/>
                <w:lang w:eastAsia="ko-KR"/>
              </w:rPr>
              <w:t>The UE is only required to be tested in one with smallest aggregated channel bandwidth from supported band combinations which is composed of CCs ≥ the bandwidth (</w:t>
            </w:r>
            <w:r>
              <w:rPr>
                <w:szCs w:val="20"/>
                <w:lang w:val="en-US" w:eastAsia="ko-KR"/>
              </w:rPr>
              <w:t>BW</w:t>
            </w:r>
            <w:r>
              <w:rPr>
                <w:szCs w:val="20"/>
                <w:vertAlign w:val="subscript"/>
                <w:lang w:val="en-US" w:eastAsia="ko-KR"/>
              </w:rPr>
              <w:t>channel</w:t>
            </w:r>
            <w:r>
              <w:rPr>
                <w:szCs w:val="20"/>
                <w:lang w:eastAsia="ko-KR"/>
              </w:rPr>
              <w:t>) defined in each test configuration,</w:t>
            </w:r>
          </w:p>
        </w:tc>
      </w:tr>
    </w:tbl>
    <w:p/>
    <w:p>
      <w:pPr>
        <w:pStyle w:val="57"/>
      </w:pPr>
      <w:r>
        <w:t>Table A.6.5.3.7.1-2: General test parameters for unknown FR1 PUCCH SCell activation case, 160ms SCell measurement cycle</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pPr>
            <w:r>
              <w:t>1,2</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Two NR radio channel (1, 2)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4"/>
            </w:pPr>
            <w:r>
              <w:t>Primary 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pPr>
            <w:r>
              <w:t>Cell 2</w:t>
            </w:r>
          </w:p>
        </w:tc>
        <w:tc>
          <w:tcPr>
            <w:tcW w:w="3652" w:type="dxa"/>
            <w:tcBorders>
              <w:top w:val="single" w:color="auto" w:sz="4" w:space="0"/>
              <w:left w:val="single" w:color="auto" w:sz="4" w:space="0"/>
              <w:bottom w:val="single" w:color="auto" w:sz="4" w:space="0"/>
              <w:right w:val="single" w:color="auto" w:sz="4" w:space="0"/>
            </w:tcBorders>
          </w:tcPr>
          <w:p>
            <w:pPr>
              <w:pStyle w:val="54"/>
            </w:pPr>
            <w:r>
              <w:t>Configured deactivated PUCCH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Cell2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4"/>
            </w:pPr>
            <w:r>
              <w:t>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sym w:font="Symbol" w:char="F0A3"/>
            </w:r>
            <w:r>
              <w:rPr>
                <w:rFonts w:cs="Arial"/>
              </w:rPr>
              <w:t xml:space="preserve"> 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zh-TW"/>
              </w:rPr>
            </w:pPr>
            <w:r>
              <w:rPr>
                <w:rFonts w:hint="eastAsia" w:cs="Arial"/>
                <w:lang w:eastAsia="zh-TW"/>
              </w:rPr>
              <w:t>T</w:t>
            </w:r>
            <w:r>
              <w:rPr>
                <w:rFonts w:cs="Arial"/>
                <w:lang w:eastAsia="zh-TW"/>
              </w:rPr>
              <w:t>imeAlighmentTimer</w:t>
            </w:r>
          </w:p>
        </w:tc>
        <w:tc>
          <w:tcPr>
            <w:tcW w:w="709" w:type="dxa"/>
            <w:tcBorders>
              <w:top w:val="single" w:color="auto" w:sz="4" w:space="0"/>
              <w:left w:val="single" w:color="auto" w:sz="4" w:space="0"/>
              <w:bottom w:val="single" w:color="auto" w:sz="4" w:space="0"/>
              <w:right w:val="single" w:color="auto" w:sz="4" w:space="0"/>
            </w:tcBorders>
          </w:tcPr>
          <w:p>
            <w:pPr>
              <w:pStyle w:val="54"/>
              <w:rPr>
                <w:bCs/>
                <w:lang w:eastAsia="zh-TW"/>
              </w:rPr>
            </w:pPr>
            <w:r>
              <w:rPr>
                <w:rFonts w:hint="eastAsia"/>
                <w:bCs/>
                <w:lang w:eastAsia="zh-TW"/>
              </w:rPr>
              <w:t>m</w:t>
            </w:r>
            <w:r>
              <w:rPr>
                <w:bCs/>
                <w:lang w:eastAsia="zh-TW"/>
              </w:rPr>
              <w:t>s</w:t>
            </w:r>
          </w:p>
        </w:tc>
        <w:tc>
          <w:tcPr>
            <w:tcW w:w="2977" w:type="dxa"/>
            <w:tcBorders>
              <w:top w:val="single" w:color="auto" w:sz="4" w:space="0"/>
              <w:left w:val="single" w:color="auto" w:sz="4" w:space="0"/>
              <w:bottom w:val="single" w:color="auto" w:sz="4" w:space="0"/>
              <w:right w:val="single" w:color="auto" w:sz="4" w:space="0"/>
            </w:tcBorders>
          </w:tcPr>
          <w:p>
            <w:pPr>
              <w:pStyle w:val="54"/>
              <w:rPr>
                <w:rFonts w:cs="Arial"/>
                <w:lang w:eastAsia="zh-TW"/>
              </w:rPr>
            </w:pPr>
            <w:r>
              <w:rPr>
                <w:rFonts w:hint="eastAsia" w:cs="Arial"/>
                <w:lang w:eastAsia="zh-TW"/>
              </w:rPr>
              <w:t>5</w:t>
            </w:r>
            <w:r>
              <w:rPr>
                <w:rFonts w:cs="Arial"/>
                <w:lang w:eastAsia="zh-TW"/>
              </w:rPr>
              <w:t>00</w:t>
            </w:r>
          </w:p>
        </w:tc>
        <w:tc>
          <w:tcPr>
            <w:tcW w:w="3652" w:type="dxa"/>
            <w:tcBorders>
              <w:top w:val="single" w:color="auto" w:sz="4" w:space="0"/>
              <w:left w:val="single" w:color="auto" w:sz="4" w:space="0"/>
              <w:bottom w:val="single" w:color="auto" w:sz="4" w:space="0"/>
              <w:right w:val="single" w:color="auto" w:sz="4" w:space="0"/>
            </w:tcBorders>
          </w:tcPr>
          <w:p>
            <w:pPr>
              <w:pStyle w:val="54"/>
              <w:rPr>
                <w:rFonts w:cs="Arial"/>
                <w:lang w:eastAsia="zh-TW"/>
              </w:rPr>
            </w:pPr>
            <w:r>
              <w:rPr>
                <w:rFonts w:cs="Arial"/>
                <w:lang w:eastAsia="zh-TW"/>
              </w:rPr>
              <w:t>Identify the whether TA information is valie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During this time the PCell shall be known and the PUCCH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During this time the UE shall activate the </w:t>
            </w:r>
            <w:r>
              <w:t xml:space="preserve">PUCCH </w:t>
            </w:r>
            <w:r>
              <w:rPr>
                <w:lang w:eastAsia="ja-JP"/>
              </w:rPr>
              <w:t>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pPr>
              <w:pStyle w:val="54"/>
            </w:pPr>
            <w:r>
              <w:t>During this time the UE shall deactivate the PUCCH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Config 1: 2</w:t>
            </w:r>
          </w:p>
          <w:p>
            <w:pPr>
              <w:pStyle w:val="54"/>
              <w:rPr>
                <w:rFonts w:cs="v4.2.0"/>
              </w:rPr>
            </w:pPr>
            <w:r>
              <w:rPr>
                <w:rFonts w:cs="v4.2.0"/>
              </w:rPr>
              <w:t>Config 2: 3</w:t>
            </w:r>
          </w:p>
          <w:p>
            <w:pPr>
              <w:pStyle w:val="54"/>
              <w:rPr>
                <w:rFonts w:cs="v4.2.0"/>
              </w:rPr>
            </w:pPr>
            <w:r>
              <w:rPr>
                <w:rFonts w:cs="v4.2.0"/>
              </w:rPr>
              <w:t>Config 3: 2.5</w:t>
            </w:r>
          </w:p>
          <w:p>
            <w:pPr>
              <w:pStyle w:val="54"/>
            </w:pPr>
          </w:p>
        </w:tc>
        <w:tc>
          <w:tcPr>
            <w:tcW w:w="365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4"/>
            </w:pPr>
          </w:p>
          <w:p>
            <w:pPr>
              <w:pStyle w:val="54"/>
            </w:pPr>
            <w:r>
              <w:t>k</w:t>
            </w:r>
            <w:r>
              <w:rPr>
                <w:vertAlign w:val="subscript"/>
              </w:rPr>
              <w:t>1</w:t>
            </w:r>
            <w:r>
              <w:t xml:space="preserve"> is a number of slots and is indicated by the PDSCH-to-HARQ-timing-indicator field in the DCI format, if present, or provided by </w:t>
            </w:r>
            <w:r>
              <w:rPr>
                <w:i/>
              </w:rPr>
              <w:t>dl-DataToUL-ACK</w:t>
            </w:r>
            <w:r>
              <w:t>, the value of k should be the minimum value defined in TS 38.213 [3] 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4"/>
            </w:pPr>
            <w:r>
              <w:t>ms</w:t>
            </w:r>
          </w:p>
        </w:tc>
        <w:tc>
          <w:tcPr>
            <w:tcW w:w="2977" w:type="dxa"/>
            <w:tcBorders>
              <w:top w:val="single" w:color="auto" w:sz="4" w:space="0"/>
              <w:left w:val="single" w:color="auto" w:sz="4" w:space="0"/>
              <w:bottom w:val="single" w:color="auto" w:sz="4" w:space="0"/>
              <w:right w:val="single" w:color="auto" w:sz="4" w:space="0"/>
            </w:tcBorders>
          </w:tcPr>
          <w:p>
            <w:pPr>
              <w:pStyle w:val="54"/>
            </w:pPr>
            <w:r>
              <w:t>15</w:t>
            </w:r>
          </w:p>
        </w:tc>
        <w:tc>
          <w:tcPr>
            <w:tcW w:w="3652" w:type="dxa"/>
            <w:tcBorders>
              <w:top w:val="single" w:color="auto" w:sz="4" w:space="0"/>
              <w:left w:val="single" w:color="auto" w:sz="4" w:space="0"/>
              <w:bottom w:val="single" w:color="auto" w:sz="4" w:space="0"/>
              <w:right w:val="single" w:color="auto" w:sz="4" w:space="0"/>
            </w:tcBorders>
          </w:tcPr>
          <w:p>
            <w:pPr>
              <w:pStyle w:val="54"/>
              <w:jc w:val="left"/>
            </w:pPr>
            <w:r>
              <w:t xml:space="preserve">the delay (in ms) including uncertainty in acquiring the first available downlink CSI reference resource, UE processing time for CSI reporting </w:t>
            </w:r>
            <w:r>
              <w:rPr>
                <w:rFonts w:cs="v4.2.0"/>
              </w:rPr>
              <w:t xml:space="preserve">(clause 5.2.2.5 in TS 38.214) </w:t>
            </w:r>
            <w:r>
              <w:t>and uncertainty in acquiring the first available CSI reporting resources as specified in TS 38.331 [2]</w:t>
            </w:r>
          </w:p>
        </w:tc>
      </w:tr>
    </w:tbl>
    <w:p>
      <w:pPr>
        <w:rPr>
          <w:rFonts w:eastAsia="MS Mincho"/>
        </w:rPr>
      </w:pPr>
    </w:p>
    <w:p>
      <w:pPr>
        <w:pStyle w:val="57"/>
        <w:rPr>
          <w:rFonts w:eastAsia="MS Mincho"/>
        </w:rPr>
      </w:pPr>
      <w:r>
        <w:t>Table A.6.5.3.7.1-3: Cell specific test parameters for unknown FR1 PUCCH SCell activation case, 160ms SCell measurement cycle</w:t>
      </w:r>
    </w:p>
    <w:tbl>
      <w:tblPr>
        <w:tblStyle w:val="4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27"/>
        <w:gridCol w:w="760"/>
        <w:gridCol w:w="1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53"/>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53"/>
              <w:rPr>
                <w:lang w:val="fr-FR"/>
              </w:rPr>
            </w:pPr>
            <w:r>
              <w:rPr>
                <w:rFonts w:hint="eastAsia"/>
                <w:lang w:val="it-IT"/>
              </w:rPr>
              <w:t>U</w:t>
            </w:r>
            <w:r>
              <w:rPr>
                <w:lang w:val="it-IT"/>
              </w:rPr>
              <w:t>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C</w:t>
            </w:r>
            <w:r>
              <w:rPr>
                <w:lang w:val="en-US"/>
              </w:rPr>
              <w:t>ell 1</w:t>
            </w:r>
          </w:p>
        </w:tc>
        <w:tc>
          <w:tcPr>
            <w:tcW w:w="2332" w:type="dxa"/>
            <w:gridSpan w:val="5"/>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C</w:t>
            </w:r>
            <w:r>
              <w:rPr>
                <w:lang w:val="en-US"/>
              </w:rPr>
              <w:t>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53"/>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53"/>
              <w:rPr>
                <w:lang w:val="fr-FR"/>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2</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3</w:t>
            </w:r>
          </w:p>
        </w:tc>
        <w:tc>
          <w:tcPr>
            <w:tcW w:w="750"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1</w:t>
            </w:r>
          </w:p>
        </w:tc>
        <w:tc>
          <w:tcPr>
            <w:tcW w:w="787"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2</w:t>
            </w:r>
          </w:p>
        </w:tc>
        <w:tc>
          <w:tcPr>
            <w:tcW w:w="795"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2,3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1,2</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r>
              <w:rPr>
                <w:lang w:val="fr-FR"/>
              </w:rPr>
              <w:t>MHz</w:t>
            </w: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55"/>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54"/>
              <w:rPr>
                <w:rFonts w:eastAsia="PMingLiU"/>
                <w:lang w:val="fr-FR"/>
              </w:rPr>
            </w:pPr>
            <w:r>
              <w:rPr>
                <w:rFonts w:hint="eastAsia"/>
                <w:lang w:val="en-US" w:eastAsia="ja-JP"/>
              </w:rPr>
              <w:t>R</w:t>
            </w:r>
            <w:r>
              <w:rPr>
                <w:lang w:val="en-US" w:eastAsia="ja-JP"/>
              </w:rPr>
              <w:t>B</w:t>
            </w: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Initial BWP configuration</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rFonts w:eastAsia="PMingLiU"/>
                <w:lang w:val="fr-FR"/>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rFonts w:cs="v4.2.0"/>
                <w:lang w:val="fr-FR"/>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5"/>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55"/>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right w:val="single" w:color="auto" w:sz="4" w:space="0"/>
            </w:tcBorders>
          </w:tcPr>
          <w:p>
            <w:pPr>
              <w:pStyle w:val="55"/>
              <w:rPr>
                <w:lang w:val="fr-FR"/>
              </w:rPr>
            </w:pPr>
            <w:r>
              <w:t>Config 2</w:t>
            </w:r>
          </w:p>
        </w:tc>
        <w:tc>
          <w:tcPr>
            <w:tcW w:w="1256" w:type="dxa"/>
            <w:vMerge w:val="continue"/>
            <w:tcBorders>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rPr>
                <w:lang w:val="en-US"/>
              </w:rPr>
              <w:t>Dedicated CORESET parameters</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t>RMSI CORESET parameters</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rFonts w:hint="eastAsia"/>
                <w:szCs w:val="18"/>
              </w:rPr>
              <w:t>C</w:t>
            </w:r>
            <w:r>
              <w:rPr>
                <w:szCs w:val="18"/>
              </w:rPr>
              <w:t>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5"/>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OP.1</w:t>
            </w:r>
            <w:r>
              <w:rPr>
                <w:szCs w:val="16"/>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5"/>
              <w:rPr>
                <w:lang w:val="en-US"/>
              </w:rPr>
            </w:pPr>
            <w:r>
              <w:rPr>
                <w:rFonts w:cs="Arial"/>
                <w:lang w:val="en-US"/>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78" w:type="dxa"/>
            <w:vMerge w:val="restart"/>
            <w:tcBorders>
              <w:top w:val="single" w:color="auto" w:sz="4" w:space="0"/>
              <w:left w:val="single" w:color="auto" w:sz="4" w:space="0"/>
              <w:right w:val="single" w:color="auto" w:sz="4" w:space="0"/>
            </w:tcBorders>
          </w:tcPr>
          <w:p>
            <w:pPr>
              <w:pStyle w:val="55"/>
              <w:rPr>
                <w:rFonts w:eastAsia="PMingLiU"/>
                <w:lang w:val="en-US"/>
              </w:rPr>
            </w:pPr>
            <w:r>
              <w:rPr>
                <w:rFonts w:cs="Arial"/>
                <w:lang w:val="en-US"/>
              </w:rPr>
              <w:t>CSI reporting (</w:t>
            </w:r>
            <w:r>
              <w:t>CQI index non 0</w:t>
            </w:r>
            <w:r>
              <w:rPr>
                <w:rFonts w:cs="Arial"/>
                <w:lang w:val="en-US"/>
              </w:rPr>
              <w:t xml:space="preserve">) periodicity for PUCCH SCell </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PMingLiU"/>
                <w:lang w:val="fr-FR"/>
              </w:rPr>
            </w:pPr>
            <w:r>
              <w:rPr>
                <w:rFonts w:hint="eastAsia"/>
                <w:lang w:val="da-DK"/>
              </w:rPr>
              <w:t>C</w:t>
            </w:r>
            <w:r>
              <w:rPr>
                <w:lang w:val="da-DK"/>
              </w:rPr>
              <w:t>onfig 1,2</w:t>
            </w:r>
          </w:p>
        </w:tc>
        <w:tc>
          <w:tcPr>
            <w:tcW w:w="1256" w:type="dxa"/>
            <w:vMerge w:val="restart"/>
            <w:tcBorders>
              <w:top w:val="single" w:color="auto" w:sz="4" w:space="0"/>
              <w:left w:val="single" w:color="auto" w:sz="4" w:space="0"/>
              <w:right w:val="single" w:color="auto" w:sz="4" w:space="0"/>
            </w:tcBorders>
            <w:vAlign w:val="center"/>
          </w:tcPr>
          <w:p>
            <w:pPr>
              <w:pStyle w:val="54"/>
              <w:rPr>
                <w:lang w:val="fr-FR"/>
              </w:rPr>
            </w:pPr>
            <w:r>
              <w:t>slot</w:t>
            </w: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lang w:val="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cs="Arial"/>
                <w:lang w:val="fr-FR"/>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vAlign w:val="center"/>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078" w:type="dxa"/>
            <w:vMerge w:val="restart"/>
            <w:tcBorders>
              <w:left w:val="single" w:color="auto" w:sz="4" w:space="0"/>
              <w:right w:val="single" w:color="auto" w:sz="4" w:space="0"/>
            </w:tcBorders>
          </w:tcPr>
          <w:p>
            <w:pPr>
              <w:pStyle w:val="55"/>
              <w:rPr>
                <w:rFonts w:cs="Arial"/>
                <w:lang w:val="en-US"/>
              </w:rPr>
            </w:pPr>
            <w:r>
              <w:t>CSI reporting</w:t>
            </w:r>
            <w:r>
              <w:rPr>
                <w:rFonts w:cs="Arial"/>
                <w:lang w:val="en-US"/>
              </w:rPr>
              <w:t xml:space="preserve"> (</w:t>
            </w:r>
            <w:r>
              <w:t>CQI index non 0</w:t>
            </w:r>
            <w:r>
              <w:rPr>
                <w:rFonts w:cs="Arial"/>
                <w:lang w:val="en-US"/>
              </w:rPr>
              <w:t xml:space="preserve">) </w:t>
            </w:r>
            <w:r>
              <w:t xml:space="preserve"> offset for PUCCH SCell </w:t>
            </w:r>
          </w:p>
        </w:tc>
        <w:tc>
          <w:tcPr>
            <w:tcW w:w="1602" w:type="dxa"/>
            <w:tcBorders>
              <w:top w:val="single" w:color="auto" w:sz="4" w:space="0"/>
              <w:left w:val="single" w:color="auto" w:sz="4" w:space="0"/>
              <w:bottom w:val="single" w:color="auto" w:sz="4" w:space="0"/>
              <w:right w:val="single" w:color="auto" w:sz="4" w:space="0"/>
            </w:tcBorders>
          </w:tcPr>
          <w:p>
            <w:pPr>
              <w:pStyle w:val="55"/>
              <w:rPr>
                <w:lang w:val="da-DK"/>
              </w:rPr>
            </w:pPr>
            <w:r>
              <w:rPr>
                <w:rFonts w:hint="eastAsia"/>
                <w:lang w:val="da-DK"/>
              </w:rPr>
              <w:t>C</w:t>
            </w:r>
            <w:r>
              <w:rPr>
                <w:lang w:val="da-DK"/>
              </w:rPr>
              <w:t>onfig 1,2</w:t>
            </w:r>
          </w:p>
        </w:tc>
        <w:tc>
          <w:tcPr>
            <w:tcW w:w="1256" w:type="dxa"/>
            <w:vMerge w:val="restart"/>
            <w:tcBorders>
              <w:left w:val="single" w:color="auto" w:sz="4" w:space="0"/>
              <w:right w:val="single" w:color="auto" w:sz="4" w:space="0"/>
            </w:tcBorders>
            <w:vAlign w:val="center"/>
          </w:tcPr>
          <w:p>
            <w:pPr>
              <w:pStyle w:val="54"/>
              <w:rPr>
                <w:lang w:val="fr-FR"/>
              </w:rPr>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rFonts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da-DK"/>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rFonts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PSS to SSS</w:t>
            </w:r>
          </w:p>
        </w:tc>
        <w:tc>
          <w:tcPr>
            <w:tcW w:w="1256" w:type="dxa"/>
            <w:tcBorders>
              <w:top w:val="single" w:color="auto" w:sz="4" w:space="0"/>
              <w:left w:val="single" w:color="auto" w:sz="4" w:space="0"/>
              <w:bottom w:val="nil"/>
              <w:right w:val="single" w:color="auto" w:sz="4" w:space="0"/>
            </w:tcBorders>
          </w:tcPr>
          <w:p>
            <w:pPr>
              <w:pStyle w:val="54"/>
              <w:rPr>
                <w:lang w:val="fr-FR"/>
              </w:rPr>
            </w:pPr>
            <w:r>
              <w:rPr>
                <w:lang w:val="fr-FR" w:eastAsia="ja-JP"/>
              </w:rPr>
              <w:t>dB</w:t>
            </w:r>
          </w:p>
        </w:tc>
        <w:tc>
          <w:tcPr>
            <w:tcW w:w="4664" w:type="dxa"/>
            <w:gridSpan w:val="8"/>
            <w:tcBorders>
              <w:top w:val="single" w:color="auto" w:sz="4" w:space="0"/>
              <w:left w:val="single" w:color="auto" w:sz="4" w:space="0"/>
              <w:bottom w:val="nil"/>
              <w:right w:val="single" w:color="auto" w:sz="4" w:space="0"/>
            </w:tcBorders>
          </w:tcPr>
          <w:p>
            <w:pPr>
              <w:pStyle w:val="54"/>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PBCH DMRS to SSS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PBCH to PBCH DMRS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PDCCH DMRS to SSS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PDCCH to PDCCH DMRS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 xml:space="preserve">EPRE ratio of PDSCH DMRS to SSS </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 xml:space="preserve">EPRE ratio of PDSCH to PDSCH </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OCNG DMRS to SSS(Note 1)</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4"/>
              <w:rPr>
                <w:lang w:val="en-US"/>
              </w:rPr>
            </w:pPr>
          </w:p>
        </w:tc>
        <w:tc>
          <w:tcPr>
            <w:tcW w:w="4664" w:type="dxa"/>
            <w:gridSpan w:val="8"/>
            <w:tcBorders>
              <w:top w:val="nil"/>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Calibri"/>
                <w:szCs w:val="22"/>
                <w:lang w:val="fr-FR"/>
              </w:rPr>
            </w:pPr>
            <w:r>
              <w:rPr>
                <w:rFonts w:eastAsia="Calibri"/>
                <w:position w:val="-12"/>
                <w:szCs w:val="22"/>
                <w:lang w:val="fr-FR"/>
              </w:rPr>
              <w:object>
                <v:shape id="_x0000_i1025" o:spt="75" type="#_x0000_t75" style="height:16.1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4"/>
              <w:rPr>
                <w:lang w:val="fr-FR"/>
              </w:rPr>
            </w:pPr>
            <w:r>
              <w:rPr>
                <w:lang w:val="fr-FR"/>
              </w:rPr>
              <w:t>dBm/</w:t>
            </w:r>
            <w:r>
              <w:rPr>
                <w:lang w:val="en-US"/>
              </w:rPr>
              <w:t>SCS</w:t>
            </w:r>
          </w:p>
        </w:tc>
        <w:tc>
          <w:tcPr>
            <w:tcW w:w="2332" w:type="dxa"/>
            <w:gridSpan w:val="3"/>
            <w:tcBorders>
              <w:top w:val="single" w:color="auto" w:sz="4" w:space="0"/>
              <w:left w:val="single" w:color="auto" w:sz="4" w:space="0"/>
              <w:right w:val="single" w:color="auto" w:sz="4" w:space="0"/>
            </w:tcBorders>
          </w:tcPr>
          <w:p>
            <w:pPr>
              <w:pStyle w:val="54"/>
              <w:rPr>
                <w:rFonts w:eastAsia="PMingLiU"/>
                <w:lang w:val="fr-FR"/>
              </w:rPr>
            </w:pPr>
            <w:r>
              <w:rPr>
                <w:lang w:val="fr-FR"/>
              </w:rPr>
              <w:t>-104</w:t>
            </w:r>
          </w:p>
          <w:p>
            <w:pPr>
              <w:pStyle w:val="54"/>
              <w:rPr>
                <w:lang w:val="fr-FR"/>
              </w:rPr>
            </w:pPr>
          </w:p>
        </w:tc>
        <w:tc>
          <w:tcPr>
            <w:tcW w:w="777" w:type="dxa"/>
            <w:gridSpan w:val="2"/>
            <w:tcBorders>
              <w:top w:val="single" w:color="auto" w:sz="4" w:space="0"/>
              <w:left w:val="single" w:color="auto" w:sz="4" w:space="0"/>
              <w:right w:val="single" w:color="auto" w:sz="4" w:space="0"/>
            </w:tcBorders>
          </w:tcPr>
          <w:p>
            <w:pPr>
              <w:pStyle w:val="54"/>
              <w:rPr>
                <w:rFonts w:eastAsia="PMingLiU"/>
                <w:lang w:val="fr-FR"/>
              </w:rPr>
            </w:pPr>
            <w:r>
              <w:t>N/A</w:t>
            </w:r>
          </w:p>
        </w:tc>
        <w:tc>
          <w:tcPr>
            <w:tcW w:w="777" w:type="dxa"/>
            <w:gridSpan w:val="2"/>
            <w:tcBorders>
              <w:top w:val="single" w:color="auto" w:sz="4" w:space="0"/>
              <w:left w:val="single" w:color="auto" w:sz="4" w:space="0"/>
              <w:right w:val="single" w:color="auto" w:sz="4" w:space="0"/>
            </w:tcBorders>
          </w:tcPr>
          <w:p>
            <w:pPr>
              <w:pStyle w:val="54"/>
              <w:rPr>
                <w:rFonts w:eastAsia="PMingLiU"/>
                <w:lang w:val="fr-FR"/>
              </w:rPr>
            </w:pPr>
            <w:r>
              <w:rPr>
                <w:lang w:val="fr-FR"/>
              </w:rPr>
              <w:t>-104</w:t>
            </w:r>
          </w:p>
        </w:tc>
        <w:tc>
          <w:tcPr>
            <w:tcW w:w="778" w:type="dxa"/>
            <w:tcBorders>
              <w:top w:val="single" w:color="auto" w:sz="4" w:space="0"/>
              <w:left w:val="single" w:color="auto" w:sz="4" w:space="0"/>
              <w:right w:val="single" w:color="auto" w:sz="4" w:space="0"/>
            </w:tcBorders>
          </w:tcPr>
          <w:p>
            <w:pPr>
              <w:pStyle w:val="54"/>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4"/>
              <w:rPr>
                <w:rFonts w:eastAsia="PMingLiU"/>
                <w:lang w:val="fr-FR"/>
              </w:rPr>
            </w:pPr>
          </w:p>
        </w:tc>
        <w:tc>
          <w:tcPr>
            <w:tcW w:w="2332" w:type="dxa"/>
            <w:gridSpan w:val="3"/>
            <w:tcBorders>
              <w:left w:val="single" w:color="auto" w:sz="4" w:space="0"/>
              <w:right w:val="single" w:color="auto" w:sz="4" w:space="0"/>
            </w:tcBorders>
          </w:tcPr>
          <w:p>
            <w:pPr>
              <w:pStyle w:val="54"/>
              <w:rPr>
                <w:lang w:val="fr-FR"/>
              </w:rPr>
            </w:pPr>
            <w:r>
              <w:rPr>
                <w:lang w:val="fr-FR"/>
              </w:rPr>
              <w:t>-101</w:t>
            </w:r>
          </w:p>
        </w:tc>
        <w:tc>
          <w:tcPr>
            <w:tcW w:w="777" w:type="dxa"/>
            <w:gridSpan w:val="2"/>
            <w:tcBorders>
              <w:left w:val="single" w:color="auto" w:sz="4" w:space="0"/>
              <w:right w:val="single" w:color="auto" w:sz="4" w:space="0"/>
            </w:tcBorders>
          </w:tcPr>
          <w:p>
            <w:pPr>
              <w:pStyle w:val="54"/>
              <w:rPr>
                <w:lang w:val="fr-FR" w:eastAsia="zh-TW"/>
              </w:rPr>
            </w:pPr>
            <w:r>
              <w:t>N/A</w:t>
            </w:r>
          </w:p>
        </w:tc>
        <w:tc>
          <w:tcPr>
            <w:tcW w:w="777" w:type="dxa"/>
            <w:gridSpan w:val="2"/>
            <w:tcBorders>
              <w:left w:val="single" w:color="auto" w:sz="4" w:space="0"/>
              <w:right w:val="single" w:color="auto" w:sz="4" w:space="0"/>
            </w:tcBorders>
          </w:tcPr>
          <w:p>
            <w:pPr>
              <w:pStyle w:val="54"/>
              <w:rPr>
                <w:lang w:val="fr-FR"/>
              </w:rPr>
            </w:pPr>
            <w:r>
              <w:rPr>
                <w:lang w:val="fr-FR"/>
              </w:rPr>
              <w:t>-101</w:t>
            </w:r>
          </w:p>
        </w:tc>
        <w:tc>
          <w:tcPr>
            <w:tcW w:w="778" w:type="dxa"/>
            <w:tcBorders>
              <w:left w:val="single" w:color="auto" w:sz="4" w:space="0"/>
              <w:right w:val="single" w:color="auto" w:sz="4" w:space="0"/>
            </w:tcBorders>
          </w:tcPr>
          <w:p>
            <w:pPr>
              <w:pStyle w:val="54"/>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i/>
                <w:lang w:val="fr-FR"/>
              </w:rPr>
            </w:pPr>
            <w:r>
              <w:rPr>
                <w:rFonts w:eastAsia="Calibri"/>
                <w:i/>
                <w:position w:val="-12"/>
                <w:szCs w:val="22"/>
                <w:lang w:val="fr-FR"/>
              </w:rPr>
              <w:object>
                <v:shape id="_x0000_i1026" o:spt="75" type="#_x0000_t75" style="height:20.75pt;width:31.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w:t>
            </w:r>
          </w:p>
        </w:tc>
        <w:tc>
          <w:tcPr>
            <w:tcW w:w="2332" w:type="dxa"/>
            <w:gridSpan w:val="3"/>
            <w:tcBorders>
              <w:left w:val="single" w:color="auto" w:sz="4" w:space="0"/>
              <w:right w:val="single" w:color="auto" w:sz="4" w:space="0"/>
            </w:tcBorders>
          </w:tcPr>
          <w:p>
            <w:pPr>
              <w:pStyle w:val="54"/>
              <w:rPr>
                <w:lang w:val="fr-FR"/>
              </w:rPr>
            </w:pPr>
            <w:r>
              <w:rPr>
                <w:lang w:val="fr-FR"/>
              </w:rPr>
              <w:t>17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17</w:t>
            </w:r>
          </w:p>
        </w:tc>
        <w:tc>
          <w:tcPr>
            <w:tcW w:w="778" w:type="dxa"/>
            <w:tcBorders>
              <w:left w:val="single" w:color="auto" w:sz="4" w:space="0"/>
              <w:right w:val="single" w:color="auto" w:sz="4" w:space="0"/>
            </w:tcBorders>
          </w:tcPr>
          <w:p>
            <w:pPr>
              <w:pStyle w:val="54"/>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rFonts w:eastAsia="Calibri"/>
                <w:position w:val="-12"/>
                <w:szCs w:val="22"/>
                <w:lang w:val="fr-FR"/>
              </w:rPr>
              <w:object>
                <v:shape id="_x0000_i1027" o:spt="75" type="#_x0000_t75" style="height:20.75pt;width:40.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w:t>
            </w:r>
          </w:p>
        </w:tc>
        <w:tc>
          <w:tcPr>
            <w:tcW w:w="2332" w:type="dxa"/>
            <w:gridSpan w:val="3"/>
            <w:tcBorders>
              <w:left w:val="single" w:color="auto" w:sz="4" w:space="0"/>
              <w:right w:val="single" w:color="auto" w:sz="4" w:space="0"/>
            </w:tcBorders>
          </w:tcPr>
          <w:p>
            <w:pPr>
              <w:pStyle w:val="54"/>
              <w:rPr>
                <w:lang w:val="fr-FR"/>
              </w:rPr>
            </w:pPr>
            <w:r>
              <w:rPr>
                <w:lang w:val="fr-FR"/>
              </w:rPr>
              <w:t>17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17</w:t>
            </w:r>
          </w:p>
        </w:tc>
        <w:tc>
          <w:tcPr>
            <w:tcW w:w="778" w:type="dxa"/>
            <w:tcBorders>
              <w:left w:val="single" w:color="auto" w:sz="4" w:space="0"/>
              <w:right w:val="single" w:color="auto" w:sz="4" w:space="0"/>
            </w:tcBorders>
          </w:tcPr>
          <w:p>
            <w:pPr>
              <w:pStyle w:val="54"/>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4"/>
              <w:rPr>
                <w:rFonts w:eastAsia="PMingLiU"/>
                <w:lang w:val="fr-FR"/>
              </w:rPr>
            </w:pPr>
            <w:r>
              <w:rPr>
                <w:lang w:val="fr-FR"/>
              </w:rPr>
              <w:t>dBm/SCS</w:t>
            </w:r>
          </w:p>
        </w:tc>
        <w:tc>
          <w:tcPr>
            <w:tcW w:w="2332" w:type="dxa"/>
            <w:gridSpan w:val="3"/>
            <w:tcBorders>
              <w:left w:val="single" w:color="auto" w:sz="4" w:space="0"/>
              <w:right w:val="single" w:color="auto" w:sz="4" w:space="0"/>
            </w:tcBorders>
          </w:tcPr>
          <w:p>
            <w:pPr>
              <w:pStyle w:val="54"/>
              <w:rPr>
                <w:lang w:val="fr-FR"/>
              </w:rPr>
            </w:pPr>
            <w:r>
              <w:rPr>
                <w:lang w:val="fr-FR"/>
              </w:rPr>
              <w:t>-87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-87</w:t>
            </w:r>
          </w:p>
        </w:tc>
        <w:tc>
          <w:tcPr>
            <w:tcW w:w="778" w:type="dxa"/>
            <w:tcBorders>
              <w:left w:val="single" w:color="auto" w:sz="4" w:space="0"/>
              <w:right w:val="single" w:color="auto" w:sz="4" w:space="0"/>
            </w:tcBorders>
          </w:tcPr>
          <w:p>
            <w:pPr>
              <w:pStyle w:val="54"/>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4"/>
              <w:rPr>
                <w:rFonts w:eastAsia="PMingLiU"/>
                <w:lang w:val="fr-FR"/>
              </w:rPr>
            </w:pPr>
          </w:p>
        </w:tc>
        <w:tc>
          <w:tcPr>
            <w:tcW w:w="2332" w:type="dxa"/>
            <w:gridSpan w:val="3"/>
            <w:tcBorders>
              <w:left w:val="single" w:color="auto" w:sz="4" w:space="0"/>
              <w:right w:val="single" w:color="auto" w:sz="4" w:space="0"/>
            </w:tcBorders>
          </w:tcPr>
          <w:p>
            <w:pPr>
              <w:pStyle w:val="54"/>
              <w:rPr>
                <w:lang w:val="fr-FR"/>
              </w:rPr>
            </w:pPr>
            <w:r>
              <w:rPr>
                <w:lang w:val="fr-FR"/>
              </w:rPr>
              <w:t>-84</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-84</w:t>
            </w:r>
          </w:p>
        </w:tc>
        <w:tc>
          <w:tcPr>
            <w:tcW w:w="778" w:type="dxa"/>
            <w:tcBorders>
              <w:left w:val="single" w:color="auto" w:sz="4" w:space="0"/>
              <w:right w:val="single" w:color="auto" w:sz="4" w:space="0"/>
            </w:tcBorders>
          </w:tcPr>
          <w:p>
            <w:pPr>
              <w:pStyle w:val="54"/>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dBm/15 kHz</w:t>
            </w:r>
          </w:p>
        </w:tc>
        <w:tc>
          <w:tcPr>
            <w:tcW w:w="2332" w:type="dxa"/>
            <w:gridSpan w:val="3"/>
            <w:tcBorders>
              <w:left w:val="single" w:color="auto" w:sz="4" w:space="0"/>
              <w:right w:val="single" w:color="auto" w:sz="4" w:space="0"/>
            </w:tcBorders>
          </w:tcPr>
          <w:p>
            <w:pPr>
              <w:pStyle w:val="54"/>
              <w:rPr>
                <w:lang w:val="fr-FR"/>
              </w:rPr>
            </w:pPr>
            <w:r>
              <w:rPr>
                <w:lang w:val="fr-FR"/>
              </w:rPr>
              <w:t>-87</w:t>
            </w:r>
          </w:p>
        </w:tc>
        <w:tc>
          <w:tcPr>
            <w:tcW w:w="777" w:type="dxa"/>
            <w:gridSpan w:val="2"/>
            <w:tcBorders>
              <w:left w:val="single" w:color="auto" w:sz="4" w:space="0"/>
              <w:right w:val="single" w:color="auto" w:sz="4" w:space="0"/>
            </w:tcBorders>
          </w:tcPr>
          <w:p>
            <w:pPr>
              <w:pStyle w:val="54"/>
              <w:rPr>
                <w:lang w:val="fr-FR"/>
              </w:rPr>
            </w:pPr>
            <w:r>
              <w:t>N/A</w:t>
            </w:r>
          </w:p>
        </w:tc>
        <w:tc>
          <w:tcPr>
            <w:tcW w:w="777" w:type="dxa"/>
            <w:gridSpan w:val="2"/>
            <w:tcBorders>
              <w:left w:val="single" w:color="auto" w:sz="4" w:space="0"/>
              <w:right w:val="single" w:color="auto" w:sz="4" w:space="0"/>
            </w:tcBorders>
          </w:tcPr>
          <w:p>
            <w:pPr>
              <w:pStyle w:val="54"/>
              <w:rPr>
                <w:lang w:val="fr-FR"/>
              </w:rPr>
            </w:pPr>
            <w:r>
              <w:rPr>
                <w:lang w:val="fr-FR"/>
              </w:rPr>
              <w:t>-87</w:t>
            </w:r>
          </w:p>
        </w:tc>
        <w:tc>
          <w:tcPr>
            <w:tcW w:w="778" w:type="dxa"/>
            <w:tcBorders>
              <w:left w:val="single" w:color="auto" w:sz="4" w:space="0"/>
              <w:right w:val="single" w:color="auto" w:sz="4" w:space="0"/>
            </w:tcBorders>
          </w:tcPr>
          <w:p>
            <w:pPr>
              <w:pStyle w:val="54"/>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5"/>
              <w:rPr>
                <w:lang w:val="fr-FR"/>
              </w:rPr>
            </w:pPr>
          </w:p>
          <w:p>
            <w:pPr>
              <w:pStyle w:val="55"/>
              <w:rPr>
                <w:rFonts w:eastAsia="Calibri"/>
                <w:szCs w:val="22"/>
                <w:lang w:val="fr-FR"/>
              </w:rPr>
            </w:pPr>
            <w:r>
              <w:rPr>
                <w:lang w:val="fr-FR"/>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4"/>
              <w:rPr>
                <w:lang w:val="fr-FR"/>
              </w:rPr>
            </w:pPr>
            <w:r>
              <w:rPr>
                <w:rFonts w:cs="Arial"/>
                <w:lang w:val="fr-FR"/>
              </w:rPr>
              <w:t>9.36MHz</w:t>
            </w:r>
          </w:p>
        </w:tc>
        <w:tc>
          <w:tcPr>
            <w:tcW w:w="2332" w:type="dxa"/>
            <w:gridSpan w:val="3"/>
            <w:tcBorders>
              <w:left w:val="single" w:color="auto" w:sz="4" w:space="0"/>
              <w:right w:val="single" w:color="auto" w:sz="4" w:space="0"/>
            </w:tcBorders>
          </w:tcPr>
          <w:p>
            <w:pPr>
              <w:pStyle w:val="54"/>
              <w:rPr>
                <w:rFonts w:eastAsia="PMingLiU"/>
                <w:lang w:val="fr-FR"/>
              </w:rPr>
            </w:pPr>
            <w:r>
              <w:rPr>
                <w:rFonts w:cs="Arial"/>
                <w:lang w:val="fr-FR"/>
              </w:rPr>
              <w:t>-58.96</w:t>
            </w:r>
          </w:p>
        </w:tc>
        <w:tc>
          <w:tcPr>
            <w:tcW w:w="777" w:type="dxa"/>
            <w:gridSpan w:val="2"/>
            <w:tcBorders>
              <w:left w:val="single" w:color="auto" w:sz="4" w:space="0"/>
              <w:right w:val="single" w:color="auto" w:sz="4" w:space="0"/>
            </w:tcBorders>
          </w:tcPr>
          <w:p>
            <w:pPr>
              <w:pStyle w:val="54"/>
              <w:rPr>
                <w:rFonts w:eastAsia="PMingLiU"/>
                <w:lang w:val="fr-FR"/>
              </w:rPr>
            </w:pPr>
            <w:r>
              <w:t>N/A</w:t>
            </w:r>
          </w:p>
        </w:tc>
        <w:tc>
          <w:tcPr>
            <w:tcW w:w="777" w:type="dxa"/>
            <w:gridSpan w:val="2"/>
            <w:tcBorders>
              <w:left w:val="single" w:color="auto" w:sz="4" w:space="0"/>
              <w:right w:val="single" w:color="auto" w:sz="4" w:space="0"/>
            </w:tcBorders>
          </w:tcPr>
          <w:p>
            <w:pPr>
              <w:pStyle w:val="54"/>
              <w:rPr>
                <w:rFonts w:eastAsia="PMingLiU"/>
                <w:lang w:val="fr-FR"/>
              </w:rPr>
            </w:pPr>
            <w:r>
              <w:rPr>
                <w:rFonts w:cs="Arial"/>
                <w:lang w:val="fr-FR"/>
              </w:rPr>
              <w:t>-58.96</w:t>
            </w:r>
          </w:p>
        </w:tc>
        <w:tc>
          <w:tcPr>
            <w:tcW w:w="778" w:type="dxa"/>
            <w:tcBorders>
              <w:left w:val="single" w:color="auto" w:sz="4" w:space="0"/>
              <w:right w:val="single" w:color="auto" w:sz="4" w:space="0"/>
            </w:tcBorders>
          </w:tcPr>
          <w:p>
            <w:pPr>
              <w:pStyle w:val="54"/>
              <w:rPr>
                <w:rFonts w:eastAsia="PMingLiU"/>
                <w:lang w:val="fr-FR"/>
              </w:rPr>
            </w:pPr>
            <w:r>
              <w:rPr>
                <w:rFonts w:cs="Arial"/>
                <w:lang w:val="fr-FR"/>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4"/>
              <w:rPr>
                <w:lang w:val="fr-FR"/>
              </w:rPr>
            </w:pPr>
            <w:r>
              <w:rPr>
                <w:rFonts w:cs="Arial"/>
                <w:lang w:val="fr-FR"/>
              </w:rPr>
              <w:t>38.16MHz</w:t>
            </w:r>
          </w:p>
        </w:tc>
        <w:tc>
          <w:tcPr>
            <w:tcW w:w="2332" w:type="dxa"/>
            <w:gridSpan w:val="3"/>
            <w:tcBorders>
              <w:left w:val="single" w:color="auto" w:sz="4" w:space="0"/>
              <w:right w:val="single" w:color="auto" w:sz="4" w:space="0"/>
            </w:tcBorders>
          </w:tcPr>
          <w:p>
            <w:pPr>
              <w:pStyle w:val="54"/>
              <w:rPr>
                <w:lang w:val="fr-FR"/>
              </w:rPr>
            </w:pPr>
            <w:r>
              <w:rPr>
                <w:rFonts w:cs="Arial"/>
                <w:lang w:val="fr-FR"/>
              </w:rPr>
              <w:t>-52.87</w:t>
            </w:r>
          </w:p>
        </w:tc>
        <w:tc>
          <w:tcPr>
            <w:tcW w:w="777" w:type="dxa"/>
            <w:gridSpan w:val="2"/>
            <w:tcBorders>
              <w:left w:val="single" w:color="auto" w:sz="4" w:space="0"/>
              <w:right w:val="single" w:color="auto" w:sz="4" w:space="0"/>
            </w:tcBorders>
          </w:tcPr>
          <w:p>
            <w:pPr>
              <w:pStyle w:val="54"/>
              <w:rPr>
                <w:lang w:val="fr-FR"/>
              </w:rPr>
            </w:pPr>
            <w:r>
              <w:t>N/A</w:t>
            </w:r>
          </w:p>
        </w:tc>
        <w:tc>
          <w:tcPr>
            <w:tcW w:w="777" w:type="dxa"/>
            <w:gridSpan w:val="2"/>
            <w:tcBorders>
              <w:left w:val="single" w:color="auto" w:sz="4" w:space="0"/>
              <w:right w:val="single" w:color="auto" w:sz="4" w:space="0"/>
            </w:tcBorders>
          </w:tcPr>
          <w:p>
            <w:pPr>
              <w:pStyle w:val="54"/>
              <w:rPr>
                <w:lang w:val="fr-FR"/>
              </w:rPr>
            </w:pPr>
            <w:r>
              <w:rPr>
                <w:rFonts w:cs="Arial"/>
                <w:lang w:val="fr-FR"/>
              </w:rPr>
              <w:t>-52.87</w:t>
            </w:r>
          </w:p>
        </w:tc>
        <w:tc>
          <w:tcPr>
            <w:tcW w:w="778" w:type="dxa"/>
            <w:tcBorders>
              <w:left w:val="single" w:color="auto" w:sz="4" w:space="0"/>
              <w:right w:val="single" w:color="auto" w:sz="4" w:space="0"/>
            </w:tcBorders>
          </w:tcPr>
          <w:p>
            <w:pPr>
              <w:pStyle w:val="54"/>
              <w:rPr>
                <w:lang w:val="fr-FR"/>
              </w:rPr>
            </w:pPr>
            <w:r>
              <w:rPr>
                <w:rFonts w:cs="Arial"/>
                <w:lang w:val="fr-FR"/>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w:t>
            </w:r>
          </w:p>
        </w:tc>
        <w:tc>
          <w:tcPr>
            <w:tcW w:w="2332" w:type="dxa"/>
            <w:gridSpan w:val="3"/>
            <w:tcBorders>
              <w:left w:val="single" w:color="auto" w:sz="4" w:space="0"/>
              <w:bottom w:val="single" w:color="auto" w:sz="4" w:space="0"/>
              <w:right w:val="single" w:color="auto" w:sz="4" w:space="0"/>
            </w:tcBorders>
          </w:tcPr>
          <w:p>
            <w:pPr>
              <w:pStyle w:val="54"/>
              <w:rPr>
                <w:lang w:val="fr-FR"/>
              </w:rPr>
            </w:pPr>
            <w:r>
              <w:rPr>
                <w:lang w:val="fr-FR"/>
              </w:rPr>
              <w:t>AWGN</w:t>
            </w:r>
          </w:p>
        </w:tc>
        <w:tc>
          <w:tcPr>
            <w:tcW w:w="777" w:type="dxa"/>
            <w:gridSpan w:val="2"/>
            <w:tcBorders>
              <w:left w:val="single" w:color="auto" w:sz="4" w:space="0"/>
              <w:bottom w:val="single" w:color="auto" w:sz="4" w:space="0"/>
              <w:right w:val="single" w:color="auto" w:sz="4" w:space="0"/>
            </w:tcBorders>
          </w:tcPr>
          <w:p>
            <w:pPr>
              <w:pStyle w:val="54"/>
              <w:rPr>
                <w:lang w:val="fr-FR"/>
              </w:rPr>
            </w:pPr>
            <w:r>
              <w:t>N/A</w:t>
            </w:r>
          </w:p>
        </w:tc>
        <w:tc>
          <w:tcPr>
            <w:tcW w:w="777" w:type="dxa"/>
            <w:gridSpan w:val="2"/>
            <w:tcBorders>
              <w:left w:val="single" w:color="auto" w:sz="4" w:space="0"/>
              <w:bottom w:val="single" w:color="auto" w:sz="4" w:space="0"/>
              <w:right w:val="single" w:color="auto" w:sz="4" w:space="0"/>
            </w:tcBorders>
          </w:tcPr>
          <w:p>
            <w:pPr>
              <w:pStyle w:val="54"/>
              <w:rPr>
                <w:lang w:val="fr-FR"/>
              </w:rPr>
            </w:pPr>
            <w:r>
              <w:rPr>
                <w:lang w:val="fr-FR"/>
              </w:rPr>
              <w:t>AWGN</w:t>
            </w:r>
          </w:p>
        </w:tc>
        <w:tc>
          <w:tcPr>
            <w:tcW w:w="778" w:type="dxa"/>
            <w:tcBorders>
              <w:left w:val="single" w:color="auto" w:sz="4" w:space="0"/>
              <w:bottom w:val="single" w:color="auto" w:sz="4" w:space="0"/>
              <w:right w:val="single" w:color="auto" w:sz="4" w:space="0"/>
            </w:tcBorders>
          </w:tcPr>
          <w:p>
            <w:pPr>
              <w:pStyle w:val="54"/>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11"/>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28" o:spt="75" type="#_x0000_t75" style="height:16.1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en-US"/>
              </w:rPr>
              <w:t xml:space="preserve"> to be fulfilled</w:t>
            </w:r>
            <w:r>
              <w:t xml:space="preserve"> within </w:t>
            </w:r>
            <w:r>
              <w:rPr>
                <w:rFonts w:cs="Arial"/>
              </w:rPr>
              <w:t>BW</w:t>
            </w:r>
            <w:r>
              <w:rPr>
                <w:rFonts w:cs="Arial"/>
                <w:vertAlign w:val="subscript"/>
              </w:rPr>
              <w:t>occupied</w:t>
            </w:r>
            <w:r>
              <w:rPr>
                <w:lang w:val="en-US"/>
              </w:rPr>
              <w:t>.</w:t>
            </w:r>
          </w:p>
          <w:p>
            <w:pPr>
              <w:pStyle w:val="68"/>
              <w:rPr>
                <w:lang w:val="en-US"/>
              </w:rPr>
            </w:pPr>
            <w:r>
              <w:rPr>
                <w:lang w:val="en-US"/>
              </w:rPr>
              <w:t>Note 3:</w:t>
            </w:r>
            <w:r>
              <w:rPr>
                <w:lang w:val="en-US"/>
              </w:rPr>
              <w:tab/>
            </w:r>
            <w:r>
              <w:rPr>
                <w:lang w:val="en-US"/>
              </w:rPr>
              <w:t>SS-RSRP, Io and SCH_RP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The uplink resources for CSI reporting are assigned to the UE prior to the start of time period T2.</w:t>
            </w:r>
          </w:p>
          <w:p>
            <w:pPr>
              <w:pStyle w:val="68"/>
              <w:rPr>
                <w:rFonts w:cs="v4.2.0"/>
              </w:rPr>
            </w:pPr>
            <w:r>
              <w:rPr>
                <w:szCs w:val="18"/>
              </w:rPr>
              <w:t>Note 5:</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8"/>
              <w:rPr>
                <w:rFonts w:cs="v4.2.0"/>
              </w:rPr>
            </w:pPr>
            <w:r>
              <w:rPr>
                <w:szCs w:val="18"/>
              </w:rPr>
              <w:t>Note 6:</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8"/>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pPr>
              <w:pStyle w:val="68"/>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rFonts w:eastAsia="宋体"/>
        </w:rPr>
      </w:pPr>
    </w:p>
    <w:p>
      <w:pPr>
        <w:pStyle w:val="6"/>
      </w:pPr>
      <w:r>
        <w:t>A.6.5.3.7.2</w:t>
      </w:r>
      <w:r>
        <w:tab/>
      </w:r>
      <w:r>
        <w:t>Test Requirements</w:t>
      </w:r>
    </w:p>
    <w:p>
      <w:r>
        <w:t xml:space="preserve">During T2, as defined in clause 8.3, the UE shall start sending CSI reports for PUCCH SCell on PUCCH SCell with non-zero CQI index at latest in </w:t>
      </w:r>
    </w:p>
    <w:p>
      <w:pPr>
        <w:pStyle w:val="77"/>
        <w:rPr>
          <w:rFonts w:hint="eastAsia" w:eastAsiaTheme="minorEastAsia"/>
          <w:lang w:val="en-US" w:eastAsia="zh-CN"/>
        </w:rPr>
      </w:pPr>
      <w:r>
        <w:t xml:space="preserve">a slot </w:t>
      </w:r>
      <m:oMath>
        <m:r>
          <m:rPr>
            <m:sty m:val="p"/>
          </m:rPr>
          <w:rPr>
            <w:rFonts w:ascii="Cambria Math" w:hAnsi="Cambria Math"/>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ctrlPr>
                  <w:rPr>
                    <w:rFonts w:ascii="Cambria Math" w:hAnsi="Cambria Math" w:cs="MS Gothic"/>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activtion_time</m:t>
                </m:r>
                <m:ctrlPr>
                  <w:rPr>
                    <w:rFonts w:ascii="Cambria Math" w:hAnsi="Cambria Math" w:cs="MS Gothic"/>
                    <w:i/>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CSI_Reporting</m:t>
                </m:r>
                <m:ctrlPr>
                  <w:rPr>
                    <w:rFonts w:ascii="Cambria Math" w:hAnsi="Cambria Math" w:cs="MS Gothic"/>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for Test 1.</w:t>
      </w:r>
      <w:ins w:id="0" w:author="ZTE" w:date="2024-02-18T23:04:54Z">
        <w:r>
          <w:rPr>
            <w:rFonts w:hint="eastAsia"/>
            <w:lang w:val="en-US" w:eastAsia="zh-CN"/>
          </w:rPr>
          <w:t xml:space="preserve"> </w:t>
        </w:r>
      </w:ins>
      <w:ins w:id="1" w:author="ZTE" w:date="2024-02-18T23:04:55Z">
        <w:r>
          <w:rPr/>
          <w:t>T</w:t>
        </w:r>
      </w:ins>
      <w:ins w:id="2" w:author="ZTE" w:date="2024-02-18T23:04:55Z">
        <w:r>
          <w:rPr>
            <w:vertAlign w:val="subscript"/>
          </w:rPr>
          <w:t>activation_time</w:t>
        </w:r>
      </w:ins>
      <w:ins w:id="3" w:author="ZTE" w:date="2024-02-18T23:04:55Z">
        <w:r>
          <w:rPr/>
          <w:t xml:space="preserve"> </w:t>
        </w:r>
      </w:ins>
      <w:ins w:id="4" w:author="ZTE" w:date="2024-02-18T23:05:57Z">
        <w:r>
          <w:rPr>
            <w:rFonts w:hint="eastAsia"/>
            <w:lang w:val="en-US" w:eastAsia="zh-CN"/>
          </w:rPr>
          <w:t>=</w:t>
        </w:r>
      </w:ins>
      <w:ins w:id="5" w:author="ZTE" w:date="2024-02-18T23:05:58Z">
        <w:r>
          <w:rPr>
            <w:rFonts w:hint="eastAsia"/>
            <w:lang w:val="en-US" w:eastAsia="zh-CN"/>
          </w:rPr>
          <w:t xml:space="preserve"> </w:t>
        </w:r>
      </w:ins>
      <w:ins w:id="6" w:author="ZTE" w:date="2024-02-18T23:04:55Z">
        <w:r>
          <w:rPr/>
          <w:t>T</w:t>
        </w:r>
      </w:ins>
      <w:ins w:id="7" w:author="ZTE" w:date="2024-02-18T23:04:55Z">
        <w:r>
          <w:rPr>
            <w:vertAlign w:val="subscript"/>
          </w:rPr>
          <w:t>FirstSSB_MAX</w:t>
        </w:r>
      </w:ins>
      <w:ins w:id="8" w:author="ZTE" w:date="2024-02-18T23:04:55Z">
        <w:r>
          <w:rPr/>
          <w:t xml:space="preserve"> + T</w:t>
        </w:r>
      </w:ins>
      <w:ins w:id="9" w:author="ZTE" w:date="2024-02-18T23:04:55Z">
        <w:r>
          <w:rPr>
            <w:vertAlign w:val="subscript"/>
          </w:rPr>
          <w:t xml:space="preserve">SMTC_MAX </w:t>
        </w:r>
      </w:ins>
      <w:ins w:id="10" w:author="ZTE" w:date="2024-02-18T23:04:55Z">
        <w:r>
          <w:rPr/>
          <w:t>+ 2*T</w:t>
        </w:r>
      </w:ins>
      <w:ins w:id="11" w:author="ZTE" w:date="2024-02-18T23:04:55Z">
        <w:r>
          <w:rPr>
            <w:vertAlign w:val="subscript"/>
          </w:rPr>
          <w:t>rs</w:t>
        </w:r>
      </w:ins>
      <w:ins w:id="12" w:author="ZTE" w:date="2024-02-18T23:04:55Z">
        <w:r>
          <w:rPr/>
          <w:t xml:space="preserve"> + 5ms</w:t>
        </w:r>
      </w:ins>
      <w:ins w:id="13" w:author="ZTE" w:date="2024-02-18T23:06:10Z">
        <w:r>
          <w:rPr>
            <w:rFonts w:hint="eastAsia"/>
            <w:lang w:val="en-US" w:eastAsia="zh-CN"/>
          </w:rPr>
          <w:t>.</w:t>
        </w:r>
      </w:ins>
    </w:p>
    <w:p>
      <w:pPr>
        <w:pStyle w:val="77"/>
        <w:rPr>
          <w:lang w:eastAsia="zh-TW"/>
        </w:rPr>
      </w:pPr>
      <w:r>
        <w:t xml:space="preserve">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hint="eastAsia"/>
          <w:lang w:eastAsia="zh-TW"/>
        </w:rPr>
        <w:t xml:space="preserve"> </w:t>
      </w:r>
      <w:r>
        <w:rPr>
          <w:lang w:eastAsia="zh-TW"/>
        </w:rPr>
        <w:t xml:space="preserve"> for </w:t>
      </w:r>
      <w:r>
        <w:t xml:space="preserve">Test 2. </w:t>
      </w:r>
    </w:p>
    <w:p>
      <w:r>
        <w:t xml:space="preserve">During T3 the UE shall stop sending CSI reports for PUCCH SCell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p>
    <w:p>
      <w:bookmarkStart w:id="2" w:name="_Hlk112145403"/>
      <w:r>
        <w:t xml:space="preserve">During T2 interruption of PCell during PUCCH SCell activation shall not happen outside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as defined in clause 8.3.</w:t>
      </w:r>
    </w:p>
    <w:p>
      <w:r>
        <w:t xml:space="preserve">During T3 the starting point of interruption of PCell during PUCCH SCell deactivation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p>
    <w:p>
      <w:r>
        <w:t>The interruption on any activated serving cell shall not be more than the values specified for SA in clause 8.2.2.2.18.</w:t>
      </w:r>
    </w:p>
    <w:bookmarkEnd w:id="2"/>
    <w:p>
      <w: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pPr>
        <w:pStyle w:val="58"/>
      </w:pPr>
      <w:r>
        <w:t>NOTE:</w:t>
      </w:r>
      <w:r>
        <w:tab/>
      </w:r>
      <w:r>
        <w:t xml:space="preserve">During T2 if there are no uplink resources for reporting the valid CSI in a slot  </w:t>
      </w:r>
      <m:oMath>
        <m:r>
          <m:rPr>
            <m:sty m:val="p"/>
          </m:rPr>
          <w:rPr>
            <w:rFonts w:ascii="Cambria Math" w:hAnsi="Cambria Math"/>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ctrlPr>
                  <w:rPr>
                    <w:rFonts w:ascii="Cambria Math" w:hAnsi="Cambria Math" w:cs="MS Gothic"/>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activtion_time</m:t>
                </m:r>
                <m:ctrlPr>
                  <w:rPr>
                    <w:rFonts w:ascii="Cambria Math" w:hAnsi="Cambria Math" w:cs="MS Gothic"/>
                    <w:i/>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CSI_Reporting</m:t>
                </m:r>
                <m:ctrlPr>
                  <w:rPr>
                    <w:rFonts w:ascii="Cambria Math" w:hAnsi="Cambria Math" w:cs="MS Gothic"/>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r>
          <m:rPr/>
          <w:rPr>
            <w:rFonts w:ascii="Cambria Math" w:hAnsi="Cambria Math"/>
          </w:rPr>
          <m:t xml:space="preserve"> </m:t>
        </m:r>
      </m:oMath>
      <w:r>
        <w:t>for Test 1 and Test 2, respectively, as defined in clause 8.3 then the UE shall use the next available uplink resource for reporting the corresponding valid CSI.</w:t>
      </w:r>
    </w:p>
    <w:p/>
    <w:p>
      <w:pPr>
        <w:pStyle w:val="3"/>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keepNext/>
        <w:keepLines/>
        <w:spacing w:before="180"/>
        <w:outlineLvl w:val="1"/>
        <w:rPr>
          <w:rFonts w:ascii="Arial" w:hAnsi="Arial" w:eastAsia="??"/>
          <w:color w:val="FF0000"/>
          <w:sz w:val="32"/>
          <w:szCs w:val="32"/>
        </w:rPr>
      </w:pPr>
    </w:p>
    <w:p>
      <w:pPr>
        <w:ind w:left="-142"/>
        <w:rPr>
          <w:rFonts w:eastAsia="MS Mincho"/>
          <w:lang w:eastAsia="ja-JP"/>
        </w:rPr>
      </w:pPr>
    </w:p>
    <w:p>
      <w:pPr>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83779A"/>
    <w:rsid w:val="059B5942"/>
    <w:rsid w:val="06CC4F3E"/>
    <w:rsid w:val="07717BEE"/>
    <w:rsid w:val="07FA2852"/>
    <w:rsid w:val="0990373C"/>
    <w:rsid w:val="09D26CC8"/>
    <w:rsid w:val="0B2D7E0F"/>
    <w:rsid w:val="0D046E91"/>
    <w:rsid w:val="0F384771"/>
    <w:rsid w:val="0F7A55F0"/>
    <w:rsid w:val="0FDB1604"/>
    <w:rsid w:val="13085373"/>
    <w:rsid w:val="13EE6A33"/>
    <w:rsid w:val="141F7823"/>
    <w:rsid w:val="14E43220"/>
    <w:rsid w:val="1AC13651"/>
    <w:rsid w:val="1BCE06F4"/>
    <w:rsid w:val="1BDA5E39"/>
    <w:rsid w:val="1C362480"/>
    <w:rsid w:val="1D7E389D"/>
    <w:rsid w:val="24BE4E84"/>
    <w:rsid w:val="24D21172"/>
    <w:rsid w:val="24D22A1E"/>
    <w:rsid w:val="26710177"/>
    <w:rsid w:val="26A25481"/>
    <w:rsid w:val="2AD97DE0"/>
    <w:rsid w:val="2B032A96"/>
    <w:rsid w:val="2B536001"/>
    <w:rsid w:val="2C742087"/>
    <w:rsid w:val="37ED5C53"/>
    <w:rsid w:val="3AE14B1D"/>
    <w:rsid w:val="3D0D718A"/>
    <w:rsid w:val="3D5A7F2D"/>
    <w:rsid w:val="3E6675B2"/>
    <w:rsid w:val="3FF6483C"/>
    <w:rsid w:val="41AB10A9"/>
    <w:rsid w:val="44A23EC7"/>
    <w:rsid w:val="44EC6FC5"/>
    <w:rsid w:val="453375BE"/>
    <w:rsid w:val="466A1138"/>
    <w:rsid w:val="4A196785"/>
    <w:rsid w:val="4C411333"/>
    <w:rsid w:val="4D940284"/>
    <w:rsid w:val="4E0C1BD1"/>
    <w:rsid w:val="4F2A76D7"/>
    <w:rsid w:val="549F73E8"/>
    <w:rsid w:val="552F421F"/>
    <w:rsid w:val="58A70DF4"/>
    <w:rsid w:val="58E51805"/>
    <w:rsid w:val="5B4D0C49"/>
    <w:rsid w:val="61EF51AD"/>
    <w:rsid w:val="620E2B64"/>
    <w:rsid w:val="629F3EDD"/>
    <w:rsid w:val="62DE120A"/>
    <w:rsid w:val="63096CAD"/>
    <w:rsid w:val="66113DC7"/>
    <w:rsid w:val="69743641"/>
    <w:rsid w:val="6A681B79"/>
    <w:rsid w:val="6E1A28ED"/>
    <w:rsid w:val="72ED4213"/>
    <w:rsid w:val="736A0D2E"/>
    <w:rsid w:val="757C1464"/>
    <w:rsid w:val="79261108"/>
    <w:rsid w:val="7A2514C2"/>
    <w:rsid w:val="7CFB474E"/>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table" w:customStyle="1" w:styleId="89">
    <w:name w:val="Table Grid9"/>
    <w:basedOn w:val="4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8</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2024-03-05T02:14:19Z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