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E08843" w14:textId="1EB4CF58" w:rsidR="007C55DC" w:rsidRPr="00E02BBE" w:rsidRDefault="007C55DC" w:rsidP="00E02BBE">
      <w:pPr>
        <w:tabs>
          <w:tab w:val="left" w:pos="567"/>
        </w:tabs>
        <w:spacing w:after="0"/>
        <w:rPr>
          <w:rFonts w:ascii="Arial" w:hAnsi="Arial" w:cs="Arial"/>
          <w:b/>
          <w:sz w:val="22"/>
          <w:szCs w:val="22"/>
        </w:rPr>
      </w:pPr>
      <w:bookmarkStart w:id="0" w:name="_GoBack"/>
      <w:bookmarkEnd w:id="0"/>
      <w:r w:rsidRPr="00E02BBE">
        <w:rPr>
          <w:rFonts w:ascii="Arial" w:hAnsi="Arial" w:cs="Arial"/>
          <w:b/>
          <w:sz w:val="22"/>
          <w:szCs w:val="22"/>
        </w:rPr>
        <w:t>3GPP TSG RAN Meeting #103</w:t>
      </w:r>
      <w:r w:rsidRPr="00E02BBE">
        <w:rPr>
          <w:rFonts w:ascii="Arial" w:hAnsi="Arial" w:cs="Arial"/>
          <w:b/>
          <w:sz w:val="22"/>
          <w:szCs w:val="22"/>
        </w:rPr>
        <w:tab/>
        <w:t xml:space="preserve">                                                    </w:t>
      </w:r>
      <w:r w:rsidR="004F0DB9">
        <w:rPr>
          <w:rFonts w:ascii="Arial" w:hAnsi="Arial" w:cs="Arial"/>
          <w:b/>
          <w:sz w:val="22"/>
          <w:szCs w:val="22"/>
        </w:rPr>
        <w:t xml:space="preserve">                             </w:t>
      </w:r>
      <w:r w:rsidRPr="00E02BBE">
        <w:rPr>
          <w:rFonts w:ascii="Arial" w:hAnsi="Arial" w:cs="Arial"/>
          <w:b/>
          <w:sz w:val="22"/>
          <w:szCs w:val="22"/>
        </w:rPr>
        <w:t>RP-24</w:t>
      </w:r>
      <w:r w:rsidR="00B157D5">
        <w:rPr>
          <w:rFonts w:ascii="Arial" w:hAnsi="Arial" w:cs="Arial"/>
          <w:b/>
          <w:sz w:val="22"/>
          <w:szCs w:val="22"/>
        </w:rPr>
        <w:t>0401</w:t>
      </w:r>
    </w:p>
    <w:p w14:paraId="2C440486" w14:textId="0CD83E19" w:rsidR="00CB40E6" w:rsidRPr="008E1450" w:rsidRDefault="007C55DC" w:rsidP="00E02BBE">
      <w:pPr>
        <w:tabs>
          <w:tab w:val="left" w:pos="567"/>
        </w:tabs>
        <w:spacing w:after="240"/>
        <w:rPr>
          <w:rFonts w:ascii="Arial" w:hAnsi="Arial" w:cs="Arial"/>
          <w:b/>
          <w:sz w:val="28"/>
          <w:szCs w:val="28"/>
        </w:rPr>
      </w:pPr>
      <w:r w:rsidRPr="00E02BBE">
        <w:rPr>
          <w:rFonts w:ascii="Arial" w:hAnsi="Arial" w:cs="Arial"/>
          <w:b/>
          <w:sz w:val="22"/>
          <w:szCs w:val="22"/>
        </w:rPr>
        <w:t>Maastricht, Netherlands, March 18-21, 2024</w:t>
      </w:r>
    </w:p>
    <w:p w14:paraId="486E473F" w14:textId="6670D050" w:rsidR="00A67875" w:rsidRPr="008E1450"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00F35990" w:rsidRPr="00A079D3">
        <w:rPr>
          <w:rFonts w:ascii="Arial" w:hAnsi="Arial"/>
          <w:b/>
          <w:lang w:val="en-US"/>
        </w:rPr>
        <w:tab/>
      </w:r>
      <w:r w:rsidR="008E1450" w:rsidRPr="008E1450">
        <w:rPr>
          <w:rFonts w:ascii="Arial" w:hAnsi="Arial"/>
          <w:b/>
          <w:lang w:val="en-US"/>
        </w:rPr>
        <w:t>9.</w:t>
      </w:r>
      <w:r w:rsidR="00166439">
        <w:rPr>
          <w:rFonts w:ascii="Arial" w:hAnsi="Arial"/>
          <w:b/>
          <w:lang w:val="en-US"/>
        </w:rPr>
        <w:t>9</w:t>
      </w:r>
    </w:p>
    <w:p w14:paraId="49B00910" w14:textId="352F6048"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166439">
        <w:rPr>
          <w:rFonts w:ascii="Arial" w:hAnsi="Arial"/>
          <w:b/>
        </w:rPr>
        <w:t>CATT</w:t>
      </w:r>
      <w:r w:rsidR="008B0DA6">
        <w:rPr>
          <w:rFonts w:ascii="Arial" w:hAnsi="Arial"/>
          <w:b/>
        </w:rPr>
        <w:t>, CBN, China Broadnet</w:t>
      </w:r>
    </w:p>
    <w:p w14:paraId="0158881A" w14:textId="35871D62" w:rsidR="00BD7C2A" w:rsidRPr="00A079D3" w:rsidRDefault="00CB40E6" w:rsidP="00BD7C2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r w:rsidR="00913017" w:rsidRPr="00913017">
        <w:rPr>
          <w:rFonts w:ascii="Arial" w:hAnsi="Arial"/>
          <w:b/>
        </w:rPr>
        <w:t>On 2Rx non-</w:t>
      </w:r>
      <w:proofErr w:type="spellStart"/>
      <w:r w:rsidR="00913017" w:rsidRPr="00913017">
        <w:rPr>
          <w:rFonts w:ascii="Arial" w:hAnsi="Arial"/>
          <w:b/>
        </w:rPr>
        <w:t>RedCap</w:t>
      </w:r>
      <w:proofErr w:type="spellEnd"/>
      <w:r w:rsidR="00913017" w:rsidRPr="00913017">
        <w:rPr>
          <w:rFonts w:ascii="Arial" w:hAnsi="Arial"/>
          <w:b/>
        </w:rPr>
        <w:t xml:space="preserve"> XR devices (TEI - 2Rx_XR_Device)</w:t>
      </w:r>
    </w:p>
    <w:p w14:paraId="430E48E0" w14:textId="77777777" w:rsidR="000D1C09" w:rsidRPr="003F02D9" w:rsidRDefault="000D1C09" w:rsidP="000D1C09">
      <w:pPr>
        <w:tabs>
          <w:tab w:val="left" w:pos="567"/>
        </w:tabs>
        <w:rPr>
          <w:rFonts w:ascii="Arial" w:hAnsi="Arial"/>
          <w:b/>
        </w:rPr>
      </w:pPr>
      <w:r w:rsidRPr="002814A5">
        <w:rPr>
          <w:rFonts w:ascii="Arial" w:hAnsi="Arial"/>
          <w:b/>
        </w:rPr>
        <w:t>Document for:</w:t>
      </w:r>
      <w:r w:rsidRPr="002814A5">
        <w:rPr>
          <w:rFonts w:ascii="Arial" w:hAnsi="Arial"/>
          <w:b/>
        </w:rPr>
        <w:tab/>
      </w:r>
      <w:r w:rsidRPr="009B1A1E">
        <w:rPr>
          <w:rFonts w:ascii="Arial" w:hAnsi="Arial" w:hint="eastAsia"/>
          <w:b/>
        </w:rPr>
        <w:t xml:space="preserve">          </w:t>
      </w:r>
      <w:r w:rsidRPr="003F02D9">
        <w:rPr>
          <w:rFonts w:ascii="Arial" w:hAnsi="Arial" w:hint="eastAsia"/>
          <w:b/>
        </w:rPr>
        <w:t>Discussion and Decision</w:t>
      </w:r>
    </w:p>
    <w:p w14:paraId="19F64B3A" w14:textId="77777777" w:rsidR="00CB40E6" w:rsidRPr="000D1C09" w:rsidRDefault="00CB40E6" w:rsidP="00F35990">
      <w:pPr>
        <w:pBdr>
          <w:bottom w:val="single" w:sz="12" w:space="1" w:color="auto"/>
        </w:pBdr>
        <w:tabs>
          <w:tab w:val="left" w:pos="567"/>
        </w:tabs>
      </w:pPr>
    </w:p>
    <w:p w14:paraId="18B0B695" w14:textId="77777777" w:rsidR="00CB40E6" w:rsidRDefault="004F7FE5" w:rsidP="001405E2">
      <w:pPr>
        <w:pStyle w:val="Heading3"/>
      </w:pPr>
      <w:r w:rsidRPr="00A079D3">
        <w:t>1</w:t>
      </w:r>
      <w:r w:rsidRPr="00A079D3">
        <w:tab/>
      </w:r>
      <w:r w:rsidR="004B3C92">
        <w:t>Introduction</w:t>
      </w:r>
    </w:p>
    <w:p w14:paraId="4E5922AF" w14:textId="49C5CE66" w:rsidR="00A27E5D" w:rsidRDefault="007143CE" w:rsidP="001E10F6">
      <w:pPr>
        <w:spacing w:after="0"/>
        <w:rPr>
          <w:iCs/>
          <w:lang w:val="en-US"/>
        </w:rPr>
      </w:pPr>
      <w:r>
        <w:rPr>
          <w:iCs/>
          <w:lang w:val="en-US"/>
        </w:rPr>
        <w:t>In RAN#102 a way forward was agreed on addressing the support of 2Rx non-</w:t>
      </w:r>
      <w:proofErr w:type="spellStart"/>
      <w:r>
        <w:rPr>
          <w:iCs/>
          <w:lang w:val="en-US"/>
        </w:rPr>
        <w:t>RedCap</w:t>
      </w:r>
      <w:proofErr w:type="spellEnd"/>
      <w:r>
        <w:rPr>
          <w:iCs/>
          <w:lang w:val="en-US"/>
        </w:rPr>
        <w:t xml:space="preserve"> XR devices and RAN tasks are assigned to RAN2/3/4 as seen below [1]:</w:t>
      </w:r>
    </w:p>
    <w:tbl>
      <w:tblPr>
        <w:tblStyle w:val="TableGrid"/>
        <w:tblW w:w="0" w:type="auto"/>
        <w:tblLook w:val="04A0" w:firstRow="1" w:lastRow="0" w:firstColumn="1" w:lastColumn="0" w:noHBand="0" w:noVBand="1"/>
      </w:tblPr>
      <w:tblGrid>
        <w:gridCol w:w="9628"/>
      </w:tblGrid>
      <w:tr w:rsidR="007143CE" w:rsidRPr="007143CE" w14:paraId="727D8EC6" w14:textId="77777777" w:rsidTr="007143CE">
        <w:tc>
          <w:tcPr>
            <w:tcW w:w="9628" w:type="dxa"/>
          </w:tcPr>
          <w:p w14:paraId="56FAEA4E" w14:textId="77777777" w:rsidR="007143CE" w:rsidRPr="007143CE" w:rsidRDefault="007143CE" w:rsidP="007143CE">
            <w:pPr>
              <w:pStyle w:val="ListParagraph"/>
              <w:numPr>
                <w:ilvl w:val="0"/>
                <w:numId w:val="18"/>
              </w:numPr>
              <w:ind w:left="360"/>
              <w:rPr>
                <w:i/>
                <w:iCs/>
                <w:sz w:val="20"/>
                <w:szCs w:val="20"/>
              </w:rPr>
            </w:pPr>
            <w:r w:rsidRPr="007143CE">
              <w:rPr>
                <w:b/>
                <w:bCs/>
                <w:i/>
                <w:iCs/>
                <w:sz w:val="20"/>
                <w:szCs w:val="20"/>
                <w:u w:val="single"/>
              </w:rPr>
              <w:t>Task RAN2 and RAN3</w:t>
            </w:r>
            <w:r w:rsidRPr="007143CE">
              <w:rPr>
                <w:i/>
                <w:iCs/>
                <w:sz w:val="20"/>
                <w:szCs w:val="20"/>
              </w:rPr>
              <w:t xml:space="preserve"> to develop signaling support for ‘2Rx non-REDCAP XR devices’, send corresponding Release-18 draft CR(s) to RAN#103:</w:t>
            </w:r>
          </w:p>
          <w:p w14:paraId="72FB98AF" w14:textId="77777777" w:rsidR="007143CE" w:rsidRPr="007143CE" w:rsidRDefault="007143CE" w:rsidP="007143CE">
            <w:pPr>
              <w:pStyle w:val="ListParagraph"/>
              <w:numPr>
                <w:ilvl w:val="0"/>
                <w:numId w:val="19"/>
              </w:numPr>
              <w:ind w:left="720"/>
              <w:rPr>
                <w:i/>
                <w:iCs/>
                <w:sz w:val="20"/>
                <w:szCs w:val="20"/>
              </w:rPr>
            </w:pPr>
            <w:r w:rsidRPr="007143CE">
              <w:rPr>
                <w:i/>
                <w:iCs/>
                <w:sz w:val="20"/>
                <w:szCs w:val="20"/>
              </w:rPr>
              <w:t>A new dedicated UE capability indication per band and setting of corresponding existing UE capability(</w:t>
            </w:r>
            <w:proofErr w:type="spellStart"/>
            <w:r w:rsidRPr="007143CE">
              <w:rPr>
                <w:i/>
                <w:iCs/>
                <w:sz w:val="20"/>
                <w:szCs w:val="20"/>
              </w:rPr>
              <w:t>ies</w:t>
            </w:r>
            <w:proofErr w:type="spellEnd"/>
            <w:r w:rsidRPr="007143CE">
              <w:rPr>
                <w:i/>
                <w:iCs/>
                <w:sz w:val="20"/>
                <w:szCs w:val="20"/>
              </w:rPr>
              <w:t>). [RAN2]</w:t>
            </w:r>
            <w:r w:rsidRPr="007143CE">
              <w:rPr>
                <w:i/>
                <w:iCs/>
                <w:sz w:val="20"/>
                <w:szCs w:val="20"/>
              </w:rPr>
              <w:br/>
              <w:t>Note: no need is foreseen to add an indication to Msg1 or Msg3.</w:t>
            </w:r>
          </w:p>
          <w:p w14:paraId="391D766C" w14:textId="77777777" w:rsidR="007143CE" w:rsidRPr="007143CE" w:rsidRDefault="007143CE" w:rsidP="007143CE">
            <w:pPr>
              <w:pStyle w:val="ListParagraph"/>
              <w:numPr>
                <w:ilvl w:val="0"/>
                <w:numId w:val="19"/>
              </w:numPr>
              <w:ind w:left="720"/>
              <w:rPr>
                <w:i/>
                <w:iCs/>
                <w:sz w:val="20"/>
                <w:szCs w:val="20"/>
              </w:rPr>
            </w:pPr>
            <w:r w:rsidRPr="007143CE">
              <w:rPr>
                <w:i/>
                <w:iCs/>
                <w:sz w:val="20"/>
                <w:szCs w:val="20"/>
              </w:rPr>
              <w:t xml:space="preserve">Indication in SIB, to be used to re-direct to another frequency layer, or to bar the device altogether. [RAN2] </w:t>
            </w:r>
          </w:p>
          <w:p w14:paraId="3A54E906" w14:textId="77777777" w:rsidR="007143CE" w:rsidRPr="007143CE" w:rsidRDefault="007143CE" w:rsidP="007143CE">
            <w:pPr>
              <w:pStyle w:val="ListParagraph"/>
              <w:numPr>
                <w:ilvl w:val="0"/>
                <w:numId w:val="19"/>
              </w:numPr>
              <w:ind w:left="720"/>
              <w:rPr>
                <w:i/>
                <w:iCs/>
                <w:sz w:val="20"/>
                <w:szCs w:val="20"/>
              </w:rPr>
            </w:pPr>
            <w:r w:rsidRPr="007143CE">
              <w:rPr>
                <w:i/>
                <w:iCs/>
                <w:sz w:val="20"/>
                <w:szCs w:val="20"/>
              </w:rPr>
              <w:t xml:space="preserve">SPID indication from the Core Network to </w:t>
            </w:r>
            <w:proofErr w:type="spellStart"/>
            <w:r w:rsidRPr="007143CE">
              <w:rPr>
                <w:i/>
                <w:iCs/>
                <w:sz w:val="20"/>
                <w:szCs w:val="20"/>
              </w:rPr>
              <w:t>gNB</w:t>
            </w:r>
            <w:proofErr w:type="spellEnd"/>
            <w:r w:rsidRPr="007143CE">
              <w:rPr>
                <w:i/>
                <w:iCs/>
                <w:sz w:val="20"/>
                <w:szCs w:val="20"/>
              </w:rPr>
              <w:t>. [RAN3]</w:t>
            </w:r>
          </w:p>
          <w:p w14:paraId="667C5236" w14:textId="77777777" w:rsidR="007143CE" w:rsidRPr="007143CE" w:rsidRDefault="007143CE" w:rsidP="007143CE">
            <w:pPr>
              <w:pStyle w:val="ListParagraph"/>
              <w:numPr>
                <w:ilvl w:val="0"/>
                <w:numId w:val="19"/>
              </w:numPr>
              <w:ind w:left="720"/>
              <w:rPr>
                <w:i/>
                <w:iCs/>
                <w:sz w:val="20"/>
                <w:szCs w:val="20"/>
              </w:rPr>
            </w:pPr>
            <w:r w:rsidRPr="007143CE">
              <w:rPr>
                <w:i/>
                <w:iCs/>
                <w:sz w:val="20"/>
                <w:szCs w:val="20"/>
              </w:rPr>
              <w:t xml:space="preserve">N2-NGAP indication for ‘2Rx non-REDCAP XR devices’ from </w:t>
            </w:r>
            <w:proofErr w:type="spellStart"/>
            <w:r w:rsidRPr="007143CE">
              <w:rPr>
                <w:i/>
                <w:iCs/>
                <w:sz w:val="20"/>
                <w:szCs w:val="20"/>
              </w:rPr>
              <w:t>gNB</w:t>
            </w:r>
            <w:proofErr w:type="spellEnd"/>
            <w:r w:rsidRPr="007143CE">
              <w:rPr>
                <w:i/>
                <w:iCs/>
                <w:sz w:val="20"/>
                <w:szCs w:val="20"/>
              </w:rPr>
              <w:t xml:space="preserve"> to Core Network to take action based on operator policy. [RAN3]  </w:t>
            </w:r>
          </w:p>
          <w:p w14:paraId="4A6AC2F3" w14:textId="77777777" w:rsidR="007143CE" w:rsidRPr="007143CE" w:rsidRDefault="007143CE" w:rsidP="007143CE">
            <w:pPr>
              <w:pStyle w:val="ListParagraph"/>
              <w:rPr>
                <w:i/>
                <w:iCs/>
                <w:sz w:val="20"/>
                <w:szCs w:val="20"/>
              </w:rPr>
            </w:pPr>
          </w:p>
          <w:p w14:paraId="7CC5BC3D" w14:textId="77777777" w:rsidR="007143CE" w:rsidRPr="007143CE" w:rsidRDefault="007143CE" w:rsidP="007143CE">
            <w:pPr>
              <w:pStyle w:val="ListParagraph"/>
              <w:numPr>
                <w:ilvl w:val="0"/>
                <w:numId w:val="18"/>
              </w:numPr>
              <w:ind w:left="360"/>
              <w:rPr>
                <w:i/>
                <w:iCs/>
                <w:sz w:val="20"/>
                <w:szCs w:val="20"/>
              </w:rPr>
            </w:pPr>
            <w:r w:rsidRPr="007143CE">
              <w:rPr>
                <w:b/>
                <w:bCs/>
                <w:i/>
                <w:iCs/>
                <w:sz w:val="20"/>
                <w:szCs w:val="20"/>
                <w:u w:val="single"/>
              </w:rPr>
              <w:t>Task RAN4</w:t>
            </w:r>
            <w:r w:rsidRPr="007143CE">
              <w:rPr>
                <w:i/>
                <w:iCs/>
                <w:sz w:val="20"/>
                <w:szCs w:val="20"/>
              </w:rPr>
              <w:t xml:space="preserve"> to develop Release-18 draft CR(s) to RAN#103 for ‘2Rx non-REDCAP XR devices’:</w:t>
            </w:r>
          </w:p>
          <w:p w14:paraId="48D379CE" w14:textId="77777777" w:rsidR="007143CE" w:rsidRPr="007143CE" w:rsidRDefault="007143CE" w:rsidP="007143CE">
            <w:pPr>
              <w:pStyle w:val="ListParagraph"/>
              <w:numPr>
                <w:ilvl w:val="0"/>
                <w:numId w:val="19"/>
              </w:numPr>
              <w:ind w:left="720"/>
              <w:rPr>
                <w:i/>
                <w:iCs/>
                <w:sz w:val="20"/>
                <w:szCs w:val="20"/>
              </w:rPr>
            </w:pPr>
            <w:r w:rsidRPr="007143CE">
              <w:rPr>
                <w:i/>
                <w:iCs/>
                <w:sz w:val="20"/>
                <w:szCs w:val="20"/>
              </w:rPr>
              <w:t>Capture the definition of 2Rx non-REDCAP XR devices in [38.101-1] using the definition from RAN#101 (c.f. RP-232657)</w:t>
            </w:r>
          </w:p>
          <w:p w14:paraId="73F4A13C" w14:textId="77777777" w:rsidR="007143CE" w:rsidRPr="007143CE" w:rsidRDefault="007143CE" w:rsidP="007143CE">
            <w:pPr>
              <w:pStyle w:val="ListParagraph"/>
              <w:numPr>
                <w:ilvl w:val="0"/>
                <w:numId w:val="19"/>
              </w:numPr>
              <w:ind w:left="720"/>
              <w:rPr>
                <w:i/>
                <w:iCs/>
                <w:sz w:val="20"/>
                <w:szCs w:val="20"/>
              </w:rPr>
            </w:pPr>
            <w:r w:rsidRPr="007143CE">
              <w:rPr>
                <w:i/>
                <w:iCs/>
                <w:sz w:val="20"/>
                <w:szCs w:val="20"/>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0ADA6CFE" w14:textId="77777777" w:rsidR="007143CE" w:rsidRPr="007143CE" w:rsidRDefault="007143CE" w:rsidP="007143CE">
            <w:pPr>
              <w:pStyle w:val="ListParagraph"/>
              <w:rPr>
                <w:i/>
                <w:iCs/>
                <w:sz w:val="20"/>
                <w:szCs w:val="20"/>
              </w:rPr>
            </w:pPr>
          </w:p>
          <w:p w14:paraId="7893F8DA" w14:textId="77777777" w:rsidR="007143CE" w:rsidRPr="007143CE" w:rsidRDefault="007143CE" w:rsidP="007143CE">
            <w:pPr>
              <w:pStyle w:val="ListParagraph"/>
              <w:numPr>
                <w:ilvl w:val="0"/>
                <w:numId w:val="18"/>
              </w:numPr>
              <w:ind w:left="360"/>
              <w:rPr>
                <w:i/>
                <w:iCs/>
                <w:sz w:val="20"/>
                <w:szCs w:val="20"/>
              </w:rPr>
            </w:pPr>
            <w:r w:rsidRPr="007143CE">
              <w:rPr>
                <w:b/>
                <w:bCs/>
                <w:i/>
                <w:iCs/>
                <w:sz w:val="20"/>
                <w:szCs w:val="20"/>
                <w:u w:val="single"/>
              </w:rPr>
              <w:t>TSG-RAN#103 in March:</w:t>
            </w:r>
            <w:r w:rsidRPr="007143CE">
              <w:rPr>
                <w:i/>
                <w:iCs/>
                <w:sz w:val="20"/>
                <w:szCs w:val="20"/>
              </w:rPr>
              <w:t xml:space="preserve"> </w:t>
            </w:r>
          </w:p>
          <w:p w14:paraId="5FBEC651" w14:textId="77777777" w:rsidR="007143CE" w:rsidRPr="007143CE" w:rsidRDefault="007143CE" w:rsidP="007143CE">
            <w:pPr>
              <w:pStyle w:val="ListParagraph"/>
              <w:numPr>
                <w:ilvl w:val="0"/>
                <w:numId w:val="20"/>
              </w:numPr>
              <w:rPr>
                <w:i/>
                <w:iCs/>
                <w:sz w:val="20"/>
                <w:szCs w:val="20"/>
              </w:rPr>
            </w:pPr>
            <w:r w:rsidRPr="007143CE">
              <w:rPr>
                <w:i/>
                <w:iCs/>
                <w:sz w:val="20"/>
                <w:szCs w:val="20"/>
              </w:rPr>
              <w:t>Consider approving the draft CRs from RAN2, RAN3 and RAN4 for Release-18</w:t>
            </w:r>
          </w:p>
          <w:p w14:paraId="34CB0CD5" w14:textId="77777777" w:rsidR="007143CE" w:rsidRPr="007143CE" w:rsidRDefault="007143CE" w:rsidP="007143CE">
            <w:pPr>
              <w:pStyle w:val="ListParagraph"/>
              <w:numPr>
                <w:ilvl w:val="0"/>
                <w:numId w:val="20"/>
              </w:numPr>
              <w:rPr>
                <w:i/>
                <w:iCs/>
                <w:sz w:val="20"/>
                <w:szCs w:val="20"/>
              </w:rPr>
            </w:pPr>
            <w:r w:rsidRPr="007143CE">
              <w:rPr>
                <w:i/>
                <w:iCs/>
                <w:sz w:val="20"/>
                <w:szCs w:val="20"/>
              </w:rPr>
              <w:t>Consider approving Release-19 work to be conducted on detailed OTA work for ‘2Rx non-REDCAP XR devices’.</w:t>
            </w:r>
          </w:p>
          <w:p w14:paraId="6CAAE0C3" w14:textId="40469047" w:rsidR="007143CE" w:rsidRPr="007143CE" w:rsidRDefault="007143CE" w:rsidP="007143CE">
            <w:pPr>
              <w:pStyle w:val="ListParagraph"/>
              <w:numPr>
                <w:ilvl w:val="0"/>
                <w:numId w:val="20"/>
              </w:numPr>
              <w:rPr>
                <w:i/>
                <w:iCs/>
                <w:sz w:val="20"/>
                <w:szCs w:val="20"/>
              </w:rPr>
            </w:pPr>
            <w:r w:rsidRPr="007143CE">
              <w:rPr>
                <w:i/>
                <w:iCs/>
                <w:sz w:val="20"/>
                <w:szCs w:val="20"/>
              </w:rPr>
              <w:t xml:space="preserve">Points 1) and 2) represent a package, each one is dependent on the other moving forward. </w:t>
            </w:r>
          </w:p>
        </w:tc>
      </w:tr>
    </w:tbl>
    <w:p w14:paraId="363B778B" w14:textId="77777777" w:rsidR="007143CE" w:rsidRDefault="007143CE" w:rsidP="001E10F6">
      <w:pPr>
        <w:spacing w:after="0"/>
        <w:rPr>
          <w:iCs/>
          <w:lang w:val="en-US"/>
        </w:rPr>
      </w:pPr>
    </w:p>
    <w:p w14:paraId="76886980" w14:textId="7E6D2C78" w:rsidR="00357811" w:rsidRPr="00584604" w:rsidRDefault="007C5044" w:rsidP="00584604">
      <w:pPr>
        <w:spacing w:after="0"/>
        <w:rPr>
          <w:iCs/>
          <w:lang w:val="en-US"/>
        </w:rPr>
      </w:pPr>
      <w:r w:rsidRPr="00584604">
        <w:rPr>
          <w:rFonts w:hint="eastAsia"/>
          <w:iCs/>
          <w:lang w:val="en-US"/>
        </w:rPr>
        <w:t xml:space="preserve">For the objectives RAN2 is tasked, most </w:t>
      </w:r>
      <w:r w:rsidR="007105CE" w:rsidRPr="00584604">
        <w:rPr>
          <w:iCs/>
          <w:lang w:val="en-US"/>
        </w:rPr>
        <w:t>technical</w:t>
      </w:r>
      <w:r w:rsidR="007105CE" w:rsidRPr="00584604">
        <w:rPr>
          <w:rFonts w:hint="eastAsia"/>
          <w:iCs/>
          <w:lang w:val="en-US"/>
        </w:rPr>
        <w:t xml:space="preserve"> </w:t>
      </w:r>
      <w:r w:rsidRPr="00584604">
        <w:rPr>
          <w:rFonts w:hint="eastAsia"/>
          <w:iCs/>
          <w:lang w:val="en-US"/>
        </w:rPr>
        <w:t>aspect</w:t>
      </w:r>
      <w:r w:rsidR="007105CE" w:rsidRPr="00584604">
        <w:rPr>
          <w:rFonts w:hint="eastAsia"/>
          <w:iCs/>
          <w:lang w:val="en-US"/>
        </w:rPr>
        <w:t>s were concluded by RAN2, with t</w:t>
      </w:r>
      <w:r w:rsidR="00357811" w:rsidRPr="00584604">
        <w:rPr>
          <w:rFonts w:hint="eastAsia"/>
          <w:iCs/>
          <w:lang w:val="en-US"/>
        </w:rPr>
        <w:t xml:space="preserve">wo sets of endorsed CRs </w:t>
      </w:r>
      <w:r w:rsidR="007105CE" w:rsidRPr="00584604">
        <w:rPr>
          <w:rFonts w:hint="eastAsia"/>
          <w:iCs/>
          <w:lang w:val="en-US"/>
        </w:rPr>
        <w:t>submitted for final approval by RAN plenary (</w:t>
      </w:r>
      <w:r w:rsidR="00357811" w:rsidRPr="00584604">
        <w:rPr>
          <w:rFonts w:hint="eastAsia"/>
          <w:iCs/>
          <w:lang w:val="en-US"/>
        </w:rPr>
        <w:t xml:space="preserve">in </w:t>
      </w:r>
      <w:r w:rsidR="00350768">
        <w:rPr>
          <w:iCs/>
          <w:lang w:val="en-US"/>
        </w:rPr>
        <w:t>[7]</w:t>
      </w:r>
      <w:r w:rsidR="00357811" w:rsidRPr="00584604">
        <w:rPr>
          <w:rFonts w:hint="eastAsia"/>
          <w:iCs/>
          <w:lang w:val="en-US"/>
        </w:rPr>
        <w:t xml:space="preserve"> and </w:t>
      </w:r>
      <w:r w:rsidR="00350768">
        <w:rPr>
          <w:iCs/>
          <w:lang w:val="en-US"/>
        </w:rPr>
        <w:t>[8]</w:t>
      </w:r>
      <w:r w:rsidR="00357811" w:rsidRPr="00584604">
        <w:rPr>
          <w:rFonts w:hint="eastAsia"/>
          <w:iCs/>
          <w:lang w:val="en-US"/>
        </w:rPr>
        <w:t>, respectively</w:t>
      </w:r>
      <w:r w:rsidR="007105CE" w:rsidRPr="00584604">
        <w:rPr>
          <w:rFonts w:hint="eastAsia"/>
          <w:iCs/>
          <w:lang w:val="en-US"/>
        </w:rPr>
        <w:t>)</w:t>
      </w:r>
      <w:r w:rsidR="00357811" w:rsidRPr="00584604">
        <w:rPr>
          <w:rFonts w:hint="eastAsia"/>
          <w:iCs/>
          <w:lang w:val="en-US"/>
        </w:rPr>
        <w:t xml:space="preserve">. </w:t>
      </w:r>
    </w:p>
    <w:p w14:paraId="4A043590" w14:textId="0F7062BC" w:rsidR="007143CE" w:rsidRPr="00584604" w:rsidRDefault="007A2270" w:rsidP="001E10F6">
      <w:pPr>
        <w:spacing w:after="0"/>
        <w:rPr>
          <w:iCs/>
          <w:lang w:val="en-US"/>
        </w:rPr>
      </w:pPr>
      <w:r w:rsidRPr="00584604">
        <w:rPr>
          <w:rFonts w:hint="eastAsia"/>
          <w:iCs/>
          <w:lang w:val="en-US"/>
        </w:rPr>
        <w:t xml:space="preserve">The task assigned to RAN3 was to enable </w:t>
      </w:r>
      <w:proofErr w:type="spellStart"/>
      <w:r w:rsidRPr="00584604">
        <w:rPr>
          <w:rFonts w:hint="eastAsia"/>
          <w:iCs/>
          <w:lang w:val="en-US"/>
        </w:rPr>
        <w:t>gNB</w:t>
      </w:r>
      <w:proofErr w:type="spellEnd"/>
      <w:r w:rsidRPr="00584604">
        <w:rPr>
          <w:rFonts w:hint="eastAsia"/>
          <w:iCs/>
          <w:lang w:val="en-US"/>
        </w:rPr>
        <w:t xml:space="preserve"> to indicate to Core Network </w:t>
      </w:r>
      <w:r w:rsidR="00BE27E6" w:rsidRPr="00584604">
        <w:rPr>
          <w:rFonts w:hint="eastAsia"/>
          <w:iCs/>
          <w:lang w:val="en-US"/>
        </w:rPr>
        <w:t>whether the UE is a 2R</w:t>
      </w:r>
      <w:r w:rsidR="00D17D5D">
        <w:rPr>
          <w:iCs/>
          <w:lang w:val="en-US"/>
        </w:rPr>
        <w:t>x</w:t>
      </w:r>
      <w:r w:rsidR="00BE27E6" w:rsidRPr="00584604">
        <w:rPr>
          <w:rFonts w:hint="eastAsia"/>
          <w:iCs/>
          <w:lang w:val="en-US"/>
        </w:rPr>
        <w:t xml:space="preserve"> XR </w:t>
      </w:r>
      <w:r w:rsidR="00D55E00" w:rsidRPr="00584604">
        <w:rPr>
          <w:rFonts w:hint="eastAsia"/>
          <w:iCs/>
          <w:lang w:val="en-US"/>
        </w:rPr>
        <w:t>devi</w:t>
      </w:r>
      <w:r w:rsidR="00D55E00" w:rsidRPr="00584604">
        <w:rPr>
          <w:iCs/>
          <w:lang w:val="en-US"/>
        </w:rPr>
        <w:t>c</w:t>
      </w:r>
      <w:r w:rsidR="00D55E00" w:rsidRPr="00584604">
        <w:rPr>
          <w:rFonts w:hint="eastAsia"/>
          <w:iCs/>
          <w:lang w:val="en-US"/>
        </w:rPr>
        <w:t xml:space="preserve">e </w:t>
      </w:r>
      <w:r w:rsidR="00BE27E6" w:rsidRPr="00584604">
        <w:rPr>
          <w:rFonts w:hint="eastAsia"/>
          <w:iCs/>
          <w:lang w:val="en-US"/>
        </w:rPr>
        <w:t>or not and introduce a new</w:t>
      </w:r>
      <w:r w:rsidR="00BE27E6" w:rsidRPr="00584604">
        <w:rPr>
          <w:iCs/>
          <w:lang w:val="en-US"/>
        </w:rPr>
        <w:t xml:space="preserve"> Reference SPID value for 2Rx XR UE</w:t>
      </w:r>
      <w:r w:rsidR="00BE27E6" w:rsidRPr="00584604">
        <w:rPr>
          <w:rFonts w:hint="eastAsia"/>
          <w:iCs/>
          <w:lang w:val="en-US"/>
        </w:rPr>
        <w:t xml:space="preserve"> as well.</w:t>
      </w:r>
      <w:r w:rsidR="00D55E00" w:rsidRPr="00584604">
        <w:rPr>
          <w:iCs/>
          <w:lang w:val="en-US"/>
        </w:rPr>
        <w:t xml:space="preserve"> </w:t>
      </w:r>
      <w:r w:rsidR="00BE27E6" w:rsidRPr="00584604">
        <w:rPr>
          <w:rFonts w:hint="eastAsia"/>
          <w:iCs/>
          <w:lang w:val="en-US"/>
        </w:rPr>
        <w:t>Based on the discussion in RAN3</w:t>
      </w:r>
      <w:proofErr w:type="gramStart"/>
      <w:r w:rsidR="00BE27E6" w:rsidRPr="00584604">
        <w:rPr>
          <w:rFonts w:hint="eastAsia"/>
          <w:iCs/>
          <w:lang w:val="en-US"/>
        </w:rPr>
        <w:t>,a</w:t>
      </w:r>
      <w:proofErr w:type="gramEnd"/>
      <w:r w:rsidR="00BE27E6" w:rsidRPr="00584604">
        <w:rPr>
          <w:rFonts w:hint="eastAsia"/>
          <w:iCs/>
          <w:lang w:val="en-US"/>
        </w:rPr>
        <w:t xml:space="preserve"> draft CR on 38.300 was endorsed and a CR on 38.413 was agreed in [</w:t>
      </w:r>
      <w:r w:rsidR="00426EB5" w:rsidRPr="00584604">
        <w:rPr>
          <w:rFonts w:hint="eastAsia"/>
          <w:iCs/>
          <w:lang w:val="en-US"/>
        </w:rPr>
        <w:t>5</w:t>
      </w:r>
      <w:r w:rsidR="00BE27E6" w:rsidRPr="00584604">
        <w:rPr>
          <w:rFonts w:hint="eastAsia"/>
          <w:iCs/>
          <w:lang w:val="en-US"/>
        </w:rPr>
        <w:t>][</w:t>
      </w:r>
      <w:r w:rsidR="00426EB5" w:rsidRPr="00584604">
        <w:rPr>
          <w:rFonts w:hint="eastAsia"/>
          <w:iCs/>
          <w:lang w:val="en-US"/>
        </w:rPr>
        <w:t>6</w:t>
      </w:r>
      <w:r w:rsidR="00BE27E6" w:rsidRPr="00584604">
        <w:rPr>
          <w:rFonts w:hint="eastAsia"/>
          <w:iCs/>
          <w:lang w:val="en-US"/>
        </w:rPr>
        <w:t>]</w:t>
      </w:r>
      <w:r w:rsidR="00350768">
        <w:rPr>
          <w:iCs/>
          <w:lang w:val="en-US"/>
        </w:rPr>
        <w:t>.</w:t>
      </w:r>
      <w:r w:rsidR="00BE27E6" w:rsidRPr="00584604">
        <w:rPr>
          <w:rFonts w:hint="eastAsia"/>
          <w:iCs/>
          <w:lang w:val="en-US"/>
        </w:rPr>
        <w:t xml:space="preserve">  </w:t>
      </w:r>
    </w:p>
    <w:p w14:paraId="4F8D0C03" w14:textId="759B43B3" w:rsidR="00053A40" w:rsidRPr="00584604" w:rsidRDefault="007143CE" w:rsidP="007178E0">
      <w:pPr>
        <w:spacing w:after="0"/>
        <w:rPr>
          <w:iCs/>
          <w:lang w:val="en-US"/>
        </w:rPr>
      </w:pPr>
      <w:r w:rsidRPr="00584604">
        <w:rPr>
          <w:iCs/>
          <w:lang w:val="en-US"/>
        </w:rPr>
        <w:t xml:space="preserve">For the RAN4 task, RAN4 was </w:t>
      </w:r>
      <w:r w:rsidR="00290C47" w:rsidRPr="00584604">
        <w:rPr>
          <w:iCs/>
          <w:lang w:val="en-US"/>
        </w:rPr>
        <w:t xml:space="preserve">requested </w:t>
      </w:r>
      <w:r w:rsidRPr="00584604">
        <w:rPr>
          <w:iCs/>
          <w:lang w:val="en-US"/>
        </w:rPr>
        <w:t>to capture the definition of 2Rx non-</w:t>
      </w:r>
      <w:proofErr w:type="spellStart"/>
      <w:r w:rsidRPr="00584604">
        <w:rPr>
          <w:iCs/>
          <w:lang w:val="en-US"/>
        </w:rPr>
        <w:t>RedCap</w:t>
      </w:r>
      <w:proofErr w:type="spellEnd"/>
      <w:r w:rsidRPr="00584604">
        <w:rPr>
          <w:iCs/>
          <w:lang w:val="en-US"/>
        </w:rPr>
        <w:t xml:space="preserve"> REFSENS, and also check the feasibility of tightening 2Rx REFSENS. </w:t>
      </w:r>
      <w:r w:rsidR="005C5B8E" w:rsidRPr="00584604">
        <w:rPr>
          <w:iCs/>
          <w:lang w:val="en-US"/>
        </w:rPr>
        <w:t>Following the discussion in the meeting RAN4#110 on this issue, several outcomes emerged with an approved WF and LS in addition to an endorsed CR</w:t>
      </w:r>
      <w:r w:rsidR="00D04DA5" w:rsidRPr="00584604">
        <w:rPr>
          <w:iCs/>
          <w:lang w:val="en-US"/>
        </w:rPr>
        <w:t xml:space="preserve"> [2][3][4]</w:t>
      </w:r>
      <w:r w:rsidR="005C5B8E" w:rsidRPr="00584604">
        <w:rPr>
          <w:iCs/>
          <w:lang w:val="en-US"/>
        </w:rPr>
        <w:t>.</w:t>
      </w:r>
      <w:r w:rsidR="00D04DA5" w:rsidRPr="00584604">
        <w:rPr>
          <w:iCs/>
          <w:lang w:val="en-US"/>
        </w:rPr>
        <w:t xml:space="preserve"> </w:t>
      </w:r>
    </w:p>
    <w:p w14:paraId="6D0A04F6" w14:textId="77777777" w:rsidR="00CE395E" w:rsidRPr="00584604" w:rsidRDefault="00CE395E" w:rsidP="007178E0">
      <w:pPr>
        <w:spacing w:after="0"/>
        <w:rPr>
          <w:iCs/>
          <w:lang w:val="en-US"/>
        </w:rPr>
      </w:pPr>
    </w:p>
    <w:p w14:paraId="4C946206" w14:textId="3A6C2559" w:rsidR="001E10F6" w:rsidRPr="00584604" w:rsidRDefault="00CE395E" w:rsidP="001E10F6">
      <w:pPr>
        <w:spacing w:after="0"/>
        <w:rPr>
          <w:iCs/>
          <w:lang w:val="en-US"/>
        </w:rPr>
      </w:pPr>
      <w:r w:rsidRPr="00584604">
        <w:rPr>
          <w:iCs/>
          <w:lang w:val="en-US"/>
        </w:rPr>
        <w:t xml:space="preserve">Based on the progress in WGs, </w:t>
      </w:r>
      <w:r w:rsidR="00D33E45" w:rsidRPr="00584604">
        <w:rPr>
          <w:iCs/>
          <w:lang w:val="en-US"/>
        </w:rPr>
        <w:t>RAN plenary intervene is required in this meeting</w:t>
      </w:r>
      <w:r w:rsidRPr="00584604">
        <w:rPr>
          <w:iCs/>
          <w:lang w:val="en-US"/>
        </w:rPr>
        <w:t xml:space="preserve"> in order to finalize this feature</w:t>
      </w:r>
      <w:r w:rsidR="00D33E45" w:rsidRPr="00584604">
        <w:rPr>
          <w:iCs/>
          <w:lang w:val="en-US"/>
        </w:rPr>
        <w:t xml:space="preserve">. </w:t>
      </w:r>
    </w:p>
    <w:p w14:paraId="2CF1277D" w14:textId="77777777" w:rsidR="00B4377F" w:rsidRPr="00916091" w:rsidRDefault="00B4377F" w:rsidP="001E10F6">
      <w:pPr>
        <w:spacing w:after="0"/>
      </w:pPr>
    </w:p>
    <w:p w14:paraId="738160D6" w14:textId="376D3761" w:rsidR="00A31492" w:rsidRDefault="00A31492" w:rsidP="00A31492">
      <w:pPr>
        <w:pStyle w:val="Heading3"/>
      </w:pPr>
      <w:r>
        <w:t>2</w:t>
      </w:r>
      <w:r w:rsidRPr="00A079D3">
        <w:tab/>
      </w:r>
      <w:r w:rsidR="00AF5AF0">
        <w:t>Discussion</w:t>
      </w:r>
    </w:p>
    <w:p w14:paraId="66C1E55F" w14:textId="49DD111E" w:rsidR="00F26F91" w:rsidRPr="00584604" w:rsidRDefault="00A31C8E" w:rsidP="00457212">
      <w:pPr>
        <w:spacing w:after="120"/>
        <w:rPr>
          <w:iCs/>
          <w:lang w:val="en-US"/>
        </w:rPr>
      </w:pPr>
      <w:r>
        <w:rPr>
          <w:iCs/>
          <w:lang w:val="en-US"/>
        </w:rPr>
        <w:t>C</w:t>
      </w:r>
      <w:r w:rsidR="00F26F91" w:rsidRPr="00584604">
        <w:rPr>
          <w:iCs/>
          <w:lang w:val="en-US"/>
        </w:rPr>
        <w:t xml:space="preserve">ompanies in RAN2 have largely synchronized on most aspects related to supporting 2Rx XR devices, as directed by the RAN plenary. This includes aspects such as cell barring, redirection functionalities, and UE capability. However, a significant point of contention within RAN2 pertains to whether to allow access for 2Rx XR devices into Legacy Networks. This disagreement has led to the submission of two sets of RAN2 Change Requests (CRs) to this RAN plenary for the final decision and approval, namely </w:t>
      </w:r>
      <w:r w:rsidR="00B31CC2">
        <w:rPr>
          <w:iCs/>
          <w:lang w:val="en-US"/>
        </w:rPr>
        <w:t>[7]</w:t>
      </w:r>
      <w:r w:rsidR="00F26F91" w:rsidRPr="00584604">
        <w:rPr>
          <w:iCs/>
          <w:lang w:val="en-US"/>
        </w:rPr>
        <w:t xml:space="preserve"> and </w:t>
      </w:r>
      <w:r w:rsidR="00B31CC2">
        <w:rPr>
          <w:iCs/>
          <w:lang w:val="en-US"/>
        </w:rPr>
        <w:t>[8].</w:t>
      </w:r>
      <w:r w:rsidR="00F26F91" w:rsidRPr="00584604">
        <w:rPr>
          <w:iCs/>
          <w:lang w:val="en-US"/>
        </w:rPr>
        <w:t xml:space="preserve"> </w:t>
      </w:r>
    </w:p>
    <w:p w14:paraId="3F25D04A" w14:textId="33967255" w:rsidR="00250F8C" w:rsidRPr="00584604" w:rsidRDefault="00F26F91" w:rsidP="00457212">
      <w:pPr>
        <w:spacing w:after="120"/>
        <w:rPr>
          <w:iCs/>
          <w:lang w:val="en-US"/>
        </w:rPr>
      </w:pPr>
      <w:r w:rsidRPr="00584604">
        <w:rPr>
          <w:iCs/>
          <w:lang w:val="en-US"/>
        </w:rPr>
        <w:t xml:space="preserve">In our view, permitting access for 2Rx XR devices could necessitate legacy </w:t>
      </w:r>
      <w:proofErr w:type="spellStart"/>
      <w:r w:rsidRPr="00584604">
        <w:rPr>
          <w:iCs/>
          <w:lang w:val="en-US"/>
        </w:rPr>
        <w:t>gNBs</w:t>
      </w:r>
      <w:proofErr w:type="spellEnd"/>
      <w:r w:rsidRPr="00584604">
        <w:rPr>
          <w:iCs/>
          <w:lang w:val="en-US"/>
        </w:rPr>
        <w:t xml:space="preserve"> to consume more resources to serve these devices on bands initially designed for 4Rx capability. This could lead to a decline in overall system performance. Hence, it is suggested that Legacy Networks do not support the access of 2R</w:t>
      </w:r>
      <w:r w:rsidR="00B65E7D" w:rsidRPr="00584604">
        <w:rPr>
          <w:iCs/>
          <w:lang w:val="en-US"/>
        </w:rPr>
        <w:t>x</w:t>
      </w:r>
      <w:r w:rsidRPr="00584604">
        <w:rPr>
          <w:iCs/>
          <w:lang w:val="en-US"/>
        </w:rPr>
        <w:t xml:space="preserve"> XR devices </w:t>
      </w:r>
      <w:r w:rsidR="00B65E7D" w:rsidRPr="00584604">
        <w:rPr>
          <w:iCs/>
          <w:lang w:val="en-US"/>
        </w:rPr>
        <w:t xml:space="preserve">in order </w:t>
      </w:r>
      <w:r w:rsidRPr="00584604">
        <w:rPr>
          <w:iCs/>
          <w:lang w:val="en-US"/>
        </w:rPr>
        <w:t>to maintain optimal system-level performance from the network perspective.</w:t>
      </w:r>
    </w:p>
    <w:p w14:paraId="31DCA78B" w14:textId="58456B11" w:rsidR="00D25321" w:rsidRPr="00B65E7D" w:rsidRDefault="003B7114" w:rsidP="00B65E7D">
      <w:pPr>
        <w:spacing w:after="120"/>
        <w:rPr>
          <w:rFonts w:eastAsiaTheme="minorEastAsia"/>
          <w:b/>
          <w:lang w:eastAsia="zh-CN"/>
        </w:rPr>
      </w:pPr>
      <w:r w:rsidRPr="005503F2">
        <w:rPr>
          <w:rFonts w:eastAsiaTheme="minorEastAsia" w:hint="eastAsia"/>
          <w:b/>
          <w:lang w:eastAsia="zh-CN"/>
        </w:rPr>
        <w:t>P</w:t>
      </w:r>
      <w:r w:rsidRPr="005503F2">
        <w:rPr>
          <w:rFonts w:eastAsiaTheme="minorEastAsia"/>
          <w:b/>
          <w:lang w:eastAsia="zh-CN"/>
        </w:rPr>
        <w:t>r</w:t>
      </w:r>
      <w:r w:rsidRPr="005503F2">
        <w:rPr>
          <w:rFonts w:eastAsiaTheme="minorEastAsia" w:hint="eastAsia"/>
          <w:b/>
          <w:lang w:eastAsia="zh-CN"/>
        </w:rPr>
        <w:t xml:space="preserve">oposal </w:t>
      </w:r>
      <w:r w:rsidR="00531B6C">
        <w:rPr>
          <w:rFonts w:eastAsiaTheme="minorEastAsia"/>
          <w:b/>
          <w:lang w:eastAsia="zh-CN"/>
        </w:rPr>
        <w:t>1</w:t>
      </w:r>
      <w:r w:rsidRPr="005503F2">
        <w:rPr>
          <w:rFonts w:eastAsiaTheme="minorEastAsia" w:hint="eastAsia"/>
          <w:b/>
          <w:lang w:eastAsia="zh-CN"/>
        </w:rPr>
        <w:t>: RAN plenary confirms that</w:t>
      </w:r>
      <w:r w:rsidR="005503F2" w:rsidRPr="005503F2">
        <w:rPr>
          <w:rFonts w:eastAsiaTheme="minorEastAsia" w:hint="eastAsia"/>
          <w:b/>
          <w:lang w:eastAsia="zh-CN"/>
        </w:rPr>
        <w:t xml:space="preserve"> </w:t>
      </w:r>
      <w:r w:rsidR="005D3A3C">
        <w:rPr>
          <w:rFonts w:eastAsiaTheme="minorEastAsia" w:hint="eastAsia"/>
          <w:b/>
          <w:lang w:eastAsia="zh-CN"/>
        </w:rPr>
        <w:t xml:space="preserve">the </w:t>
      </w:r>
      <w:r w:rsidR="005503F2" w:rsidRPr="005503F2">
        <w:rPr>
          <w:rFonts w:eastAsiaTheme="minorEastAsia" w:hint="eastAsia"/>
          <w:b/>
          <w:lang w:eastAsia="zh-CN"/>
        </w:rPr>
        <w:t>access of</w:t>
      </w:r>
      <w:r w:rsidR="005D3A3C">
        <w:rPr>
          <w:rFonts w:eastAsiaTheme="minorEastAsia" w:hint="eastAsia"/>
          <w:b/>
          <w:lang w:eastAsia="zh-CN"/>
        </w:rPr>
        <w:t xml:space="preserve"> </w:t>
      </w:r>
      <w:r w:rsidRPr="005503F2">
        <w:rPr>
          <w:rFonts w:eastAsiaTheme="minorEastAsia" w:hint="eastAsia"/>
          <w:b/>
          <w:lang w:eastAsia="zh-CN"/>
        </w:rPr>
        <w:t>2</w:t>
      </w:r>
      <w:r w:rsidR="004347A7">
        <w:rPr>
          <w:rFonts w:eastAsiaTheme="minorEastAsia" w:hint="eastAsia"/>
          <w:b/>
          <w:lang w:eastAsia="zh-CN"/>
        </w:rPr>
        <w:t>R</w:t>
      </w:r>
      <w:r w:rsidR="001A174C">
        <w:rPr>
          <w:rFonts w:eastAsiaTheme="minorEastAsia"/>
          <w:b/>
          <w:lang w:eastAsia="zh-CN"/>
        </w:rPr>
        <w:t>x</w:t>
      </w:r>
      <w:r w:rsidRPr="005503F2">
        <w:rPr>
          <w:rFonts w:eastAsiaTheme="minorEastAsia" w:hint="eastAsia"/>
          <w:b/>
          <w:lang w:eastAsia="zh-CN"/>
        </w:rPr>
        <w:t xml:space="preserve"> XR devices </w:t>
      </w:r>
      <w:r w:rsidR="005503F2" w:rsidRPr="005503F2">
        <w:rPr>
          <w:rFonts w:eastAsiaTheme="minorEastAsia" w:hint="eastAsia"/>
          <w:b/>
          <w:lang w:eastAsia="zh-CN"/>
        </w:rPr>
        <w:t xml:space="preserve">is </w:t>
      </w:r>
      <w:r w:rsidR="005D3A3C">
        <w:rPr>
          <w:rFonts w:eastAsiaTheme="minorEastAsia" w:hint="eastAsia"/>
          <w:b/>
          <w:lang w:eastAsia="zh-CN"/>
        </w:rPr>
        <w:t xml:space="preserve">not </w:t>
      </w:r>
      <w:r w:rsidR="005503F2" w:rsidRPr="005503F2">
        <w:rPr>
          <w:rFonts w:eastAsiaTheme="minorEastAsia" w:hint="eastAsia"/>
          <w:b/>
          <w:lang w:eastAsia="zh-CN"/>
        </w:rPr>
        <w:t xml:space="preserve">supported </w:t>
      </w:r>
      <w:r w:rsidR="005D3A3C">
        <w:rPr>
          <w:rFonts w:eastAsiaTheme="minorEastAsia" w:hint="eastAsia"/>
          <w:b/>
          <w:lang w:eastAsia="zh-CN"/>
        </w:rPr>
        <w:t>in</w:t>
      </w:r>
      <w:r w:rsidR="005503F2" w:rsidRPr="005503F2">
        <w:rPr>
          <w:rFonts w:eastAsiaTheme="minorEastAsia" w:hint="eastAsia"/>
          <w:b/>
          <w:lang w:eastAsia="zh-CN"/>
        </w:rPr>
        <w:t xml:space="preserve"> Legacy Network</w:t>
      </w:r>
      <w:r w:rsidR="005D3A3C">
        <w:rPr>
          <w:rFonts w:eastAsiaTheme="minorEastAsia" w:hint="eastAsia"/>
          <w:b/>
          <w:lang w:eastAsia="zh-CN"/>
        </w:rPr>
        <w:t>s</w:t>
      </w:r>
      <w:r w:rsidR="00354E19">
        <w:rPr>
          <w:rFonts w:eastAsiaTheme="minorEastAsia"/>
          <w:b/>
          <w:lang w:eastAsia="zh-CN"/>
        </w:rPr>
        <w:t>, and approves the corresponding RAN2 CR</w:t>
      </w:r>
      <w:r w:rsidR="00D16040">
        <w:rPr>
          <w:rFonts w:eastAsiaTheme="minorEastAsia"/>
          <w:b/>
          <w:lang w:eastAsia="zh-CN"/>
        </w:rPr>
        <w:t xml:space="preserve"> set</w:t>
      </w:r>
      <w:r w:rsidR="00D121BF">
        <w:rPr>
          <w:rFonts w:eastAsiaTheme="minorEastAsia"/>
          <w:b/>
          <w:lang w:eastAsia="zh-CN"/>
        </w:rPr>
        <w:t>.</w:t>
      </w:r>
    </w:p>
    <w:p w14:paraId="54B8B78C" w14:textId="78248B5D" w:rsidR="000A1DFC" w:rsidRPr="00584604" w:rsidRDefault="000A1DFC" w:rsidP="00457212">
      <w:pPr>
        <w:spacing w:after="120"/>
        <w:rPr>
          <w:iCs/>
          <w:lang w:val="en-US"/>
        </w:rPr>
      </w:pPr>
      <w:r w:rsidRPr="00584604">
        <w:rPr>
          <w:iCs/>
          <w:lang w:val="en-US"/>
        </w:rPr>
        <w:t xml:space="preserve">Progress within RAN3 is satisfactory, having fulfilled the task assigned by the RAN plenary. The sole outstanding matter pertains to </w:t>
      </w:r>
      <w:proofErr w:type="spellStart"/>
      <w:r w:rsidRPr="00584604">
        <w:rPr>
          <w:iCs/>
          <w:lang w:val="en-US"/>
        </w:rPr>
        <w:t>XnAP</w:t>
      </w:r>
      <w:proofErr w:type="spellEnd"/>
      <w:r w:rsidRPr="00584604">
        <w:rPr>
          <w:iCs/>
          <w:lang w:val="en-US"/>
        </w:rPr>
        <w:t>/F1AP enhancements for Served Cell Info and F1 Paging to incorporate 2 Rx indication, a matter entirely within RAN3's jurisdiction. This will be addressed in the upcoming RAN3 meeting, and thus, no additional action is anticipated from RAN3 during this RAN plenary meeting</w:t>
      </w:r>
      <w:r w:rsidR="004D1D6A" w:rsidRPr="00584604">
        <w:rPr>
          <w:rFonts w:hint="eastAsia"/>
          <w:iCs/>
          <w:lang w:val="en-US"/>
        </w:rPr>
        <w:t>.</w:t>
      </w:r>
    </w:p>
    <w:p w14:paraId="6F4735FC" w14:textId="2A247C13" w:rsidR="007178E0" w:rsidRDefault="00F1520D" w:rsidP="00457212">
      <w:pPr>
        <w:spacing w:after="120"/>
      </w:pPr>
      <w:r>
        <w:t>RAN4#110 successfully reached a consensus on the definition of such type of devices, h</w:t>
      </w:r>
      <w:r w:rsidR="007178E0">
        <w:t xml:space="preserve">owever, the key point is </w:t>
      </w:r>
      <w:r>
        <w:t xml:space="preserve">still left open, i.e., </w:t>
      </w:r>
      <w:r w:rsidR="007178E0">
        <w:t xml:space="preserve">for the feasible tightened value for 2Rx REFSENS, there are still two open options which </w:t>
      </w:r>
      <w:r w:rsidR="007178E0" w:rsidRPr="005F6AFA">
        <w:t xml:space="preserve">stand in stark contrast: one </w:t>
      </w:r>
      <w:proofErr w:type="spellStart"/>
      <w:r w:rsidR="007178E0" w:rsidRPr="005F6AFA">
        <w:t>favors</w:t>
      </w:r>
      <w:proofErr w:type="spellEnd"/>
      <w:r w:rsidR="007178E0" w:rsidRPr="005F6AFA">
        <w:t xml:space="preserve"> maintaining the status quo with minor adjustments</w:t>
      </w:r>
      <w:r w:rsidR="007178E0">
        <w:t xml:space="preserve"> (0.5dB), while the other</w:t>
      </w:r>
      <w:r w:rsidR="007178E0" w:rsidRPr="005F6AFA">
        <w:t xml:space="preserve"> suggests a radical overhaul of current </w:t>
      </w:r>
      <w:r w:rsidR="007178E0">
        <w:t>requirements (to meet 4Rx conducted REFSENS) [2]:</w:t>
      </w:r>
    </w:p>
    <w:tbl>
      <w:tblPr>
        <w:tblStyle w:val="TableGrid"/>
        <w:tblW w:w="0" w:type="auto"/>
        <w:tblLook w:val="04A0" w:firstRow="1" w:lastRow="0" w:firstColumn="1" w:lastColumn="0" w:noHBand="0" w:noVBand="1"/>
      </w:tblPr>
      <w:tblGrid>
        <w:gridCol w:w="9628"/>
      </w:tblGrid>
      <w:tr w:rsidR="007178E0" w14:paraId="3F83A66A" w14:textId="77777777" w:rsidTr="003B7114">
        <w:tc>
          <w:tcPr>
            <w:tcW w:w="9628" w:type="dxa"/>
          </w:tcPr>
          <w:p w14:paraId="19EEF2B2" w14:textId="77777777" w:rsidR="007178E0" w:rsidRPr="00B526D5" w:rsidRDefault="007178E0" w:rsidP="003B7114">
            <w:pPr>
              <w:pStyle w:val="ListParagraph"/>
              <w:numPr>
                <w:ilvl w:val="0"/>
                <w:numId w:val="21"/>
              </w:numPr>
              <w:overflowPunct w:val="0"/>
              <w:autoSpaceDE w:val="0"/>
              <w:autoSpaceDN w:val="0"/>
              <w:adjustRightInd w:val="0"/>
              <w:spacing w:after="120" w:line="240" w:lineRule="auto"/>
              <w:contextualSpacing w:val="0"/>
              <w:textAlignment w:val="baseline"/>
              <w:rPr>
                <w:color w:val="000000" w:themeColor="text1"/>
              </w:rPr>
            </w:pPr>
            <w:r w:rsidRPr="00B526D5">
              <w:rPr>
                <w:color w:val="000000" w:themeColor="text1"/>
              </w:rPr>
              <w:t>On conducted receiver sensitivity, consider two options</w:t>
            </w:r>
          </w:p>
          <w:p w14:paraId="7EE14ABC" w14:textId="77777777" w:rsidR="007178E0" w:rsidRPr="00B526D5" w:rsidRDefault="007178E0" w:rsidP="003B7114">
            <w:pPr>
              <w:pStyle w:val="ListParagraph"/>
              <w:numPr>
                <w:ilvl w:val="1"/>
                <w:numId w:val="21"/>
              </w:numPr>
              <w:overflowPunct w:val="0"/>
              <w:autoSpaceDE w:val="0"/>
              <w:autoSpaceDN w:val="0"/>
              <w:adjustRightInd w:val="0"/>
              <w:spacing w:after="120" w:line="240" w:lineRule="auto"/>
              <w:contextualSpacing w:val="0"/>
              <w:textAlignment w:val="baseline"/>
              <w:rPr>
                <w:color w:val="000000" w:themeColor="text1"/>
              </w:rPr>
            </w:pPr>
            <w:r w:rsidRPr="00B526D5">
              <w:rPr>
                <w:color w:val="000000" w:themeColor="text1"/>
              </w:rPr>
              <w:t>0.5dB tightening compared to the existing 2Rx UE conducted REFSENS, which is considered feasible by some UE vendors</w:t>
            </w:r>
          </w:p>
          <w:p w14:paraId="23FD17B8" w14:textId="77777777" w:rsidR="007178E0" w:rsidRPr="005F6AFA" w:rsidRDefault="007178E0" w:rsidP="003B7114">
            <w:pPr>
              <w:pStyle w:val="ListParagraph"/>
              <w:numPr>
                <w:ilvl w:val="1"/>
                <w:numId w:val="21"/>
              </w:numPr>
              <w:overflowPunct w:val="0"/>
              <w:autoSpaceDE w:val="0"/>
              <w:autoSpaceDN w:val="0"/>
              <w:adjustRightInd w:val="0"/>
              <w:spacing w:after="120" w:line="240" w:lineRule="auto"/>
              <w:contextualSpacing w:val="0"/>
              <w:textAlignment w:val="baseline"/>
              <w:rPr>
                <w:color w:val="000000" w:themeColor="text1"/>
              </w:rPr>
            </w:pPr>
            <w:r w:rsidRPr="00B526D5">
              <w:rPr>
                <w:color w:val="000000" w:themeColor="text1"/>
              </w:rPr>
              <w:t>2Rx XR UE meets the 4Rx handheld UE conducted REFSENS</w:t>
            </w:r>
          </w:p>
        </w:tc>
      </w:tr>
    </w:tbl>
    <w:p w14:paraId="38940FAB" w14:textId="5C6B0552" w:rsidR="007178E0" w:rsidRDefault="004F0DB9" w:rsidP="00457212">
      <w:pPr>
        <w:spacing w:after="120"/>
      </w:pPr>
      <w:r>
        <w:t>Thus,</w:t>
      </w:r>
      <w:r w:rsidR="007178E0">
        <w:t xml:space="preserve"> the endorsed CR only leave it as “</w:t>
      </w:r>
      <w:r w:rsidR="007178E0" w:rsidRPr="00D33E45">
        <w:rPr>
          <w:b/>
          <w:bCs/>
        </w:rPr>
        <w:t>TBD</w:t>
      </w:r>
      <w:r w:rsidR="007178E0">
        <w:t>” [4]:</w:t>
      </w:r>
    </w:p>
    <w:tbl>
      <w:tblPr>
        <w:tblStyle w:val="TableGrid"/>
        <w:tblW w:w="0" w:type="auto"/>
        <w:tblLook w:val="04A0" w:firstRow="1" w:lastRow="0" w:firstColumn="1" w:lastColumn="0" w:noHBand="0" w:noVBand="1"/>
      </w:tblPr>
      <w:tblGrid>
        <w:gridCol w:w="9628"/>
      </w:tblGrid>
      <w:tr w:rsidR="007178E0" w14:paraId="3A497385" w14:textId="77777777" w:rsidTr="003B7114">
        <w:tc>
          <w:tcPr>
            <w:tcW w:w="9628" w:type="dxa"/>
          </w:tcPr>
          <w:p w14:paraId="2329E0D3" w14:textId="77777777" w:rsidR="007178E0" w:rsidRPr="00A1115A" w:rsidRDefault="007178E0" w:rsidP="003B7114">
            <w:r w:rsidRPr="00A1115A">
              <w:t xml:space="preserve">For </w:t>
            </w:r>
            <w:r>
              <w:t xml:space="preserve">two Rx antenna port XR </w:t>
            </w:r>
            <w:r w:rsidRPr="00A1115A">
              <w:t xml:space="preserve">UE(s) </w:t>
            </w:r>
            <w:r>
              <w:t>indicating UE capability [2Rx XR]</w:t>
            </w:r>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in Table 7.3.2-</w:t>
            </w:r>
            <w:r>
              <w:t>3</w:t>
            </w:r>
            <w:r w:rsidRPr="00A1115A">
              <w:t xml:space="preserve"> for the applicable operating bands.</w:t>
            </w:r>
          </w:p>
          <w:p w14:paraId="18A2BFFE" w14:textId="77777777" w:rsidR="007178E0" w:rsidRPr="00A1115A" w:rsidRDefault="007178E0" w:rsidP="003B7114">
            <w:pPr>
              <w:pStyle w:val="TH"/>
              <w:rPr>
                <w:bCs/>
                <w:vertAlign w:val="subscript"/>
              </w:rPr>
            </w:pPr>
            <w:r w:rsidRPr="00A1115A">
              <w:t>Table 7.3.2-</w:t>
            </w:r>
            <w:r>
              <w:t>3</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45"/>
              <w:gridCol w:w="2970"/>
            </w:tblGrid>
            <w:tr w:rsidR="007178E0" w:rsidRPr="00A1115A" w14:paraId="2BDD73C2" w14:textId="77777777" w:rsidTr="003B7114">
              <w:trPr>
                <w:jc w:val="center"/>
              </w:trPr>
              <w:tc>
                <w:tcPr>
                  <w:tcW w:w="3745" w:type="dxa"/>
                </w:tcPr>
                <w:p w14:paraId="36AC35BC" w14:textId="77777777" w:rsidR="007178E0" w:rsidRPr="00A1115A" w:rsidRDefault="007178E0" w:rsidP="003B7114">
                  <w:pPr>
                    <w:pStyle w:val="TAH"/>
                  </w:pPr>
                  <w:r w:rsidRPr="00A1115A">
                    <w:t>Operating band</w:t>
                  </w:r>
                </w:p>
              </w:tc>
              <w:tc>
                <w:tcPr>
                  <w:tcW w:w="2970" w:type="dxa"/>
                </w:tcPr>
                <w:p w14:paraId="07964B8F" w14:textId="77777777" w:rsidR="007178E0" w:rsidRPr="00A1115A" w:rsidRDefault="007178E0" w:rsidP="003B7114">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7178E0" w:rsidRPr="00A1115A" w14:paraId="0D951A0C" w14:textId="77777777" w:rsidTr="003B7114">
              <w:trPr>
                <w:jc w:val="center"/>
              </w:trPr>
              <w:tc>
                <w:tcPr>
                  <w:tcW w:w="3745" w:type="dxa"/>
                  <w:vAlign w:val="center"/>
                </w:tcPr>
                <w:p w14:paraId="69AEA5E7" w14:textId="77777777" w:rsidR="007178E0" w:rsidRPr="00A1115A" w:rsidRDefault="007178E0" w:rsidP="003B7114">
                  <w:pPr>
                    <w:pStyle w:val="TAC"/>
                  </w:pPr>
                  <w:r w:rsidRPr="00A1115A">
                    <w:t>n7, n38,</w:t>
                  </w:r>
                  <w:bookmarkStart w:id="2" w:name="_Hlk75461937"/>
                  <w:r w:rsidRPr="00A1115A">
                    <w:t xml:space="preserve"> n41, </w:t>
                  </w:r>
                  <w:r>
                    <w:t xml:space="preserve">n48, </w:t>
                  </w:r>
                  <w:r w:rsidRPr="00A1115A">
                    <w:t>n77</w:t>
                  </w:r>
                  <w:bookmarkEnd w:id="2"/>
                  <w:r w:rsidRPr="00A1115A">
                    <w:t>, n78, n79</w:t>
                  </w:r>
                  <w:r>
                    <w:t>, n104</w:t>
                  </w:r>
                </w:p>
              </w:tc>
              <w:tc>
                <w:tcPr>
                  <w:tcW w:w="2970" w:type="dxa"/>
                  <w:vAlign w:val="center"/>
                </w:tcPr>
                <w:p w14:paraId="6C1F733F" w14:textId="77777777" w:rsidR="007178E0" w:rsidRPr="00A1115A" w:rsidRDefault="007178E0" w:rsidP="003B7114">
                  <w:pPr>
                    <w:pStyle w:val="TAC"/>
                  </w:pPr>
                  <w:r>
                    <w:t>TBD</w:t>
                  </w:r>
                </w:p>
              </w:tc>
            </w:tr>
          </w:tbl>
          <w:p w14:paraId="2C14F00A" w14:textId="77777777" w:rsidR="007178E0" w:rsidRDefault="007178E0" w:rsidP="003B7114">
            <w:pPr>
              <w:spacing w:after="0"/>
            </w:pPr>
          </w:p>
        </w:tc>
      </w:tr>
    </w:tbl>
    <w:p w14:paraId="2EE17E86" w14:textId="77777777" w:rsidR="007178E0" w:rsidRDefault="007178E0" w:rsidP="007178E0">
      <w:pPr>
        <w:spacing w:after="0"/>
      </w:pPr>
    </w:p>
    <w:p w14:paraId="4E236BF5" w14:textId="0F5A4BE6" w:rsidR="002C6892" w:rsidRPr="00785481" w:rsidRDefault="000405FB" w:rsidP="00457212">
      <w:pPr>
        <w:spacing w:after="120"/>
        <w:rPr>
          <w:lang w:eastAsia="zh-CN"/>
        </w:rPr>
      </w:pPr>
      <w:r>
        <w:rPr>
          <w:lang w:eastAsia="zh-CN"/>
        </w:rPr>
        <w:t xml:space="preserve">Actually, </w:t>
      </w:r>
      <w:r w:rsidR="00F96658">
        <w:rPr>
          <w:lang w:eastAsia="zh-CN"/>
        </w:rPr>
        <w:t xml:space="preserve">the outcome is not surprising. </w:t>
      </w:r>
      <w:r w:rsidR="00CC6D40" w:rsidRPr="00785481">
        <w:rPr>
          <w:lang w:eastAsia="zh-CN"/>
        </w:rPr>
        <w:t xml:space="preserve">Considering the limited timeframe, such as 2 months, which also includes the worldwide new year’s holiday season, conducting a comprehensive technical investigation into feasibility is impractical. Given the current circumstances within RAN4, one approach to conclude the task is to enable support for 2Rx </w:t>
      </w:r>
      <w:r w:rsidR="00CC6D40" w:rsidRPr="00785481">
        <w:rPr>
          <w:lang w:eastAsia="zh-CN"/>
        </w:rPr>
        <w:lastRenderedPageBreak/>
        <w:t>non-</w:t>
      </w:r>
      <w:proofErr w:type="spellStart"/>
      <w:r w:rsidR="00CC6D40" w:rsidRPr="00785481">
        <w:rPr>
          <w:lang w:eastAsia="zh-CN"/>
        </w:rPr>
        <w:t>RedCap</w:t>
      </w:r>
      <w:proofErr w:type="spellEnd"/>
      <w:r w:rsidR="00CC6D40" w:rsidRPr="00785481">
        <w:rPr>
          <w:lang w:eastAsia="zh-CN"/>
        </w:rPr>
        <w:t xml:space="preserve"> XR devices without imposing any stringent REFSENS requirements. If this fails to meet operators' requirements, an alternative approach could </w:t>
      </w:r>
      <w:r w:rsidR="00732E81" w:rsidRPr="00785481">
        <w:rPr>
          <w:lang w:eastAsia="zh-CN"/>
        </w:rPr>
        <w:t>be that</w:t>
      </w:r>
      <w:r w:rsidR="00CC6D40" w:rsidRPr="00785481">
        <w:rPr>
          <w:lang w:eastAsia="zh-CN"/>
        </w:rPr>
        <w:t xml:space="preserve"> RAN plenary considering an extension of the RAN4 task by one quarter, with the aim of implementing a sufficiently justified tightening of 2Rx REFSENS.</w:t>
      </w:r>
    </w:p>
    <w:p w14:paraId="2A5E4168" w14:textId="286DDD89" w:rsidR="00732E81" w:rsidRPr="00785481" w:rsidRDefault="002C6892" w:rsidP="00163B4C">
      <w:pPr>
        <w:spacing w:after="0"/>
        <w:rPr>
          <w:b/>
          <w:bCs/>
          <w:lang w:eastAsia="zh-CN"/>
        </w:rPr>
      </w:pPr>
      <w:r w:rsidRPr="00785481">
        <w:rPr>
          <w:b/>
          <w:bCs/>
          <w:lang w:eastAsia="zh-CN"/>
        </w:rPr>
        <w:t xml:space="preserve">Proposal </w:t>
      </w:r>
      <w:r w:rsidR="00531B6C" w:rsidRPr="00785481">
        <w:rPr>
          <w:b/>
          <w:bCs/>
          <w:lang w:eastAsia="zh-CN"/>
        </w:rPr>
        <w:t>2</w:t>
      </w:r>
      <w:r w:rsidRPr="00785481">
        <w:rPr>
          <w:b/>
          <w:bCs/>
          <w:lang w:eastAsia="zh-CN"/>
        </w:rPr>
        <w:t xml:space="preserve">: RAN plenary to </w:t>
      </w:r>
      <w:r w:rsidR="00732E81" w:rsidRPr="00785481">
        <w:rPr>
          <w:b/>
          <w:bCs/>
          <w:lang w:eastAsia="zh-CN"/>
        </w:rPr>
        <w:t xml:space="preserve">decide </w:t>
      </w:r>
      <w:r w:rsidR="00224C92" w:rsidRPr="00785481">
        <w:rPr>
          <w:b/>
          <w:bCs/>
          <w:lang w:eastAsia="zh-CN"/>
        </w:rPr>
        <w:t xml:space="preserve">on </w:t>
      </w:r>
      <w:r w:rsidR="00732E81" w:rsidRPr="00785481">
        <w:rPr>
          <w:b/>
          <w:bCs/>
          <w:lang w:eastAsia="zh-CN"/>
        </w:rPr>
        <w:t xml:space="preserve">one alternative </w:t>
      </w:r>
      <w:r w:rsidR="00224C92" w:rsidRPr="00785481">
        <w:rPr>
          <w:b/>
          <w:bCs/>
          <w:lang w:eastAsia="zh-CN"/>
        </w:rPr>
        <w:t>from</w:t>
      </w:r>
      <w:r w:rsidR="00732E81" w:rsidRPr="00785481">
        <w:rPr>
          <w:b/>
          <w:bCs/>
          <w:lang w:eastAsia="zh-CN"/>
        </w:rPr>
        <w:t xml:space="preserve"> the following two options:</w:t>
      </w:r>
    </w:p>
    <w:p w14:paraId="2862F593" w14:textId="0A7FC62B" w:rsidR="00732E81" w:rsidRPr="00785481" w:rsidRDefault="00732E81" w:rsidP="00732E81">
      <w:pPr>
        <w:pStyle w:val="ListParagraph"/>
        <w:numPr>
          <w:ilvl w:val="0"/>
          <w:numId w:val="19"/>
        </w:numPr>
        <w:spacing w:after="0"/>
        <w:rPr>
          <w:rFonts w:ascii="Times New Roman" w:hAnsi="Times New Roman" w:cs="Times New Roman"/>
          <w:b/>
          <w:bCs/>
          <w:sz w:val="20"/>
          <w:szCs w:val="20"/>
          <w:lang w:eastAsia="zh-CN"/>
        </w:rPr>
      </w:pPr>
      <w:r w:rsidRPr="00785481">
        <w:rPr>
          <w:rFonts w:ascii="Times New Roman" w:hAnsi="Times New Roman" w:cs="Times New Roman"/>
          <w:b/>
          <w:bCs/>
          <w:sz w:val="20"/>
          <w:szCs w:val="20"/>
          <w:lang w:eastAsia="zh-CN"/>
        </w:rPr>
        <w:t>Option 1: Conclude the task to enable support of 2Rx non-</w:t>
      </w:r>
      <w:proofErr w:type="spellStart"/>
      <w:r w:rsidRPr="00785481">
        <w:rPr>
          <w:rFonts w:ascii="Times New Roman" w:hAnsi="Times New Roman" w:cs="Times New Roman"/>
          <w:b/>
          <w:bCs/>
          <w:sz w:val="20"/>
          <w:szCs w:val="20"/>
          <w:lang w:eastAsia="zh-CN"/>
        </w:rPr>
        <w:t>RedCap</w:t>
      </w:r>
      <w:proofErr w:type="spellEnd"/>
      <w:r w:rsidRPr="00785481">
        <w:rPr>
          <w:rFonts w:ascii="Times New Roman" w:hAnsi="Times New Roman" w:cs="Times New Roman"/>
          <w:b/>
          <w:bCs/>
          <w:sz w:val="20"/>
          <w:szCs w:val="20"/>
          <w:lang w:eastAsia="zh-CN"/>
        </w:rPr>
        <w:t xml:space="preserve"> XR devices in this meeting without imposing any tightened REFSENS.</w:t>
      </w:r>
    </w:p>
    <w:p w14:paraId="701172E3" w14:textId="16E94A47" w:rsidR="002C6892" w:rsidRPr="00785481" w:rsidRDefault="00732E81" w:rsidP="00732E81">
      <w:pPr>
        <w:pStyle w:val="ListParagraph"/>
        <w:numPr>
          <w:ilvl w:val="0"/>
          <w:numId w:val="19"/>
        </w:numPr>
        <w:spacing w:after="0"/>
        <w:rPr>
          <w:b/>
          <w:bCs/>
          <w:lang w:eastAsia="zh-CN"/>
        </w:rPr>
      </w:pPr>
      <w:r w:rsidRPr="00785481">
        <w:rPr>
          <w:rFonts w:ascii="Times New Roman" w:hAnsi="Times New Roman" w:cs="Times New Roman"/>
          <w:b/>
          <w:bCs/>
          <w:sz w:val="20"/>
          <w:szCs w:val="20"/>
          <w:lang w:eastAsia="zh-CN"/>
        </w:rPr>
        <w:t>Option 2: E</w:t>
      </w:r>
      <w:r w:rsidR="002C6892" w:rsidRPr="00785481">
        <w:rPr>
          <w:rFonts w:ascii="Times New Roman" w:hAnsi="Times New Roman" w:cs="Times New Roman"/>
          <w:b/>
          <w:bCs/>
          <w:sz w:val="20"/>
          <w:szCs w:val="20"/>
          <w:lang w:eastAsia="zh-CN"/>
        </w:rPr>
        <w:t xml:space="preserve">xtend the RAN4 task </w:t>
      </w:r>
      <w:r w:rsidR="00AA2AE2" w:rsidRPr="00785481">
        <w:rPr>
          <w:rFonts w:ascii="Times New Roman" w:hAnsi="Times New Roman" w:cs="Times New Roman"/>
          <w:b/>
          <w:bCs/>
          <w:sz w:val="20"/>
          <w:szCs w:val="20"/>
          <w:lang w:eastAsia="zh-CN"/>
        </w:rPr>
        <w:t xml:space="preserve">by one quarter </w:t>
      </w:r>
      <w:r w:rsidR="002C6892" w:rsidRPr="00785481">
        <w:rPr>
          <w:rFonts w:ascii="Times New Roman" w:hAnsi="Times New Roman" w:cs="Times New Roman"/>
          <w:b/>
          <w:bCs/>
          <w:sz w:val="20"/>
          <w:szCs w:val="20"/>
          <w:lang w:eastAsia="zh-CN"/>
        </w:rPr>
        <w:t>aiming at a sufficiently justified 2Rx REFSENS tightening.</w:t>
      </w:r>
    </w:p>
    <w:p w14:paraId="552B5319" w14:textId="77777777" w:rsidR="00C60EE3" w:rsidRDefault="00C60EE3" w:rsidP="00163B4C">
      <w:pPr>
        <w:spacing w:after="0"/>
      </w:pPr>
    </w:p>
    <w:p w14:paraId="10649097" w14:textId="0250C7B1" w:rsidR="00E97880" w:rsidRDefault="00E97880" w:rsidP="00E97880">
      <w:pPr>
        <w:pStyle w:val="Heading3"/>
      </w:pPr>
      <w:r>
        <w:t>3            Conclusion</w:t>
      </w:r>
    </w:p>
    <w:p w14:paraId="09DE2D07" w14:textId="10518171" w:rsidR="00E97880" w:rsidRDefault="00A00A95" w:rsidP="00163B4C">
      <w:pPr>
        <w:spacing w:after="0"/>
      </w:pPr>
      <w:r w:rsidRPr="00A00A95">
        <w:t xml:space="preserve">This contribution presents </w:t>
      </w:r>
      <w:r w:rsidR="004C1BD2">
        <w:t>our</w:t>
      </w:r>
      <w:r w:rsidRPr="00A00A95">
        <w:t xml:space="preserve"> following proposals regarding</w:t>
      </w:r>
      <w:r w:rsidR="00DA3978">
        <w:t xml:space="preserve"> 2Rx for non-</w:t>
      </w:r>
      <w:proofErr w:type="spellStart"/>
      <w:r w:rsidR="00DA3978">
        <w:t>RedCap</w:t>
      </w:r>
      <w:proofErr w:type="spellEnd"/>
      <w:r w:rsidR="00DA3978">
        <w:t xml:space="preserve"> XR devices:</w:t>
      </w:r>
    </w:p>
    <w:p w14:paraId="2C7648F2" w14:textId="77777777" w:rsidR="0008295F" w:rsidRDefault="0008295F" w:rsidP="00163B4C">
      <w:pPr>
        <w:spacing w:after="0"/>
      </w:pPr>
    </w:p>
    <w:p w14:paraId="46B70A0D" w14:textId="1644ABC6" w:rsidR="00DA3978" w:rsidRDefault="00DA3978" w:rsidP="00163B4C">
      <w:pPr>
        <w:spacing w:after="0"/>
        <w:rPr>
          <w:rFonts w:eastAsiaTheme="minorEastAsia"/>
          <w:b/>
          <w:lang w:eastAsia="zh-CN"/>
        </w:rPr>
      </w:pPr>
      <w:r w:rsidRPr="005503F2">
        <w:rPr>
          <w:rFonts w:eastAsiaTheme="minorEastAsia" w:hint="eastAsia"/>
          <w:b/>
          <w:lang w:eastAsia="zh-CN"/>
        </w:rPr>
        <w:t>P</w:t>
      </w:r>
      <w:r w:rsidRPr="005503F2">
        <w:rPr>
          <w:rFonts w:eastAsiaTheme="minorEastAsia"/>
          <w:b/>
          <w:lang w:eastAsia="zh-CN"/>
        </w:rPr>
        <w:t>r</w:t>
      </w:r>
      <w:r w:rsidRPr="005503F2">
        <w:rPr>
          <w:rFonts w:eastAsiaTheme="minorEastAsia" w:hint="eastAsia"/>
          <w:b/>
          <w:lang w:eastAsia="zh-CN"/>
        </w:rPr>
        <w:t xml:space="preserve">oposal </w:t>
      </w:r>
      <w:r>
        <w:rPr>
          <w:rFonts w:eastAsiaTheme="minorEastAsia"/>
          <w:b/>
          <w:lang w:eastAsia="zh-CN"/>
        </w:rPr>
        <w:t>1</w:t>
      </w:r>
      <w:r w:rsidRPr="005503F2">
        <w:rPr>
          <w:rFonts w:eastAsiaTheme="minorEastAsia" w:hint="eastAsia"/>
          <w:b/>
          <w:lang w:eastAsia="zh-CN"/>
        </w:rPr>
        <w:t xml:space="preserve">: RAN plenary confirms that </w:t>
      </w:r>
      <w:r>
        <w:rPr>
          <w:rFonts w:eastAsiaTheme="minorEastAsia" w:hint="eastAsia"/>
          <w:b/>
          <w:lang w:eastAsia="zh-CN"/>
        </w:rPr>
        <w:t xml:space="preserve">the </w:t>
      </w:r>
      <w:r w:rsidRPr="005503F2">
        <w:rPr>
          <w:rFonts w:eastAsiaTheme="minorEastAsia" w:hint="eastAsia"/>
          <w:b/>
          <w:lang w:eastAsia="zh-CN"/>
        </w:rPr>
        <w:t>access of</w:t>
      </w:r>
      <w:r>
        <w:rPr>
          <w:rFonts w:eastAsiaTheme="minorEastAsia" w:hint="eastAsia"/>
          <w:b/>
          <w:lang w:eastAsia="zh-CN"/>
        </w:rPr>
        <w:t xml:space="preserve"> </w:t>
      </w:r>
      <w:r w:rsidRPr="005503F2">
        <w:rPr>
          <w:rFonts w:eastAsiaTheme="minorEastAsia" w:hint="eastAsia"/>
          <w:b/>
          <w:lang w:eastAsia="zh-CN"/>
        </w:rPr>
        <w:t>2</w:t>
      </w:r>
      <w:r w:rsidR="00907198">
        <w:rPr>
          <w:rFonts w:eastAsiaTheme="minorEastAsia" w:hint="eastAsia"/>
          <w:b/>
          <w:lang w:eastAsia="zh-CN"/>
        </w:rPr>
        <w:t>R</w:t>
      </w:r>
      <w:r>
        <w:rPr>
          <w:rFonts w:eastAsiaTheme="minorEastAsia"/>
          <w:b/>
          <w:lang w:eastAsia="zh-CN"/>
        </w:rPr>
        <w:t>x</w:t>
      </w:r>
      <w:r w:rsidRPr="005503F2">
        <w:rPr>
          <w:rFonts w:eastAsiaTheme="minorEastAsia" w:hint="eastAsia"/>
          <w:b/>
          <w:lang w:eastAsia="zh-CN"/>
        </w:rPr>
        <w:t xml:space="preserve"> XR devices is </w:t>
      </w:r>
      <w:r>
        <w:rPr>
          <w:rFonts w:eastAsiaTheme="minorEastAsia" w:hint="eastAsia"/>
          <w:b/>
          <w:lang w:eastAsia="zh-CN"/>
        </w:rPr>
        <w:t xml:space="preserve">not </w:t>
      </w:r>
      <w:r w:rsidRPr="005503F2">
        <w:rPr>
          <w:rFonts w:eastAsiaTheme="minorEastAsia" w:hint="eastAsia"/>
          <w:b/>
          <w:lang w:eastAsia="zh-CN"/>
        </w:rPr>
        <w:t xml:space="preserve">supported </w:t>
      </w:r>
      <w:r>
        <w:rPr>
          <w:rFonts w:eastAsiaTheme="minorEastAsia" w:hint="eastAsia"/>
          <w:b/>
          <w:lang w:eastAsia="zh-CN"/>
        </w:rPr>
        <w:t>in</w:t>
      </w:r>
      <w:r w:rsidRPr="005503F2">
        <w:rPr>
          <w:rFonts w:eastAsiaTheme="minorEastAsia" w:hint="eastAsia"/>
          <w:b/>
          <w:lang w:eastAsia="zh-CN"/>
        </w:rPr>
        <w:t xml:space="preserve"> Legacy Network</w:t>
      </w:r>
      <w:r>
        <w:rPr>
          <w:rFonts w:eastAsiaTheme="minorEastAsia" w:hint="eastAsia"/>
          <w:b/>
          <w:lang w:eastAsia="zh-CN"/>
        </w:rPr>
        <w:t>s</w:t>
      </w:r>
      <w:r>
        <w:rPr>
          <w:rFonts w:eastAsiaTheme="minorEastAsia"/>
          <w:b/>
          <w:lang w:eastAsia="zh-CN"/>
        </w:rPr>
        <w:t>, and approves the corresponding RAN2 CR set.</w:t>
      </w:r>
    </w:p>
    <w:p w14:paraId="53CCC1F4" w14:textId="77777777" w:rsidR="000B6FDE" w:rsidRDefault="000B6FDE" w:rsidP="00163B4C">
      <w:pPr>
        <w:spacing w:after="0"/>
        <w:rPr>
          <w:rFonts w:eastAsiaTheme="minorEastAsia"/>
          <w:b/>
          <w:lang w:eastAsia="zh-CN"/>
        </w:rPr>
      </w:pPr>
    </w:p>
    <w:p w14:paraId="2AAE791E" w14:textId="77777777" w:rsidR="00D9005C" w:rsidRPr="00785481" w:rsidRDefault="00D9005C" w:rsidP="00D9005C">
      <w:pPr>
        <w:spacing w:after="0"/>
        <w:rPr>
          <w:b/>
          <w:bCs/>
          <w:lang w:eastAsia="zh-CN"/>
        </w:rPr>
      </w:pPr>
      <w:r w:rsidRPr="00785481">
        <w:rPr>
          <w:b/>
          <w:bCs/>
          <w:lang w:eastAsia="zh-CN"/>
        </w:rPr>
        <w:t>Proposal 2: RAN plenary to decide on one alternative from the following two options:</w:t>
      </w:r>
    </w:p>
    <w:p w14:paraId="25755C67" w14:textId="77777777" w:rsidR="00752413" w:rsidRDefault="00D9005C" w:rsidP="00D9005C">
      <w:pPr>
        <w:pStyle w:val="ListParagraph"/>
        <w:numPr>
          <w:ilvl w:val="0"/>
          <w:numId w:val="19"/>
        </w:numPr>
        <w:spacing w:after="0"/>
        <w:rPr>
          <w:rFonts w:ascii="Times New Roman" w:hAnsi="Times New Roman" w:cs="Times New Roman"/>
          <w:b/>
          <w:bCs/>
          <w:sz w:val="20"/>
          <w:szCs w:val="20"/>
          <w:lang w:eastAsia="zh-CN"/>
        </w:rPr>
      </w:pPr>
      <w:r w:rsidRPr="00785481">
        <w:rPr>
          <w:rFonts w:ascii="Times New Roman" w:hAnsi="Times New Roman" w:cs="Times New Roman"/>
          <w:b/>
          <w:bCs/>
          <w:sz w:val="20"/>
          <w:szCs w:val="20"/>
          <w:lang w:eastAsia="zh-CN"/>
        </w:rPr>
        <w:t>Option 1: Conclude the task to enable support of 2Rx non-</w:t>
      </w:r>
      <w:proofErr w:type="spellStart"/>
      <w:r w:rsidRPr="00785481">
        <w:rPr>
          <w:rFonts w:ascii="Times New Roman" w:hAnsi="Times New Roman" w:cs="Times New Roman"/>
          <w:b/>
          <w:bCs/>
          <w:sz w:val="20"/>
          <w:szCs w:val="20"/>
          <w:lang w:eastAsia="zh-CN"/>
        </w:rPr>
        <w:t>RedCap</w:t>
      </w:r>
      <w:proofErr w:type="spellEnd"/>
      <w:r w:rsidRPr="00785481">
        <w:rPr>
          <w:rFonts w:ascii="Times New Roman" w:hAnsi="Times New Roman" w:cs="Times New Roman"/>
          <w:b/>
          <w:bCs/>
          <w:sz w:val="20"/>
          <w:szCs w:val="20"/>
          <w:lang w:eastAsia="zh-CN"/>
        </w:rPr>
        <w:t xml:space="preserve"> XR devices in this meeting without imposing any tightened REFSENS.</w:t>
      </w:r>
    </w:p>
    <w:p w14:paraId="2E00106A" w14:textId="483E9F62" w:rsidR="00DA3978" w:rsidRPr="00752413" w:rsidRDefault="00D9005C" w:rsidP="00D9005C">
      <w:pPr>
        <w:pStyle w:val="ListParagraph"/>
        <w:numPr>
          <w:ilvl w:val="0"/>
          <w:numId w:val="19"/>
        </w:numPr>
        <w:spacing w:after="0"/>
        <w:rPr>
          <w:rFonts w:ascii="Times New Roman" w:hAnsi="Times New Roman" w:cs="Times New Roman"/>
          <w:b/>
          <w:bCs/>
          <w:sz w:val="20"/>
          <w:szCs w:val="20"/>
          <w:lang w:eastAsia="zh-CN"/>
        </w:rPr>
      </w:pPr>
      <w:r w:rsidRPr="00ED357A">
        <w:rPr>
          <w:rFonts w:ascii="Times New Roman" w:hAnsi="Times New Roman" w:cs="Times New Roman"/>
          <w:b/>
          <w:bCs/>
          <w:sz w:val="20"/>
          <w:szCs w:val="20"/>
          <w:lang w:eastAsia="zh-CN"/>
        </w:rPr>
        <w:t>Option 2: Extend the RAN4 task by one quarter aiming at a sufficiently justified 2Rx REFSENS tightening.</w:t>
      </w:r>
    </w:p>
    <w:p w14:paraId="6BC11DC3" w14:textId="77777777" w:rsidR="00DA3978" w:rsidRDefault="00DA3978" w:rsidP="00163B4C">
      <w:pPr>
        <w:spacing w:after="0"/>
      </w:pPr>
    </w:p>
    <w:p w14:paraId="7A1FBFC5" w14:textId="377140E4" w:rsidR="00916091" w:rsidRDefault="00E97880" w:rsidP="00916091">
      <w:pPr>
        <w:pStyle w:val="Heading3"/>
      </w:pPr>
      <w:r>
        <w:t>4</w:t>
      </w:r>
      <w:r w:rsidR="00916091" w:rsidRPr="00A079D3">
        <w:tab/>
      </w:r>
      <w:r w:rsidR="004B3C92">
        <w:t>References</w:t>
      </w:r>
    </w:p>
    <w:p w14:paraId="2F0CD2AB" w14:textId="7EBC48B0" w:rsidR="00CB40E6" w:rsidRDefault="00A65273" w:rsidP="00A65273">
      <w:pPr>
        <w:spacing w:after="0"/>
      </w:pPr>
      <w:r>
        <w:t>[1]</w:t>
      </w:r>
      <w:r>
        <w:tab/>
      </w:r>
      <w:r w:rsidR="00CA4D47" w:rsidRPr="00CA4D47">
        <w:t>RP-234015</w:t>
      </w:r>
      <w:r w:rsidR="007143CE">
        <w:t>,</w:t>
      </w:r>
      <w:r w:rsidR="00CA4D47" w:rsidRPr="00CA4D47">
        <w:tab/>
        <w:t>Moderator Summary and Way Forward on 2Rx XR</w:t>
      </w:r>
      <w:r w:rsidR="007143CE">
        <w:t>,</w:t>
      </w:r>
      <w:r w:rsidR="00CA4D47" w:rsidRPr="00CA4D47">
        <w:tab/>
        <w:t>Nokia</w:t>
      </w:r>
    </w:p>
    <w:p w14:paraId="02CD0B8D" w14:textId="2DCAEE41" w:rsidR="007143CE" w:rsidRDefault="007143CE" w:rsidP="00A65273">
      <w:pPr>
        <w:spacing w:after="0"/>
      </w:pPr>
      <w:r>
        <w:t xml:space="preserve">[2] </w:t>
      </w:r>
      <w:r>
        <w:tab/>
      </w:r>
      <w:r w:rsidRPr="007143CE">
        <w:t>R4-2403878</w:t>
      </w:r>
      <w:r>
        <w:t>,</w:t>
      </w:r>
      <w:r w:rsidRPr="007143CE">
        <w:tab/>
        <w:t>WF on 2Rx XR UE requirements</w:t>
      </w:r>
      <w:r>
        <w:t>, Moderator (Apple)</w:t>
      </w:r>
    </w:p>
    <w:p w14:paraId="0BFE7E82" w14:textId="54F00FC0" w:rsidR="007143CE" w:rsidRDefault="007143CE" w:rsidP="00A65273">
      <w:pPr>
        <w:spacing w:after="0"/>
      </w:pPr>
      <w:r>
        <w:t>[3]</w:t>
      </w:r>
      <w:r>
        <w:tab/>
      </w:r>
      <w:r w:rsidRPr="007143CE">
        <w:t>R4-2403880</w:t>
      </w:r>
      <w:r>
        <w:t>,</w:t>
      </w:r>
      <w:r w:rsidRPr="007143CE">
        <w:tab/>
        <w:t>LS on 2Rx XR UE requirements</w:t>
      </w:r>
      <w:r>
        <w:t>,</w:t>
      </w:r>
      <w:r w:rsidR="00BB7568">
        <w:t xml:space="preserve"> Apple</w:t>
      </w:r>
    </w:p>
    <w:p w14:paraId="46E054B2" w14:textId="17D6D7AF" w:rsidR="00BB7568" w:rsidRDefault="00BB7568" w:rsidP="00A65273">
      <w:pPr>
        <w:spacing w:after="0"/>
        <w:rPr>
          <w:rFonts w:eastAsiaTheme="minorEastAsia"/>
          <w:lang w:eastAsia="zh-CN"/>
        </w:rPr>
      </w:pPr>
      <w:r>
        <w:t>[4]</w:t>
      </w:r>
      <w:r>
        <w:tab/>
      </w:r>
      <w:r w:rsidR="0047576F" w:rsidRPr="0047576F">
        <w:t>R4-2403890</w:t>
      </w:r>
      <w:r w:rsidR="0047576F">
        <w:t>,</w:t>
      </w:r>
      <w:r w:rsidR="0047576F" w:rsidRPr="0047576F">
        <w:tab/>
        <w:t>CR 38.101-1 addition of 2Rx XR exception for REFSENS [2Rx_XR_UE]</w:t>
      </w:r>
      <w:r w:rsidR="0047576F">
        <w:t>, Nokia</w:t>
      </w:r>
    </w:p>
    <w:p w14:paraId="77404966" w14:textId="066E6FAD" w:rsidR="00426EB5" w:rsidRPr="00426EB5" w:rsidRDefault="00426EB5" w:rsidP="00A65273">
      <w:pPr>
        <w:spacing w:after="0"/>
        <w:rPr>
          <w:rFonts w:eastAsiaTheme="minorEastAsia"/>
          <w:lang w:eastAsia="zh-CN"/>
        </w:rPr>
      </w:pPr>
      <w:r>
        <w:rPr>
          <w:rFonts w:eastAsiaTheme="minorEastAsia" w:hint="eastAsia"/>
          <w:lang w:eastAsia="zh-CN"/>
        </w:rPr>
        <w:t xml:space="preserve">[5]       </w:t>
      </w:r>
      <w:bookmarkStart w:id="3" w:name="OLE_LINK17"/>
      <w:bookmarkStart w:id="4" w:name="OLE_LINK18"/>
      <w:r>
        <w:rPr>
          <w:rFonts w:eastAsiaTheme="minorEastAsia" w:hint="eastAsia"/>
          <w:lang w:eastAsia="zh-CN"/>
        </w:rPr>
        <w:t>R3-241069</w:t>
      </w:r>
      <w:bookmarkEnd w:id="3"/>
      <w:bookmarkEnd w:id="4"/>
      <w:r>
        <w:rPr>
          <w:rFonts w:eastAsiaTheme="minorEastAsia" w:hint="eastAsia"/>
          <w:lang w:eastAsia="zh-CN"/>
        </w:rPr>
        <w:t xml:space="preserve">, </w:t>
      </w:r>
      <w:r w:rsidRPr="007D60ED">
        <w:rPr>
          <w:rFonts w:cs="Calibri"/>
          <w:sz w:val="18"/>
        </w:rPr>
        <w:t>Introduction of new SPID value for 2RX XR UE (Nokia, Nokia Shanghai Bell, ZTE, Apple, Ericsson, Qualcomm, Deutsche Telekom, Vodafone, CATT, CMCC</w:t>
      </w:r>
      <w:r>
        <w:rPr>
          <w:rFonts w:eastAsiaTheme="minorEastAsia" w:cs="Calibri" w:hint="eastAsia"/>
          <w:sz w:val="18"/>
          <w:lang w:eastAsia="zh-CN"/>
        </w:rPr>
        <w:t>,</w:t>
      </w:r>
      <w:r w:rsidRPr="00426EB5">
        <w:t xml:space="preserve"> </w:t>
      </w:r>
      <w:r>
        <w:t>China Telecom</w:t>
      </w:r>
      <w:r>
        <w:rPr>
          <w:rFonts w:hint="eastAsia"/>
          <w:lang w:eastAsia="zh-CN"/>
        </w:rPr>
        <w:t>,</w:t>
      </w:r>
      <w:r>
        <w:rPr>
          <w:lang w:eastAsia="zh-CN"/>
        </w:rPr>
        <w:t xml:space="preserve"> Huawei</w:t>
      </w:r>
    </w:p>
    <w:p w14:paraId="5F4D4E39" w14:textId="4D812A6D" w:rsidR="00426EB5" w:rsidRDefault="00426EB5" w:rsidP="00A65273">
      <w:pPr>
        <w:spacing w:after="0"/>
      </w:pPr>
      <w:r>
        <w:rPr>
          <w:rFonts w:eastAsiaTheme="minorEastAsia" w:hint="eastAsia"/>
          <w:lang w:eastAsia="zh-CN"/>
        </w:rPr>
        <w:t>[6]</w:t>
      </w:r>
      <w:r w:rsidRPr="00426EB5">
        <w:rPr>
          <w:rFonts w:cs="Calibri"/>
          <w:sz w:val="18"/>
        </w:rPr>
        <w:t xml:space="preserve"> </w:t>
      </w:r>
      <w:r>
        <w:rPr>
          <w:rFonts w:eastAsiaTheme="minorEastAsia" w:cs="Calibri" w:hint="eastAsia"/>
          <w:sz w:val="18"/>
          <w:lang w:eastAsia="zh-CN"/>
        </w:rPr>
        <w:t xml:space="preserve">       </w:t>
      </w:r>
      <w:r>
        <w:rPr>
          <w:rFonts w:eastAsiaTheme="minorEastAsia" w:hint="eastAsia"/>
          <w:lang w:eastAsia="zh-CN"/>
        </w:rPr>
        <w:t xml:space="preserve">R3-241070, </w:t>
      </w:r>
      <w:r w:rsidRPr="00B8756D">
        <w:rPr>
          <w:rFonts w:cs="Calibri"/>
          <w:sz w:val="18"/>
        </w:rPr>
        <w:t>Introduction of 2Rx relaxation for XR devices</w:t>
      </w:r>
      <w:r w:rsidR="0056685D">
        <w:rPr>
          <w:rFonts w:cs="Calibri"/>
          <w:sz w:val="18"/>
        </w:rPr>
        <w:t>,</w:t>
      </w:r>
      <w:r>
        <w:rPr>
          <w:rFonts w:eastAsiaTheme="minorEastAsia" w:cs="Calibri" w:hint="eastAsia"/>
          <w:sz w:val="18"/>
          <w:lang w:eastAsia="zh-CN"/>
        </w:rPr>
        <w:t xml:space="preserve"> </w:t>
      </w:r>
      <w:r w:rsidRPr="00B8756D">
        <w:rPr>
          <w:rFonts w:cs="Calibri"/>
          <w:sz w:val="18"/>
        </w:rPr>
        <w:t>Huawei, Telecom Italia, Telia Company, NTT DOCOMO, T-Mobile USA, BT, Deutsche Telekom, Spark NZ Ltd</w:t>
      </w:r>
      <w:r>
        <w:rPr>
          <w:rFonts w:eastAsiaTheme="minorEastAsia" w:cs="Calibri" w:hint="eastAsia"/>
          <w:sz w:val="18"/>
          <w:lang w:eastAsia="zh-CN"/>
        </w:rPr>
        <w:t>,</w:t>
      </w:r>
      <w:r w:rsidRPr="00426EB5">
        <w:t xml:space="preserve"> </w:t>
      </w:r>
      <w:r>
        <w:t>Qualcomm, ZTE, Nokia, Nokia Shanghai Bell, Apple, Ericsson, CATT</w:t>
      </w:r>
    </w:p>
    <w:p w14:paraId="42C7564F" w14:textId="77DAFED8" w:rsidR="002E348E" w:rsidRDefault="002E348E" w:rsidP="00A65273">
      <w:pPr>
        <w:spacing w:after="0"/>
      </w:pPr>
      <w:r>
        <w:t xml:space="preserve">[7] </w:t>
      </w:r>
      <w:r>
        <w:tab/>
        <w:t xml:space="preserve">RP-240706, </w:t>
      </w:r>
      <w:r w:rsidRPr="002E348E">
        <w:t>Technically endorsed CR on Introduction of 2Rx XR UE, set 1</w:t>
      </w:r>
      <w:r>
        <w:t>, RAN2</w:t>
      </w:r>
    </w:p>
    <w:p w14:paraId="0032B610" w14:textId="0A6C96BA" w:rsidR="002E348E" w:rsidRDefault="002E348E" w:rsidP="00A65273">
      <w:pPr>
        <w:spacing w:after="0"/>
        <w:rPr>
          <w:rFonts w:eastAsiaTheme="minorEastAsia"/>
          <w:lang w:eastAsia="zh-CN"/>
        </w:rPr>
      </w:pPr>
      <w:r>
        <w:t>[8]</w:t>
      </w:r>
      <w:r>
        <w:tab/>
        <w:t xml:space="preserve">RP-240707, </w:t>
      </w:r>
      <w:r w:rsidRPr="002E348E">
        <w:t xml:space="preserve">Technically endorsed CR on Introduction of 2Rx XR UE, set </w:t>
      </w:r>
      <w:r>
        <w:t>2, RAN2</w:t>
      </w:r>
    </w:p>
    <w:p w14:paraId="7E3D7705" w14:textId="02DF219C" w:rsidR="005D3A3C" w:rsidRPr="00531B6C" w:rsidRDefault="005D3A3C" w:rsidP="00A65273">
      <w:pPr>
        <w:spacing w:after="0"/>
        <w:rPr>
          <w:rFonts w:eastAsiaTheme="minorEastAsia"/>
          <w:lang w:eastAsia="zh-CN"/>
        </w:rPr>
      </w:pPr>
    </w:p>
    <w:sectPr w:rsidR="005D3A3C" w:rsidRPr="00531B6C" w:rsidSect="002673BD">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D53DC" w14:textId="77777777" w:rsidR="000D3323" w:rsidRDefault="000D3323">
      <w:r>
        <w:separator/>
      </w:r>
    </w:p>
  </w:endnote>
  <w:endnote w:type="continuationSeparator" w:id="0">
    <w:p w14:paraId="13403B67" w14:textId="77777777" w:rsidR="000D3323" w:rsidRDefault="000D3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55A0" w14:textId="77777777" w:rsidR="005D6A4A" w:rsidRDefault="005D6A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E31D3" w14:textId="09102525" w:rsidR="003B7114" w:rsidRPr="005D6A4A" w:rsidRDefault="003B7114" w:rsidP="005D6A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EC4D71" w14:textId="77777777" w:rsidR="005D6A4A" w:rsidRDefault="005D6A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9083E9" w14:textId="77777777" w:rsidR="000D3323" w:rsidRDefault="000D3323">
      <w:r>
        <w:separator/>
      </w:r>
    </w:p>
  </w:footnote>
  <w:footnote w:type="continuationSeparator" w:id="0">
    <w:p w14:paraId="67986819" w14:textId="77777777" w:rsidR="000D3323" w:rsidRDefault="000D3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6DD26" w14:textId="77777777" w:rsidR="005D6A4A" w:rsidRDefault="005D6A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C5BB6" w14:textId="77777777" w:rsidR="005D6A4A" w:rsidRDefault="005D6A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198C2" w14:textId="77777777" w:rsidR="005D6A4A" w:rsidRDefault="005D6A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2F497E"/>
    <w:multiLevelType w:val="hybridMultilevel"/>
    <w:tmpl w:val="4C8C0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nsid w:val="18FD47FC"/>
    <w:multiLevelType w:val="hybridMultilevel"/>
    <w:tmpl w:val="C234C6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2A1272A"/>
    <w:multiLevelType w:val="hybridMultilevel"/>
    <w:tmpl w:val="4C9A2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9">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nsid w:val="77B35B29"/>
    <w:multiLevelType w:val="hybridMultilevel"/>
    <w:tmpl w:val="1890950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4"/>
  </w:num>
  <w:num w:numId="3">
    <w:abstractNumId w:val="18"/>
  </w:num>
  <w:num w:numId="4">
    <w:abstractNumId w:val="7"/>
  </w:num>
  <w:num w:numId="5">
    <w:abstractNumId w:val="13"/>
  </w:num>
  <w:num w:numId="6">
    <w:abstractNumId w:val="6"/>
  </w:num>
  <w:num w:numId="7">
    <w:abstractNumId w:val="14"/>
  </w:num>
  <w:num w:numId="8">
    <w:abstractNumId w:val="17"/>
  </w:num>
  <w:num w:numId="9">
    <w:abstractNumId w:val="19"/>
  </w:num>
  <w:num w:numId="10">
    <w:abstractNumId w:val="11"/>
  </w:num>
  <w:num w:numId="11">
    <w:abstractNumId w:val="8"/>
  </w:num>
  <w:num w:numId="12">
    <w:abstractNumId w:val="0"/>
  </w:num>
  <w:num w:numId="13">
    <w:abstractNumId w:val="3"/>
  </w:num>
  <w:num w:numId="14">
    <w:abstractNumId w:val="16"/>
  </w:num>
  <w:num w:numId="15">
    <w:abstractNumId w:val="10"/>
  </w:num>
  <w:num w:numId="16">
    <w:abstractNumId w:val="9"/>
  </w:num>
  <w:num w:numId="17">
    <w:abstractNumId w:val="2"/>
  </w:num>
  <w:num w:numId="18">
    <w:abstractNumId w:val="1"/>
  </w:num>
  <w:num w:numId="19">
    <w:abstractNumId w:val="20"/>
  </w:num>
  <w:num w:numId="20">
    <w:abstractNumId w:val="15"/>
  </w:num>
  <w:num w:numId="21">
    <w:abstractNumId w:val="5"/>
  </w:num>
  <w:num w:numId="22">
    <w:abstractNumId w:val="21"/>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5FB"/>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A40"/>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95F"/>
    <w:rsid w:val="00082CCF"/>
    <w:rsid w:val="000831AA"/>
    <w:rsid w:val="000833D1"/>
    <w:rsid w:val="00083FE1"/>
    <w:rsid w:val="0008533C"/>
    <w:rsid w:val="00085A2C"/>
    <w:rsid w:val="000875ED"/>
    <w:rsid w:val="00091AAD"/>
    <w:rsid w:val="00092102"/>
    <w:rsid w:val="000931FF"/>
    <w:rsid w:val="000937FD"/>
    <w:rsid w:val="00094330"/>
    <w:rsid w:val="000956D2"/>
    <w:rsid w:val="00096228"/>
    <w:rsid w:val="0009738D"/>
    <w:rsid w:val="0009758A"/>
    <w:rsid w:val="00097833"/>
    <w:rsid w:val="000A00AD"/>
    <w:rsid w:val="000A0820"/>
    <w:rsid w:val="000A1DFC"/>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6FDE"/>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1C09"/>
    <w:rsid w:val="000D3323"/>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295A"/>
    <w:rsid w:val="00143052"/>
    <w:rsid w:val="00143DC8"/>
    <w:rsid w:val="00144CA6"/>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3B4C"/>
    <w:rsid w:val="00164191"/>
    <w:rsid w:val="001651BC"/>
    <w:rsid w:val="001655DC"/>
    <w:rsid w:val="00166439"/>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77D07"/>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74C"/>
    <w:rsid w:val="001A1A85"/>
    <w:rsid w:val="001A21F0"/>
    <w:rsid w:val="001A2841"/>
    <w:rsid w:val="001A42BA"/>
    <w:rsid w:val="001A4B5D"/>
    <w:rsid w:val="001A5051"/>
    <w:rsid w:val="001A6598"/>
    <w:rsid w:val="001A6D35"/>
    <w:rsid w:val="001A6DD8"/>
    <w:rsid w:val="001A6EFA"/>
    <w:rsid w:val="001B08ED"/>
    <w:rsid w:val="001B0EF3"/>
    <w:rsid w:val="001B140D"/>
    <w:rsid w:val="001B2679"/>
    <w:rsid w:val="001B36B4"/>
    <w:rsid w:val="001B38CA"/>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149"/>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4CB0"/>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C4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C92"/>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37CA"/>
    <w:rsid w:val="0024431F"/>
    <w:rsid w:val="00244566"/>
    <w:rsid w:val="002449B2"/>
    <w:rsid w:val="00244A13"/>
    <w:rsid w:val="002453D9"/>
    <w:rsid w:val="00246D3F"/>
    <w:rsid w:val="00247CAE"/>
    <w:rsid w:val="002505E5"/>
    <w:rsid w:val="00250895"/>
    <w:rsid w:val="00250F8C"/>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673BD"/>
    <w:rsid w:val="00267CD4"/>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1DED"/>
    <w:rsid w:val="00282F1A"/>
    <w:rsid w:val="0028312B"/>
    <w:rsid w:val="002831FF"/>
    <w:rsid w:val="002839AD"/>
    <w:rsid w:val="002857EB"/>
    <w:rsid w:val="00285B49"/>
    <w:rsid w:val="0028650A"/>
    <w:rsid w:val="0028706D"/>
    <w:rsid w:val="00290214"/>
    <w:rsid w:val="002906A4"/>
    <w:rsid w:val="00290C47"/>
    <w:rsid w:val="0029276D"/>
    <w:rsid w:val="002927C5"/>
    <w:rsid w:val="00292FA2"/>
    <w:rsid w:val="00293127"/>
    <w:rsid w:val="002932DC"/>
    <w:rsid w:val="002936D6"/>
    <w:rsid w:val="00293760"/>
    <w:rsid w:val="0029455D"/>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51C"/>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892"/>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348E"/>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11"/>
    <w:rsid w:val="00312F51"/>
    <w:rsid w:val="003131D7"/>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768"/>
    <w:rsid w:val="00350825"/>
    <w:rsid w:val="00351B40"/>
    <w:rsid w:val="00351F1E"/>
    <w:rsid w:val="00353003"/>
    <w:rsid w:val="00353CF6"/>
    <w:rsid w:val="00354924"/>
    <w:rsid w:val="00354CB2"/>
    <w:rsid w:val="00354E19"/>
    <w:rsid w:val="00356767"/>
    <w:rsid w:val="003567C1"/>
    <w:rsid w:val="0035781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3EA8"/>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04A"/>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14"/>
    <w:rsid w:val="003B7121"/>
    <w:rsid w:val="003B712A"/>
    <w:rsid w:val="003C01D4"/>
    <w:rsid w:val="003C0386"/>
    <w:rsid w:val="003C0CA1"/>
    <w:rsid w:val="003C1A9C"/>
    <w:rsid w:val="003C22D8"/>
    <w:rsid w:val="003C2541"/>
    <w:rsid w:val="003C2EFD"/>
    <w:rsid w:val="003C31B8"/>
    <w:rsid w:val="003C37DE"/>
    <w:rsid w:val="003C3A1E"/>
    <w:rsid w:val="003C4241"/>
    <w:rsid w:val="003C4F5D"/>
    <w:rsid w:val="003C5D5A"/>
    <w:rsid w:val="003C5F99"/>
    <w:rsid w:val="003C6A3C"/>
    <w:rsid w:val="003C73A9"/>
    <w:rsid w:val="003C76E4"/>
    <w:rsid w:val="003C7AC8"/>
    <w:rsid w:val="003D04BD"/>
    <w:rsid w:val="003D0551"/>
    <w:rsid w:val="003D1188"/>
    <w:rsid w:val="003D1C42"/>
    <w:rsid w:val="003D1E94"/>
    <w:rsid w:val="003D3EC7"/>
    <w:rsid w:val="003D3F0E"/>
    <w:rsid w:val="003D622D"/>
    <w:rsid w:val="003E08FD"/>
    <w:rsid w:val="003E1EF2"/>
    <w:rsid w:val="003E2784"/>
    <w:rsid w:val="003E2844"/>
    <w:rsid w:val="003E3254"/>
    <w:rsid w:val="003E3637"/>
    <w:rsid w:val="003E49DE"/>
    <w:rsid w:val="003E4E9B"/>
    <w:rsid w:val="003E624D"/>
    <w:rsid w:val="003E62FB"/>
    <w:rsid w:val="003E71E5"/>
    <w:rsid w:val="003F0EA1"/>
    <w:rsid w:val="003F195C"/>
    <w:rsid w:val="003F22CC"/>
    <w:rsid w:val="003F2431"/>
    <w:rsid w:val="003F26DD"/>
    <w:rsid w:val="003F403B"/>
    <w:rsid w:val="003F6636"/>
    <w:rsid w:val="003F73E7"/>
    <w:rsid w:val="003F789B"/>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0BEB"/>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6EB5"/>
    <w:rsid w:val="004278C2"/>
    <w:rsid w:val="004300E5"/>
    <w:rsid w:val="00430C09"/>
    <w:rsid w:val="00431042"/>
    <w:rsid w:val="004310A3"/>
    <w:rsid w:val="00431AC9"/>
    <w:rsid w:val="00432EBF"/>
    <w:rsid w:val="00432EF9"/>
    <w:rsid w:val="0043352A"/>
    <w:rsid w:val="00433E49"/>
    <w:rsid w:val="004345A1"/>
    <w:rsid w:val="00434621"/>
    <w:rsid w:val="004347A7"/>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57212"/>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76F"/>
    <w:rsid w:val="00475FF6"/>
    <w:rsid w:val="004761B7"/>
    <w:rsid w:val="004762EE"/>
    <w:rsid w:val="004765ED"/>
    <w:rsid w:val="00477738"/>
    <w:rsid w:val="00477AB8"/>
    <w:rsid w:val="00480170"/>
    <w:rsid w:val="0048085A"/>
    <w:rsid w:val="00481515"/>
    <w:rsid w:val="00481715"/>
    <w:rsid w:val="004832D1"/>
    <w:rsid w:val="00484BF7"/>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1BD2"/>
    <w:rsid w:val="004C2D72"/>
    <w:rsid w:val="004C36CF"/>
    <w:rsid w:val="004C574C"/>
    <w:rsid w:val="004C625B"/>
    <w:rsid w:val="004C6C7F"/>
    <w:rsid w:val="004C7667"/>
    <w:rsid w:val="004D098A"/>
    <w:rsid w:val="004D0CF8"/>
    <w:rsid w:val="004D0E01"/>
    <w:rsid w:val="004D0E71"/>
    <w:rsid w:val="004D1063"/>
    <w:rsid w:val="004D16F3"/>
    <w:rsid w:val="004D1D6A"/>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DB9"/>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494A"/>
    <w:rsid w:val="00505AC0"/>
    <w:rsid w:val="005069FF"/>
    <w:rsid w:val="00506B14"/>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1B6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3F2"/>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685D"/>
    <w:rsid w:val="00567784"/>
    <w:rsid w:val="00570402"/>
    <w:rsid w:val="005710B8"/>
    <w:rsid w:val="00571D7C"/>
    <w:rsid w:val="005722CD"/>
    <w:rsid w:val="005728B1"/>
    <w:rsid w:val="00573042"/>
    <w:rsid w:val="0057483F"/>
    <w:rsid w:val="0057557B"/>
    <w:rsid w:val="00575AE2"/>
    <w:rsid w:val="00575D03"/>
    <w:rsid w:val="00575FC7"/>
    <w:rsid w:val="00576E76"/>
    <w:rsid w:val="00577A74"/>
    <w:rsid w:val="00577DAA"/>
    <w:rsid w:val="00577E15"/>
    <w:rsid w:val="00581BF0"/>
    <w:rsid w:val="00583102"/>
    <w:rsid w:val="00583274"/>
    <w:rsid w:val="00583BFD"/>
    <w:rsid w:val="00584078"/>
    <w:rsid w:val="0058415D"/>
    <w:rsid w:val="00584604"/>
    <w:rsid w:val="005846A0"/>
    <w:rsid w:val="00584CED"/>
    <w:rsid w:val="00584D31"/>
    <w:rsid w:val="00584EBD"/>
    <w:rsid w:val="00584F20"/>
    <w:rsid w:val="00586153"/>
    <w:rsid w:val="005908BB"/>
    <w:rsid w:val="00590CE5"/>
    <w:rsid w:val="00591B5A"/>
    <w:rsid w:val="00591DB3"/>
    <w:rsid w:val="005922A9"/>
    <w:rsid w:val="00592E0A"/>
    <w:rsid w:val="00593149"/>
    <w:rsid w:val="005937BF"/>
    <w:rsid w:val="00594986"/>
    <w:rsid w:val="00595286"/>
    <w:rsid w:val="00595287"/>
    <w:rsid w:val="00595890"/>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42EB"/>
    <w:rsid w:val="005C5255"/>
    <w:rsid w:val="005C547E"/>
    <w:rsid w:val="005C5B8E"/>
    <w:rsid w:val="005C5E75"/>
    <w:rsid w:val="005C6982"/>
    <w:rsid w:val="005C74AD"/>
    <w:rsid w:val="005C76E2"/>
    <w:rsid w:val="005D006D"/>
    <w:rsid w:val="005D00A3"/>
    <w:rsid w:val="005D05CF"/>
    <w:rsid w:val="005D1AAD"/>
    <w:rsid w:val="005D1CF8"/>
    <w:rsid w:val="005D1F0F"/>
    <w:rsid w:val="005D226D"/>
    <w:rsid w:val="005D2EAB"/>
    <w:rsid w:val="005D3920"/>
    <w:rsid w:val="005D3A3C"/>
    <w:rsid w:val="005D3C3D"/>
    <w:rsid w:val="005D48ED"/>
    <w:rsid w:val="005D5196"/>
    <w:rsid w:val="005D54E1"/>
    <w:rsid w:val="005D6A4A"/>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620"/>
    <w:rsid w:val="005F0E47"/>
    <w:rsid w:val="005F1312"/>
    <w:rsid w:val="005F1DEF"/>
    <w:rsid w:val="005F207D"/>
    <w:rsid w:val="005F2B17"/>
    <w:rsid w:val="005F344B"/>
    <w:rsid w:val="005F3FA4"/>
    <w:rsid w:val="005F40B7"/>
    <w:rsid w:val="005F5593"/>
    <w:rsid w:val="005F61DC"/>
    <w:rsid w:val="005F65D2"/>
    <w:rsid w:val="005F6918"/>
    <w:rsid w:val="005F6AFA"/>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14F1"/>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86F"/>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B44"/>
    <w:rsid w:val="00673C84"/>
    <w:rsid w:val="00674372"/>
    <w:rsid w:val="00677004"/>
    <w:rsid w:val="00680BB4"/>
    <w:rsid w:val="00682CCD"/>
    <w:rsid w:val="00683738"/>
    <w:rsid w:val="00684312"/>
    <w:rsid w:val="00684679"/>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121C"/>
    <w:rsid w:val="006B2262"/>
    <w:rsid w:val="006B2CDC"/>
    <w:rsid w:val="006B2E5B"/>
    <w:rsid w:val="006B3137"/>
    <w:rsid w:val="006B47B3"/>
    <w:rsid w:val="006B51FA"/>
    <w:rsid w:val="006B58BA"/>
    <w:rsid w:val="006B76F0"/>
    <w:rsid w:val="006C0C71"/>
    <w:rsid w:val="006C2AB5"/>
    <w:rsid w:val="006C41B0"/>
    <w:rsid w:val="006C440F"/>
    <w:rsid w:val="006C5DAC"/>
    <w:rsid w:val="006C5EA0"/>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02A"/>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5CE"/>
    <w:rsid w:val="00710AF1"/>
    <w:rsid w:val="00711839"/>
    <w:rsid w:val="00712020"/>
    <w:rsid w:val="00712540"/>
    <w:rsid w:val="0071419C"/>
    <w:rsid w:val="007143CE"/>
    <w:rsid w:val="00715699"/>
    <w:rsid w:val="0071626E"/>
    <w:rsid w:val="00716882"/>
    <w:rsid w:val="007178E0"/>
    <w:rsid w:val="00717F62"/>
    <w:rsid w:val="00721D75"/>
    <w:rsid w:val="00721EBF"/>
    <w:rsid w:val="007220FD"/>
    <w:rsid w:val="007228A7"/>
    <w:rsid w:val="00724982"/>
    <w:rsid w:val="00724EFA"/>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E81"/>
    <w:rsid w:val="007334F8"/>
    <w:rsid w:val="00734609"/>
    <w:rsid w:val="00734EEF"/>
    <w:rsid w:val="00735892"/>
    <w:rsid w:val="007374F6"/>
    <w:rsid w:val="007425DA"/>
    <w:rsid w:val="00742C7A"/>
    <w:rsid w:val="00742C7C"/>
    <w:rsid w:val="00743451"/>
    <w:rsid w:val="00743739"/>
    <w:rsid w:val="007448B4"/>
    <w:rsid w:val="00744EB8"/>
    <w:rsid w:val="007453E8"/>
    <w:rsid w:val="00746A19"/>
    <w:rsid w:val="00747D2E"/>
    <w:rsid w:val="00750338"/>
    <w:rsid w:val="00751050"/>
    <w:rsid w:val="00751414"/>
    <w:rsid w:val="007516E5"/>
    <w:rsid w:val="00752413"/>
    <w:rsid w:val="00753BE1"/>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481"/>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1609"/>
    <w:rsid w:val="007A2270"/>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44"/>
    <w:rsid w:val="007C5058"/>
    <w:rsid w:val="007C55DC"/>
    <w:rsid w:val="007C6086"/>
    <w:rsid w:val="007C626A"/>
    <w:rsid w:val="007C657A"/>
    <w:rsid w:val="007C748D"/>
    <w:rsid w:val="007D0164"/>
    <w:rsid w:val="007D037A"/>
    <w:rsid w:val="007D150F"/>
    <w:rsid w:val="007D15E3"/>
    <w:rsid w:val="007D1B3B"/>
    <w:rsid w:val="007D2FDA"/>
    <w:rsid w:val="007D3C32"/>
    <w:rsid w:val="007D3E14"/>
    <w:rsid w:val="007D6B86"/>
    <w:rsid w:val="007D6D8E"/>
    <w:rsid w:val="007D73E8"/>
    <w:rsid w:val="007D74FC"/>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533"/>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07F9"/>
    <w:rsid w:val="00842EAC"/>
    <w:rsid w:val="008437F0"/>
    <w:rsid w:val="00844AC8"/>
    <w:rsid w:val="00844FDA"/>
    <w:rsid w:val="00846125"/>
    <w:rsid w:val="0084653C"/>
    <w:rsid w:val="00846A71"/>
    <w:rsid w:val="00846D42"/>
    <w:rsid w:val="008473CB"/>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77EC7"/>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0DA6"/>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1450"/>
    <w:rsid w:val="008E2567"/>
    <w:rsid w:val="008E269B"/>
    <w:rsid w:val="008E2FBB"/>
    <w:rsid w:val="008E30ED"/>
    <w:rsid w:val="008E3427"/>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198"/>
    <w:rsid w:val="00907932"/>
    <w:rsid w:val="009107B2"/>
    <w:rsid w:val="009116D3"/>
    <w:rsid w:val="0091189F"/>
    <w:rsid w:val="00911E60"/>
    <w:rsid w:val="0091269D"/>
    <w:rsid w:val="00912781"/>
    <w:rsid w:val="00912C77"/>
    <w:rsid w:val="0091301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2EA"/>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165"/>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48E4"/>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403"/>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0A95"/>
    <w:rsid w:val="00A023D1"/>
    <w:rsid w:val="00A03174"/>
    <w:rsid w:val="00A03858"/>
    <w:rsid w:val="00A0488C"/>
    <w:rsid w:val="00A055CA"/>
    <w:rsid w:val="00A0661E"/>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27E5D"/>
    <w:rsid w:val="00A27F17"/>
    <w:rsid w:val="00A30AB2"/>
    <w:rsid w:val="00A30CEF"/>
    <w:rsid w:val="00A31090"/>
    <w:rsid w:val="00A311C0"/>
    <w:rsid w:val="00A31492"/>
    <w:rsid w:val="00A31C8E"/>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092"/>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A7D"/>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2AE2"/>
    <w:rsid w:val="00AA3184"/>
    <w:rsid w:val="00AA34DA"/>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D73"/>
    <w:rsid w:val="00AD6F57"/>
    <w:rsid w:val="00AD72BD"/>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A4E"/>
    <w:rsid w:val="00AF1CBC"/>
    <w:rsid w:val="00AF1F4D"/>
    <w:rsid w:val="00AF2292"/>
    <w:rsid w:val="00AF3F33"/>
    <w:rsid w:val="00AF49D2"/>
    <w:rsid w:val="00AF4BD3"/>
    <w:rsid w:val="00AF4D88"/>
    <w:rsid w:val="00AF5878"/>
    <w:rsid w:val="00AF5AF0"/>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7D5"/>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CCE"/>
    <w:rsid w:val="00B23C12"/>
    <w:rsid w:val="00B24070"/>
    <w:rsid w:val="00B24B0A"/>
    <w:rsid w:val="00B2566E"/>
    <w:rsid w:val="00B25CCD"/>
    <w:rsid w:val="00B26ED0"/>
    <w:rsid w:val="00B270B0"/>
    <w:rsid w:val="00B27955"/>
    <w:rsid w:val="00B30012"/>
    <w:rsid w:val="00B30A31"/>
    <w:rsid w:val="00B31A5C"/>
    <w:rsid w:val="00B31A64"/>
    <w:rsid w:val="00B31CC2"/>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377F"/>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65E7D"/>
    <w:rsid w:val="00B70E9E"/>
    <w:rsid w:val="00B717CA"/>
    <w:rsid w:val="00B72354"/>
    <w:rsid w:val="00B731EA"/>
    <w:rsid w:val="00B732E8"/>
    <w:rsid w:val="00B7380B"/>
    <w:rsid w:val="00B745E7"/>
    <w:rsid w:val="00B749FA"/>
    <w:rsid w:val="00B74A10"/>
    <w:rsid w:val="00B75632"/>
    <w:rsid w:val="00B75F7D"/>
    <w:rsid w:val="00B7689A"/>
    <w:rsid w:val="00B773F7"/>
    <w:rsid w:val="00B77878"/>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B7568"/>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7E6"/>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0D8"/>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0EE3"/>
    <w:rsid w:val="00C613DE"/>
    <w:rsid w:val="00C6416E"/>
    <w:rsid w:val="00C6437E"/>
    <w:rsid w:val="00C65820"/>
    <w:rsid w:val="00C67761"/>
    <w:rsid w:val="00C67A74"/>
    <w:rsid w:val="00C7096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4D47"/>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24C"/>
    <w:rsid w:val="00CC2BBD"/>
    <w:rsid w:val="00CC2D0B"/>
    <w:rsid w:val="00CC2FF9"/>
    <w:rsid w:val="00CC47EC"/>
    <w:rsid w:val="00CC4991"/>
    <w:rsid w:val="00CC4B36"/>
    <w:rsid w:val="00CC6A84"/>
    <w:rsid w:val="00CC6D40"/>
    <w:rsid w:val="00CC7A7A"/>
    <w:rsid w:val="00CD034B"/>
    <w:rsid w:val="00CD0979"/>
    <w:rsid w:val="00CD09FF"/>
    <w:rsid w:val="00CD0BE6"/>
    <w:rsid w:val="00CD0CD1"/>
    <w:rsid w:val="00CD1688"/>
    <w:rsid w:val="00CD186A"/>
    <w:rsid w:val="00CD195E"/>
    <w:rsid w:val="00CD25B5"/>
    <w:rsid w:val="00CD2727"/>
    <w:rsid w:val="00CD2A43"/>
    <w:rsid w:val="00CD3CA9"/>
    <w:rsid w:val="00CD3D81"/>
    <w:rsid w:val="00CD4B4F"/>
    <w:rsid w:val="00CD4EEE"/>
    <w:rsid w:val="00CD7573"/>
    <w:rsid w:val="00CD7E32"/>
    <w:rsid w:val="00CE0661"/>
    <w:rsid w:val="00CE0A2B"/>
    <w:rsid w:val="00CE115C"/>
    <w:rsid w:val="00CE14FD"/>
    <w:rsid w:val="00CE17FA"/>
    <w:rsid w:val="00CE331D"/>
    <w:rsid w:val="00CE3338"/>
    <w:rsid w:val="00CE395E"/>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006"/>
    <w:rsid w:val="00CF713C"/>
    <w:rsid w:val="00D01D3D"/>
    <w:rsid w:val="00D03A01"/>
    <w:rsid w:val="00D03AE5"/>
    <w:rsid w:val="00D03BA5"/>
    <w:rsid w:val="00D0406C"/>
    <w:rsid w:val="00D0446D"/>
    <w:rsid w:val="00D04DA5"/>
    <w:rsid w:val="00D06EE4"/>
    <w:rsid w:val="00D0796B"/>
    <w:rsid w:val="00D07FB2"/>
    <w:rsid w:val="00D10529"/>
    <w:rsid w:val="00D119D9"/>
    <w:rsid w:val="00D121BF"/>
    <w:rsid w:val="00D125C3"/>
    <w:rsid w:val="00D12A52"/>
    <w:rsid w:val="00D12E17"/>
    <w:rsid w:val="00D13290"/>
    <w:rsid w:val="00D1391B"/>
    <w:rsid w:val="00D13F8B"/>
    <w:rsid w:val="00D148B1"/>
    <w:rsid w:val="00D15125"/>
    <w:rsid w:val="00D15468"/>
    <w:rsid w:val="00D1556C"/>
    <w:rsid w:val="00D157BF"/>
    <w:rsid w:val="00D16040"/>
    <w:rsid w:val="00D179F0"/>
    <w:rsid w:val="00D17D5D"/>
    <w:rsid w:val="00D21194"/>
    <w:rsid w:val="00D21784"/>
    <w:rsid w:val="00D223E8"/>
    <w:rsid w:val="00D22EA0"/>
    <w:rsid w:val="00D23EA9"/>
    <w:rsid w:val="00D24B4A"/>
    <w:rsid w:val="00D24FA2"/>
    <w:rsid w:val="00D25321"/>
    <w:rsid w:val="00D25A91"/>
    <w:rsid w:val="00D262CD"/>
    <w:rsid w:val="00D26D85"/>
    <w:rsid w:val="00D27F24"/>
    <w:rsid w:val="00D3027A"/>
    <w:rsid w:val="00D30A31"/>
    <w:rsid w:val="00D30BAD"/>
    <w:rsid w:val="00D3172D"/>
    <w:rsid w:val="00D3241B"/>
    <w:rsid w:val="00D32510"/>
    <w:rsid w:val="00D327D9"/>
    <w:rsid w:val="00D332DF"/>
    <w:rsid w:val="00D33E45"/>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5E00"/>
    <w:rsid w:val="00D5635F"/>
    <w:rsid w:val="00D601EB"/>
    <w:rsid w:val="00D609E8"/>
    <w:rsid w:val="00D611AC"/>
    <w:rsid w:val="00D61375"/>
    <w:rsid w:val="00D6194F"/>
    <w:rsid w:val="00D62905"/>
    <w:rsid w:val="00D63619"/>
    <w:rsid w:val="00D63C0F"/>
    <w:rsid w:val="00D63D6C"/>
    <w:rsid w:val="00D64141"/>
    <w:rsid w:val="00D65A5D"/>
    <w:rsid w:val="00D66133"/>
    <w:rsid w:val="00D668A0"/>
    <w:rsid w:val="00D67043"/>
    <w:rsid w:val="00D67078"/>
    <w:rsid w:val="00D676A7"/>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05C"/>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3978"/>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4F38"/>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2CB"/>
    <w:rsid w:val="00DE2B39"/>
    <w:rsid w:val="00DE3053"/>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281E"/>
    <w:rsid w:val="00E02BB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6B53"/>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3211"/>
    <w:rsid w:val="00E542DE"/>
    <w:rsid w:val="00E55463"/>
    <w:rsid w:val="00E5598D"/>
    <w:rsid w:val="00E559AA"/>
    <w:rsid w:val="00E55A9C"/>
    <w:rsid w:val="00E5648E"/>
    <w:rsid w:val="00E577B4"/>
    <w:rsid w:val="00E6097C"/>
    <w:rsid w:val="00E60B50"/>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9788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57A"/>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20D"/>
    <w:rsid w:val="00F15357"/>
    <w:rsid w:val="00F156C5"/>
    <w:rsid w:val="00F165FC"/>
    <w:rsid w:val="00F17801"/>
    <w:rsid w:val="00F2056F"/>
    <w:rsid w:val="00F22376"/>
    <w:rsid w:val="00F22422"/>
    <w:rsid w:val="00F23B33"/>
    <w:rsid w:val="00F24BDA"/>
    <w:rsid w:val="00F25978"/>
    <w:rsid w:val="00F267D7"/>
    <w:rsid w:val="00F26F91"/>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6D1"/>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658"/>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15"/>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AE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3E3637"/>
    <w:rPr>
      <w:rFonts w:eastAsia="Times New Roman"/>
      <w:lang w:val="en-GB" w:eastAsia="en-US"/>
    </w:rPr>
  </w:style>
  <w:style w:type="table" w:styleId="TableGrid">
    <w:name w:val="Table Grid"/>
    <w:basedOn w:val="TableNormal"/>
    <w:rsid w:val="007143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清單段落1,列表段落"/>
    <w:basedOn w:val="Normal"/>
    <w:link w:val="ListParagraphChar"/>
    <w:uiPriority w:val="34"/>
    <w:qFormat/>
    <w:rsid w:val="007143CE"/>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THChar">
    <w:name w:val="TH Char"/>
    <w:link w:val="TH"/>
    <w:qFormat/>
    <w:rsid w:val="00D33E45"/>
    <w:rPr>
      <w:rFonts w:ascii="Arial" w:eastAsia="Times New Roman" w:hAnsi="Arial"/>
      <w:b/>
      <w:lang w:val="en-GB" w:eastAsia="en-US"/>
    </w:rPr>
  </w:style>
  <w:style w:type="character" w:customStyle="1" w:styleId="TAHCar">
    <w:name w:val="TAH Car"/>
    <w:link w:val="TAH"/>
    <w:qFormat/>
    <w:rsid w:val="00D33E45"/>
    <w:rPr>
      <w:rFonts w:ascii="Arial" w:eastAsia="Times New Roman" w:hAnsi="Arial"/>
      <w:b/>
      <w:sz w:val="18"/>
      <w:lang w:val="en-GB" w:eastAsia="en-US"/>
    </w:rPr>
  </w:style>
  <w:style w:type="character" w:customStyle="1" w:styleId="TACChar">
    <w:name w:val="TAC Char"/>
    <w:link w:val="TAC"/>
    <w:qFormat/>
    <w:rsid w:val="00D33E45"/>
    <w:rPr>
      <w:rFonts w:ascii="Arial" w:eastAsia="Times New Roman" w:hAnsi="Arial"/>
      <w:sz w:val="18"/>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F6AFA"/>
    <w:rPr>
      <w:rFonts w:asciiTheme="minorHAnsi" w:eastAsiaTheme="minorHAnsi" w:hAnsiTheme="minorHAnsi" w:cstheme="minorBidi"/>
      <w:sz w:val="22"/>
      <w:szCs w:val="22"/>
      <w:lang w:eastAsia="en-US"/>
    </w:rPr>
  </w:style>
  <w:style w:type="paragraph" w:customStyle="1" w:styleId="Doc-text2">
    <w:name w:val="Doc-text2"/>
    <w:basedOn w:val="Normal"/>
    <w:link w:val="Doc-text2Char"/>
    <w:qFormat/>
    <w:rsid w:val="001A6D3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A6D35"/>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3E3637"/>
    <w:rPr>
      <w:rFonts w:eastAsia="Times New Roman"/>
      <w:lang w:val="en-GB" w:eastAsia="en-US"/>
    </w:rPr>
  </w:style>
  <w:style w:type="table" w:styleId="TableGrid">
    <w:name w:val="Table Grid"/>
    <w:basedOn w:val="TableNormal"/>
    <w:rsid w:val="007143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清單段落1,列表段落"/>
    <w:basedOn w:val="Normal"/>
    <w:link w:val="ListParagraphChar"/>
    <w:uiPriority w:val="34"/>
    <w:qFormat/>
    <w:rsid w:val="007143CE"/>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THChar">
    <w:name w:val="TH Char"/>
    <w:link w:val="TH"/>
    <w:qFormat/>
    <w:rsid w:val="00D33E45"/>
    <w:rPr>
      <w:rFonts w:ascii="Arial" w:eastAsia="Times New Roman" w:hAnsi="Arial"/>
      <w:b/>
      <w:lang w:val="en-GB" w:eastAsia="en-US"/>
    </w:rPr>
  </w:style>
  <w:style w:type="character" w:customStyle="1" w:styleId="TAHCar">
    <w:name w:val="TAH Car"/>
    <w:link w:val="TAH"/>
    <w:qFormat/>
    <w:rsid w:val="00D33E45"/>
    <w:rPr>
      <w:rFonts w:ascii="Arial" w:eastAsia="Times New Roman" w:hAnsi="Arial"/>
      <w:b/>
      <w:sz w:val="18"/>
      <w:lang w:val="en-GB" w:eastAsia="en-US"/>
    </w:rPr>
  </w:style>
  <w:style w:type="character" w:customStyle="1" w:styleId="TACChar">
    <w:name w:val="TAC Char"/>
    <w:link w:val="TAC"/>
    <w:qFormat/>
    <w:rsid w:val="00D33E45"/>
    <w:rPr>
      <w:rFonts w:ascii="Arial" w:eastAsia="Times New Roman" w:hAnsi="Arial"/>
      <w:sz w:val="18"/>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F6AFA"/>
    <w:rPr>
      <w:rFonts w:asciiTheme="minorHAnsi" w:eastAsiaTheme="minorHAnsi" w:hAnsiTheme="minorHAnsi" w:cstheme="minorBidi"/>
      <w:sz w:val="22"/>
      <w:szCs w:val="22"/>
      <w:lang w:eastAsia="en-US"/>
    </w:rPr>
  </w:style>
  <w:style w:type="paragraph" w:customStyle="1" w:styleId="Doc-text2">
    <w:name w:val="Doc-text2"/>
    <w:basedOn w:val="Normal"/>
    <w:link w:val="Doc-text2Char"/>
    <w:qFormat/>
    <w:rsid w:val="001A6D3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A6D35"/>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1165</Words>
  <Characters>6645</Characters>
  <Application>Microsoft Office Word</Application>
  <DocSecurity>0</DocSecurity>
  <Lines>55</Lines>
  <Paragraphs>15</Paragraphs>
  <ScaleCrop>false</ScaleCrop>
  <Company/>
  <LinksUpToDate>false</LinksUpToDate>
  <CharactersWithSpaces>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2024-03-11T14:05:00Z</dcterms:created>
  <dcterms:modified xsi:type="dcterms:W3CDTF">2024-03-11T14:05:00Z</dcterms:modified>
</cp:coreProperties>
</file>