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lang w:val="en-US"/>
        </w:rPr>
      </w:pPr>
      <w:r>
        <w:rPr>
          <w:b/>
          <w:sz w:val="24"/>
        </w:rPr>
        <w:t>3GPP TSG RAN Meeting #</w:t>
      </w:r>
      <w:r>
        <w:rPr>
          <w:b/>
          <w:sz w:val="24"/>
          <w:lang w:val="en-US"/>
        </w:rPr>
        <w:t>10</w:t>
      </w:r>
      <w:r>
        <w:rPr>
          <w:rFonts w:hint="default"/>
          <w:b/>
          <w:sz w:val="24"/>
          <w:lang w:val="en-US" w:eastAsia="zh-CN"/>
        </w:rPr>
        <w:t>3</w:t>
      </w:r>
      <w:r>
        <w:rPr>
          <w:b/>
          <w:sz w:val="24"/>
        </w:rPr>
        <w:tab/>
      </w:r>
      <w:r>
        <w:rPr>
          <w:rFonts w:hint="eastAsia"/>
          <w:b/>
          <w:sz w:val="24"/>
          <w:highlight w:val="none"/>
        </w:rPr>
        <w:t>RP-240146</w:t>
      </w:r>
    </w:p>
    <w:p>
      <w:pPr>
        <w:pStyle w:val="104"/>
        <w:tabs>
          <w:tab w:val="right" w:pos="9639"/>
        </w:tabs>
        <w:spacing w:after="0"/>
        <w:rPr>
          <w:b/>
          <w:sz w:val="24"/>
        </w:rPr>
      </w:pPr>
      <w:r>
        <w:rPr>
          <w:rFonts w:hint="eastAsia"/>
          <w:b/>
          <w:sz w:val="24"/>
          <w:lang w:val="en-US"/>
        </w:rPr>
        <w:t xml:space="preserve">Maastricht, Netherlands, </w:t>
      </w:r>
      <w:r>
        <w:rPr>
          <w:rFonts w:hint="eastAsia"/>
          <w:b/>
          <w:sz w:val="24"/>
          <w:lang w:val="en-US" w:eastAsia="zh-CN"/>
        </w:rPr>
        <w:t>Mar</w:t>
      </w:r>
      <w:r>
        <w:rPr>
          <w:rFonts w:hint="eastAsia"/>
          <w:b/>
          <w:sz w:val="24"/>
          <w:lang w:val="en-US"/>
        </w:rPr>
        <w:t xml:space="preserve"> 1</w:t>
      </w:r>
      <w:r>
        <w:rPr>
          <w:rFonts w:hint="eastAsia"/>
          <w:b/>
          <w:sz w:val="24"/>
          <w:lang w:val="en-US" w:eastAsia="zh-CN"/>
        </w:rPr>
        <w:t>8</w:t>
      </w:r>
      <w:r>
        <w:rPr>
          <w:rFonts w:hint="eastAsia"/>
          <w:b/>
          <w:sz w:val="24"/>
          <w:lang w:val="en-US"/>
        </w:rPr>
        <w:t xml:space="preserve"> - </w:t>
      </w:r>
      <w:r>
        <w:rPr>
          <w:rFonts w:hint="eastAsia"/>
          <w:b/>
          <w:sz w:val="24"/>
          <w:lang w:val="en-US" w:eastAsia="zh-CN"/>
        </w:rPr>
        <w:t>21</w:t>
      </w:r>
      <w:r>
        <w:rPr>
          <w:rFonts w:hint="eastAsia"/>
          <w:b/>
          <w:sz w:val="24"/>
          <w:lang w:val="en-US"/>
        </w:rPr>
        <w:t>, 202</w:t>
      </w:r>
      <w:r>
        <w:rPr>
          <w:rFonts w:hint="eastAsia"/>
          <w:b/>
          <w:sz w:val="24"/>
          <w:lang w:val="en-US" w:eastAsia="zh-CN"/>
        </w:rPr>
        <w:t>4</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NB-IoT (Narrowband IoT)/eMTC (enhanced Machine Type Communication) core &amp; performance requirements for Non-Terrestrial Networks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LTE_NBIOT_eMTC_NTN_req-UEConTest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981034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fldChar w:fldCharType="begin"/>
            </w:r>
            <w:r>
              <w:instrText xml:space="preserve"> HYPERLINK "http://www.3gpp.org/ftp/tsg_ran/TSG_RAN/TSGR_96/Docs/RP-223064.zip" </w:instrText>
            </w:r>
            <w:r>
              <w:fldChar w:fldCharType="separate"/>
            </w:r>
            <w:r>
              <w:rPr>
                <w:rStyle w:val="57"/>
                <w:rFonts w:ascii="Arial" w:hAnsi="Arial" w:cs="Arial"/>
                <w:lang w:val="en-US" w:eastAsia="ja-JP"/>
              </w:rPr>
              <w:t>RP-223064</w:t>
            </w:r>
            <w:r>
              <w:rPr>
                <w:rStyle w:val="57"/>
                <w:rFonts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宋体" w:cs="Arial"/>
                <w:color w:val="00B050"/>
                <w:kern w:val="2"/>
                <w:sz w:val="21"/>
                <w:szCs w:val="22"/>
                <w:lang w:val="en-US"/>
              </w:rPr>
              <w:t>Mar</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default" w:ascii="Arial" w:hAnsi="Arial" w:eastAsia="宋体" w:cs="Arial"/>
                <w:color w:val="00B050"/>
                <w:kern w:val="2"/>
                <w:sz w:val="21"/>
                <w:szCs w:val="22"/>
                <w:lang w:val="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rPr>
              <w:t>100</w:t>
            </w:r>
            <w:r>
              <w:rPr>
                <w:rFonts w:ascii="Arial" w:hAnsi="Arial" w:eastAsia="宋体" w:cs="Arial"/>
                <w:color w:val="00B050"/>
                <w:kern w:val="2"/>
                <w:sz w:val="21"/>
                <w:szCs w:val="22"/>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ascii="Arial" w:hAnsi="Arial" w:cs="Arial"/>
                <w:lang w:val="en-US"/>
              </w:rPr>
              <w:t>,</w:t>
            </w:r>
            <w:r>
              <w:rPr>
                <w:rFonts w:hint="eastAsia" w:ascii="Arial" w:hAnsi="Arial" w:cs="Arial"/>
              </w:rPr>
              <w:t xml:space="preserve"> Danbo Fu (MediaTek)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 MediaTek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fldChar w:fldCharType="begin"/>
            </w:r>
            <w:r>
              <w:instrText xml:space="preserve"> HYPERLINK "file:///D:\\工作\\项目资料\\2013-2017%20标准化会议\\2017-2019%203GPP标准化\\RAN5\\2018-2023%20RAN5会议\\%2399-2023年5月@Incheon,%20South%20Korea\\CMCC文稿-52篇\\36%25（+9%25）-R18%20LTE_IoT_NTN_req-UEConTest%20-%208篇\\Danbo.Fu@mediatek.com" </w:instrText>
            </w:r>
            <w:r>
              <w:fldChar w:fldCharType="separate"/>
            </w:r>
            <w:r>
              <w:rPr>
                <w:rStyle w:val="57"/>
                <w:rFonts w:ascii="Arial" w:hAnsi="Arial" w:cs="Arial"/>
                <w:lang w:val="en-US"/>
              </w:rPr>
              <w:t>Danbo.Fu@mediatek.com</w:t>
            </w:r>
            <w:r>
              <w:rPr>
                <w:rStyle w:val="57"/>
                <w:rFonts w:ascii="Arial" w:hAnsi="Arial" w:cs="Arial"/>
                <w:lang w:val="en-US"/>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lang w:eastAsia="ja-JP"/>
        </w:rPr>
      </w:pPr>
      <w:r>
        <w:rPr>
          <w:rFonts w:ascii="Arial" w:hAnsi="Arial" w:cs="Arial"/>
        </w:rPr>
        <w:t>Status</w:t>
      </w:r>
      <w:r>
        <w:rPr>
          <w:rFonts w:ascii="Arial" w:hAnsi="Arial" w:cs="Arial"/>
          <w:highlight w:val="none"/>
        </w:rPr>
        <w:t xml:space="preserve"> after RAN5#</w:t>
      </w:r>
      <w:r>
        <w:rPr>
          <w:rFonts w:hint="eastAsia" w:ascii="Arial" w:hAnsi="Arial" w:eastAsia="宋体" w:cs="Arial"/>
          <w:highlight w:val="none"/>
          <w:lang w:val="en-US" w:eastAsia="zh-CN"/>
        </w:rPr>
        <w:t>102</w:t>
      </w:r>
      <w:r>
        <w:rPr>
          <w:rFonts w:ascii="Arial" w:hAnsi="Arial" w:cs="Arial"/>
          <w:highlight w:val="none"/>
        </w:rPr>
        <w:t xml:space="preserve"> (the details can be found in </w:t>
      </w:r>
      <w:r>
        <w:rPr>
          <w:rFonts w:hint="eastAsia" w:ascii="Arial" w:hAnsi="Arial" w:cs="Arial"/>
          <w:highlight w:val="none"/>
          <w:lang w:eastAsia="ja-JP"/>
        </w:rPr>
        <w:t>R5-240069</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eastAsia="等线" w:cs="Arial"/>
          <w:highlight w:val="none"/>
          <w:lang w:val="en-US" w:eastAsia="zh-CN"/>
        </w:rPr>
        <w:t>100</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eastAsia="宋体" w:cs="Arial"/>
          <w:highlight w:val="none"/>
          <w:lang w:val="en-US" w:eastAsia="zh-CN"/>
        </w:rPr>
        <w:t>T</w:t>
      </w:r>
      <w:r>
        <w:rPr>
          <w:rFonts w:hint="default" w:ascii="Arial" w:hAnsi="Arial" w:cs="Arial"/>
          <w:highlight w:val="none"/>
          <w:lang w:val="en-US"/>
        </w:rPr>
        <w:t xml:space="preserve">est environment, </w:t>
      </w:r>
      <w:r>
        <w:rPr>
          <w:rFonts w:hint="eastAsia" w:ascii="Arial" w:hAnsi="Arial" w:cs="Arial" w:eastAsiaTheme="minorEastAsia"/>
          <w:highlight w:val="none"/>
          <w:lang w:val="en-US" w:eastAsia="zh-CN"/>
        </w:rPr>
        <w:t>6</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eastAsia="宋体" w:cs="Arial"/>
          <w:highlight w:val="none"/>
          <w:lang w:val="en-US" w:eastAsia="zh-CN"/>
        </w:rPr>
        <w:t>applicability</w:t>
      </w:r>
      <w:r>
        <w:rPr>
          <w:rFonts w:hint="default" w:ascii="Arial" w:hAnsi="Arial" w:cs="Arial"/>
          <w:highlight w:val="none"/>
          <w:lang w:val="en-US"/>
        </w:rPr>
        <w:t xml:space="preserve">,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RF/Demod</w:t>
      </w:r>
      <w:r>
        <w:rPr>
          <w:rFonts w:hint="eastAsia" w:ascii="Arial" w:hAnsi="Arial" w:cs="Arial" w:eastAsiaTheme="minorEastAsia"/>
          <w:highlight w:val="none"/>
          <w:lang w:val="en-US" w:eastAsia="zh-CN"/>
        </w:rPr>
        <w:t>/RRM</w:t>
      </w:r>
      <w:r>
        <w:rPr>
          <w:rFonts w:ascii="Arial" w:hAnsi="Arial" w:cs="Arial" w:eastAsiaTheme="minorEastAsia"/>
          <w:highlight w:val="none"/>
          <w:lang w:val="en-US"/>
        </w:rPr>
        <w:t xml:space="preserve">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3</w:t>
      </w:r>
      <w:r>
        <w:rPr>
          <w:rFonts w:hint="default"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TT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3</w:t>
      </w:r>
      <w:r>
        <w:rPr>
          <w:rFonts w:hint="eastAsia" w:ascii="Arial" w:hAnsi="Arial" w:cs="Arial" w:eastAsiaTheme="minorEastAsia"/>
          <w:highlight w:val="none"/>
        </w:rPr>
        <w:t xml:space="preserve"> </w:t>
      </w:r>
      <w:r>
        <w:rPr>
          <w:rFonts w:ascii="Arial" w:hAnsi="Arial" w:cs="Arial"/>
          <w:highlight w:val="none"/>
          <w:lang w:val="en-US"/>
        </w:rPr>
        <w:t>Tdoc</w:t>
      </w:r>
      <w:r>
        <w:rPr>
          <w:rFonts w:hint="default" w:ascii="Arial" w:hAnsi="Arial" w:cs="Arial"/>
          <w:highlight w:val="none"/>
          <w:lang w:val="en-US"/>
        </w:rPr>
        <w:t>s</w:t>
      </w:r>
      <w:r>
        <w:rPr>
          <w:rFonts w:ascii="Arial" w:hAnsi="Arial" w:cs="Arial"/>
          <w:highlight w:val="none"/>
          <w:lang w:val="en-US"/>
        </w:rPr>
        <w:t xml:space="preserve"> </w:t>
      </w:r>
      <w:r>
        <w:rPr>
          <w:rFonts w:ascii="Arial" w:hAnsi="Arial" w:cs="Arial"/>
          <w:highlight w:val="none"/>
        </w:rPr>
        <w:t>w</w:t>
      </w:r>
      <w:r>
        <w:rPr>
          <w:rFonts w:hint="default" w:ascii="Arial" w:hAnsi="Arial" w:eastAsia="宋体" w:cs="Arial"/>
          <w:highlight w:val="none"/>
          <w:lang w:val="en-US"/>
        </w:rPr>
        <w:t>ere</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T</w:t>
      </w:r>
      <w:r>
        <w:rPr>
          <w:rFonts w:hint="default" w:ascii="Arial" w:hAnsi="Arial" w:cs="Arial" w:eastAsiaTheme="minorEastAsia"/>
          <w:highlight w:val="none"/>
          <w:lang w:val="en-US"/>
        </w:rPr>
        <w:t>P</w:t>
      </w:r>
      <w:r>
        <w:rPr>
          <w:rFonts w:ascii="Arial" w:hAnsi="Arial" w:cs="Arial" w:eastAsiaTheme="minorEastAsia"/>
          <w:highlight w:val="none"/>
          <w:lang w:val="en-US"/>
        </w:rPr>
        <w:t xml:space="preserve">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ascii="Arial" w:hAnsi="Arial" w:cs="Arial"/>
          <w:highlight w:val="none"/>
        </w:rPr>
        <w:t>w</w:t>
      </w:r>
      <w:r>
        <w:rPr>
          <w:rFonts w:hint="eastAsia" w:ascii="Arial" w:hAnsi="Arial" w:eastAsia="宋体" w:cs="Arial"/>
          <w:highlight w:val="none"/>
          <w:lang w:val="en-US" w:eastAsia="zh-CN"/>
        </w:rPr>
        <w:t>as</w:t>
      </w:r>
      <w:r>
        <w:rPr>
          <w:rFonts w:ascii="Arial" w:hAnsi="Arial" w:cs="Arial"/>
          <w:highlight w:val="none"/>
        </w:rPr>
        <w:t xml:space="preserve"> agreed</w:t>
      </w:r>
      <w:r>
        <w:rPr>
          <w:rFonts w:hint="eastAsia" w:ascii="Arial" w:hAnsi="Arial" w:cs="Arial" w:eastAsiaTheme="minorEastAsia"/>
          <w:highlight w:val="none"/>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40069</w:t>
      </w:r>
      <w:r>
        <w:rPr>
          <w:rFonts w:ascii="Arial" w:hAnsi="Arial" w:cs="Arial" w:eastAsiaTheme="minorEastAsia"/>
          <w:highlight w:val="none"/>
          <w:lang w:val="en-US"/>
        </w:rPr>
        <w:t xml:space="preserve"> </w:t>
      </w:r>
      <w:r>
        <w:rPr>
          <w:rFonts w:hint="eastAsia" w:ascii="Arial" w:hAnsi="Arial" w:cs="Arial" w:eastAsiaTheme="minorEastAsia"/>
          <w:highlight w:val="none"/>
        </w:rPr>
        <w:t>WP Rel-18 NB-IoT_eMTC NTN after RAN5#</w:t>
      </w:r>
      <w:r>
        <w:rPr>
          <w:rFonts w:hint="eastAsia" w:ascii="Arial" w:hAnsi="Arial" w:cs="Arial" w:eastAsiaTheme="minorEastAsia"/>
          <w:highlight w:val="none"/>
          <w:lang w:val="en-US" w:eastAsia="zh-CN"/>
        </w:rPr>
        <w:t>102</w:t>
      </w:r>
      <w:r>
        <w:rPr>
          <w:rFonts w:hint="eastAsia" w:ascii="Arial" w:hAnsi="Arial" w:cs="Arial" w:eastAsiaTheme="minorEastAsia"/>
          <w:highlight w:val="none"/>
        </w:rPr>
        <w:t>, 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R5-240067</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 xml:space="preserve">Revised WID on UE Conformance - NB-IoT eMTC NTN, </w:t>
      </w:r>
      <w:r>
        <w:rPr>
          <w:rFonts w:hint="eastAsia" w:ascii="Arial" w:hAnsi="Arial" w:cs="Arial" w:eastAsiaTheme="minorEastAsia"/>
          <w:highlight w:val="none"/>
        </w:rPr>
        <w:t>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R5-241942</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 xml:space="preserve">Discussion on the closure of R18 IoT NTN UEConTest WI, </w:t>
      </w:r>
      <w:r>
        <w:rPr>
          <w:rFonts w:hint="eastAsia" w:ascii="Arial" w:hAnsi="Arial" w:cs="Arial" w:eastAsiaTheme="minorEastAsia"/>
          <w:highlight w:val="none"/>
        </w:rPr>
        <w:t>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R5-241791</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On the splitting of the NB-IoT NTN Frequency Error test cases, ROHDE &amp; SCHWARZ</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R5-241943</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Ephemeris definition for IoT NTN RRM neighbour cells, Keysight Technologies UK Ltd</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08</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R5-240075</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Update to common requirements of test equipment for IoT-NTN, CMCC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R5-241951</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 xml:space="preserve">Editorial correction of test environment for IoT NTN RF testing, </w:t>
      </w:r>
      <w:r>
        <w:rPr>
          <w:rFonts w:hint="eastAsia" w:ascii="Arial" w:hAnsi="Arial" w:cs="Arial" w:eastAsiaTheme="minorEastAsia"/>
          <w:highlight w:val="none"/>
          <w:lang w:eastAsia="zh-CN"/>
        </w:rPr>
        <w:t>ROHDE &amp; SCHWARZ</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R5-241952</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 xml:space="preserve">Updates to Test environment for eMTC NTN RRM testing, </w:t>
      </w:r>
      <w:r>
        <w:rPr>
          <w:rFonts w:hint="eastAsia" w:ascii="Arial" w:hAnsi="Arial" w:cs="Arial" w:eastAsiaTheme="minorEastAsia"/>
          <w:highlight w:val="none"/>
          <w:lang w:eastAsia="zh-CN"/>
        </w:rPr>
        <w:t>Keysight Technologies UK Ltd</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R5-242002</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 xml:space="preserve">Updates to Test environment for NB-IoT NTN RRM testing, </w:t>
      </w:r>
      <w:r>
        <w:rPr>
          <w:rFonts w:hint="eastAsia" w:ascii="Arial" w:hAnsi="Arial" w:cs="Arial" w:eastAsiaTheme="minorEastAsia"/>
          <w:highlight w:val="none"/>
          <w:lang w:eastAsia="zh-CN"/>
        </w:rPr>
        <w:t>Keysight Technologies UK Ltd</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R5-241793</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 xml:space="preserve">Common Test environment updates for IoT NTN RF, demod and RRM testing, </w:t>
      </w:r>
      <w:r>
        <w:rPr>
          <w:rFonts w:hint="eastAsia" w:ascii="Arial" w:hAnsi="Arial" w:cs="Arial" w:eastAsiaTheme="minorEastAsia"/>
          <w:highlight w:val="none"/>
          <w:lang w:eastAsia="zh-CN"/>
        </w:rPr>
        <w:t>Keysight Technologies UK Ltd</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R5-241558</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 xml:space="preserve">Correction to System information for NTN, </w:t>
      </w:r>
      <w:r>
        <w:rPr>
          <w:rFonts w:hint="eastAsia" w:ascii="Arial" w:hAnsi="Arial" w:cs="Arial" w:eastAsiaTheme="minorEastAsia"/>
          <w:highlight w:val="none"/>
          <w:lang w:eastAsia="zh-CN"/>
        </w:rPr>
        <w:t>MediaTek  Inc.</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21-2</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R5-241918</w:t>
      </w:r>
      <w:r>
        <w:rPr>
          <w:rFonts w:ascii="Arial" w:hAnsi="Arial" w:cs="Arial" w:eastAsiaTheme="minorEastAsia"/>
          <w:highlight w:val="none"/>
          <w:lang w:val="en-US"/>
        </w:rPr>
        <w:t xml:space="preserve"> </w:t>
      </w:r>
      <w:r>
        <w:rPr>
          <w:rFonts w:hint="eastAsia" w:ascii="Arial" w:hAnsi="Arial" w:cs="Arial" w:eastAsiaTheme="minorEastAsia"/>
          <w:highlight w:val="none"/>
        </w:rPr>
        <w:t>Update to R18 IoT NTN test cases applicability, CMCC, MediaTek, CAICT, Sporton, Keysight</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R5-241953</w:t>
      </w:r>
      <w:r>
        <w:rPr>
          <w:rFonts w:ascii="Arial" w:hAnsi="Arial" w:cs="Arial" w:eastAsiaTheme="minorEastAsia"/>
          <w:highlight w:val="none"/>
          <w:lang w:val="en-US"/>
        </w:rPr>
        <w:t xml:space="preserve"> </w:t>
      </w:r>
      <w:r>
        <w:rPr>
          <w:rFonts w:hint="eastAsia" w:ascii="Arial" w:hAnsi="Arial" w:cs="Arial" w:eastAsiaTheme="minorEastAsia"/>
          <w:highlight w:val="none"/>
        </w:rPr>
        <w:t>Aligning the applicability for NB-IoT NTN frequency error, ROHDE &amp; SCHWARZ</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21-3</w:t>
      </w:r>
      <w:r>
        <w:rPr>
          <w:rFonts w:hint="eastAsia" w:ascii="Arial" w:hAnsi="Arial" w:eastAsia="宋体" w:cs="Arial"/>
          <w:b/>
          <w:highlight w:val="none"/>
        </w:rPr>
        <w:t xml:space="preserve"> CRs</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R5-241794</w:t>
      </w:r>
      <w:r>
        <w:rPr>
          <w:rFonts w:ascii="Arial" w:hAnsi="Arial" w:cs="Arial" w:eastAsiaTheme="minorEastAsia"/>
          <w:highlight w:val="none"/>
          <w:lang w:val="en-US"/>
        </w:rPr>
        <w:t xml:space="preserve"> </w:t>
      </w:r>
      <w:r>
        <w:rPr>
          <w:rFonts w:hint="eastAsia" w:ascii="Arial" w:hAnsi="Arial" w:cs="Arial" w:eastAsiaTheme="minorEastAsia"/>
          <w:highlight w:val="none"/>
        </w:rPr>
        <w:t>Editorial corrections for NB-IoT NTN TA cases and RLM cases,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R5-240024</w:t>
      </w:r>
      <w:r>
        <w:rPr>
          <w:rFonts w:ascii="Arial" w:hAnsi="Arial" w:cs="Arial" w:eastAsiaTheme="minorEastAsia"/>
          <w:highlight w:val="none"/>
          <w:lang w:val="en-US"/>
        </w:rPr>
        <w:t xml:space="preserve"> </w:t>
      </w:r>
      <w:r>
        <w:rPr>
          <w:rFonts w:hint="eastAsia" w:ascii="Arial" w:hAnsi="Arial" w:cs="Arial" w:eastAsiaTheme="minorEastAsia"/>
          <w:highlight w:val="none"/>
        </w:rPr>
        <w:t>Update NB-IoT NTN UL timing accuracy cases,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R5-240029</w:t>
      </w:r>
      <w:r>
        <w:rPr>
          <w:rFonts w:ascii="Arial" w:hAnsi="Arial" w:cs="Arial" w:eastAsiaTheme="minorEastAsia"/>
          <w:highlight w:val="none"/>
          <w:lang w:val="en-US"/>
        </w:rPr>
        <w:t xml:space="preserve"> </w:t>
      </w:r>
      <w:r>
        <w:rPr>
          <w:rFonts w:hint="eastAsia" w:ascii="Arial" w:hAnsi="Arial" w:cs="Arial" w:eastAsiaTheme="minorEastAsia"/>
          <w:highlight w:val="none"/>
        </w:rPr>
        <w:t>Update NB-IoT NTN UL timing accuracy cases TT in Annex,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R5-242004</w:t>
      </w:r>
      <w:r>
        <w:rPr>
          <w:rFonts w:ascii="Arial" w:hAnsi="Arial" w:cs="Arial" w:eastAsiaTheme="minorEastAsia"/>
          <w:highlight w:val="none"/>
          <w:lang w:val="en-US"/>
        </w:rPr>
        <w:t xml:space="preserve"> </w:t>
      </w:r>
      <w:r>
        <w:rPr>
          <w:rFonts w:hint="eastAsia" w:ascii="Arial" w:hAnsi="Arial" w:cs="Arial" w:eastAsiaTheme="minorEastAsia"/>
          <w:highlight w:val="none"/>
        </w:rPr>
        <w:t>Addition and correction to the NTN related abbreviations in 36.521-3,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R5-240211</w:t>
      </w:r>
      <w:r>
        <w:rPr>
          <w:rFonts w:ascii="Arial" w:hAnsi="Arial" w:cs="Arial" w:eastAsiaTheme="minorEastAsia"/>
          <w:highlight w:val="none"/>
          <w:lang w:val="en-US"/>
        </w:rPr>
        <w:t xml:space="preserve"> </w:t>
      </w:r>
      <w:r>
        <w:rPr>
          <w:rFonts w:hint="eastAsia" w:ascii="Arial" w:hAnsi="Arial" w:cs="Arial" w:eastAsiaTheme="minorEastAsia"/>
          <w:highlight w:val="none"/>
        </w:rPr>
        <w:t>Update TT value to message content and test requirement of RA cases, MediaTek (Hefei)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R5-241795</w:t>
      </w:r>
      <w:r>
        <w:rPr>
          <w:rFonts w:ascii="Arial" w:hAnsi="Arial" w:cs="Arial" w:eastAsiaTheme="minorEastAsia"/>
          <w:highlight w:val="none"/>
          <w:lang w:val="en-US"/>
        </w:rPr>
        <w:t xml:space="preserve"> </w:t>
      </w:r>
      <w:r>
        <w:rPr>
          <w:rFonts w:hint="eastAsia" w:ascii="Arial" w:hAnsi="Arial" w:cs="Arial" w:eastAsiaTheme="minorEastAsia"/>
          <w:highlight w:val="none"/>
        </w:rPr>
        <w:t>Editorial removal to editors notes of DCQR cases, MediaTek (Hefei) Inc., Rohde &amp; Schwarz</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R5-240219</w:t>
      </w:r>
      <w:r>
        <w:rPr>
          <w:rFonts w:ascii="Arial" w:hAnsi="Arial" w:cs="Arial" w:eastAsiaTheme="minorEastAsia"/>
          <w:highlight w:val="none"/>
          <w:lang w:val="en-US"/>
        </w:rPr>
        <w:t xml:space="preserve"> </w:t>
      </w:r>
      <w:r>
        <w:rPr>
          <w:rFonts w:hint="eastAsia" w:ascii="Arial" w:hAnsi="Arial" w:cs="Arial" w:eastAsiaTheme="minorEastAsia"/>
          <w:highlight w:val="none"/>
        </w:rPr>
        <w:t>Update cell specific parameters for NB-IoT NTN RA test cases, MediaTek Beijing Inc.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R5-240615</w:t>
      </w:r>
      <w:r>
        <w:rPr>
          <w:rFonts w:ascii="Arial" w:hAnsi="Arial" w:cs="Arial" w:eastAsiaTheme="minorEastAsia"/>
          <w:highlight w:val="none"/>
          <w:lang w:val="en-US"/>
        </w:rPr>
        <w:t xml:space="preserve"> </w:t>
      </w:r>
      <w:r>
        <w:rPr>
          <w:rFonts w:hint="eastAsia" w:ascii="Arial" w:hAnsi="Arial" w:cs="Arial" w:eastAsiaTheme="minorEastAsia"/>
          <w:highlight w:val="none"/>
        </w:rPr>
        <w:t>NTN NB-IoT - Message exception correction in RRM test case 13.1.1.2, Keysight Technologies UK Ltd</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R5-240922</w:t>
      </w:r>
      <w:r>
        <w:rPr>
          <w:rFonts w:ascii="Arial" w:hAnsi="Arial" w:cs="Arial" w:eastAsiaTheme="minorEastAsia"/>
          <w:highlight w:val="none"/>
          <w:lang w:val="en-US"/>
        </w:rPr>
        <w:t xml:space="preserve"> </w:t>
      </w:r>
      <w:r>
        <w:rPr>
          <w:rFonts w:hint="eastAsia" w:ascii="Arial" w:hAnsi="Arial" w:cs="Arial" w:eastAsiaTheme="minorEastAsia"/>
          <w:highlight w:val="none"/>
        </w:rPr>
        <w:t>Editorial update for UE timing advance for satellite access TC 13.4.2.2, Keysight Technologies UK Ltd</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R5-242003</w:t>
      </w:r>
      <w:r>
        <w:rPr>
          <w:rFonts w:ascii="Arial" w:hAnsi="Arial" w:cs="Arial" w:eastAsiaTheme="minorEastAsia"/>
          <w:highlight w:val="none"/>
          <w:lang w:val="en-US"/>
        </w:rPr>
        <w:t xml:space="preserve"> </w:t>
      </w:r>
      <w:r>
        <w:rPr>
          <w:rFonts w:hint="eastAsia" w:ascii="Arial" w:hAnsi="Arial" w:cs="Arial" w:eastAsiaTheme="minorEastAsia"/>
          <w:highlight w:val="none"/>
        </w:rPr>
        <w:t>Correction to UE timing advance for satellite access TC 13.4.2.1, Keysight Technologies UK Ltd</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R5-241244</w:t>
      </w:r>
      <w:r>
        <w:rPr>
          <w:rFonts w:ascii="Arial" w:hAnsi="Arial" w:cs="Arial" w:eastAsiaTheme="minorEastAsia"/>
          <w:highlight w:val="none"/>
          <w:lang w:val="en-US"/>
        </w:rPr>
        <w:t xml:space="preserve"> </w:t>
      </w:r>
      <w:r>
        <w:rPr>
          <w:rFonts w:hint="eastAsia" w:ascii="Arial" w:hAnsi="Arial" w:cs="Arial" w:eastAsiaTheme="minorEastAsia"/>
          <w:highlight w:val="none"/>
        </w:rPr>
        <w:t>Core Spec alignment for s-IntraSearchP IE for Re-selection NB-IOT NTN RRM TCs, Rohde &amp; Schwarz</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R5-241245</w:t>
      </w:r>
      <w:r>
        <w:rPr>
          <w:rFonts w:ascii="Arial" w:hAnsi="Arial" w:cs="Arial" w:eastAsiaTheme="minorEastAsia"/>
          <w:highlight w:val="none"/>
          <w:lang w:val="en-US"/>
        </w:rPr>
        <w:t xml:space="preserve"> </w:t>
      </w:r>
      <w:r>
        <w:rPr>
          <w:rFonts w:hint="eastAsia" w:ascii="Arial" w:hAnsi="Arial" w:cs="Arial" w:eastAsiaTheme="minorEastAsia"/>
          <w:highlight w:val="none"/>
        </w:rPr>
        <w:t>Re-Addition of omitted change for RRM test case 13.1.1.2, Rohde &amp; Schwarz</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R5-24124</w:t>
      </w:r>
      <w:r>
        <w:rPr>
          <w:rFonts w:hint="eastAsia" w:ascii="Arial" w:hAnsi="Arial" w:cs="Arial" w:eastAsiaTheme="minorEastAsia"/>
          <w:highlight w:val="none"/>
          <w:lang w:val="en-US" w:eastAsia="zh-CN"/>
        </w:rPr>
        <w:t>6</w:t>
      </w:r>
      <w:r>
        <w:rPr>
          <w:rFonts w:ascii="Arial" w:hAnsi="Arial" w:cs="Arial" w:eastAsiaTheme="minorEastAsia"/>
          <w:highlight w:val="none"/>
          <w:lang w:val="en-US"/>
        </w:rPr>
        <w:t xml:space="preserve"> </w:t>
      </w:r>
      <w:r>
        <w:rPr>
          <w:rFonts w:hint="eastAsia" w:ascii="Arial" w:hAnsi="Arial" w:cs="Arial" w:eastAsiaTheme="minorEastAsia"/>
          <w:highlight w:val="none"/>
        </w:rPr>
        <w:t>Editorial corrections t</w:t>
      </w:r>
      <w:bookmarkStart w:id="0" w:name="_GoBack"/>
      <w:bookmarkEnd w:id="0"/>
      <w:r>
        <w:rPr>
          <w:rFonts w:hint="eastAsia" w:ascii="Arial" w:hAnsi="Arial" w:cs="Arial" w:eastAsiaTheme="minorEastAsia"/>
          <w:highlight w:val="none"/>
        </w:rPr>
        <w:t>o NB-IOT NTN RRM Reselection test cases, Rohde &amp; Schwarz</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R5-241796</w:t>
      </w:r>
      <w:r>
        <w:rPr>
          <w:rFonts w:ascii="Arial" w:hAnsi="Arial" w:cs="Arial" w:eastAsiaTheme="minorEastAsia"/>
          <w:highlight w:val="none"/>
          <w:lang w:val="en-US"/>
        </w:rPr>
        <w:t xml:space="preserve"> </w:t>
      </w:r>
      <w:r>
        <w:rPr>
          <w:rFonts w:hint="eastAsia" w:ascii="Arial" w:hAnsi="Arial" w:cs="Arial" w:eastAsiaTheme="minorEastAsia"/>
          <w:highlight w:val="none"/>
        </w:rPr>
        <w:t>Editorial corrections to NB-IOT NTN RRM TCs, Rohde &amp; Schwarz</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R5-241248</w:t>
      </w:r>
      <w:r>
        <w:rPr>
          <w:rFonts w:ascii="Arial" w:hAnsi="Arial" w:cs="Arial" w:eastAsiaTheme="minorEastAsia"/>
          <w:highlight w:val="none"/>
          <w:lang w:val="en-US"/>
        </w:rPr>
        <w:t xml:space="preserve"> </w:t>
      </w:r>
      <w:r>
        <w:rPr>
          <w:rFonts w:hint="eastAsia" w:ascii="Arial" w:hAnsi="Arial" w:cs="Arial" w:eastAsiaTheme="minorEastAsia"/>
          <w:highlight w:val="none"/>
        </w:rPr>
        <w:t>Core Spec alignment for RRM NB-IOT NTN test cases, Rohde &amp; Schwarz</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R5-2412</w:t>
      </w:r>
      <w:r>
        <w:rPr>
          <w:rFonts w:hint="eastAsia" w:ascii="Arial" w:hAnsi="Arial" w:cs="Arial" w:eastAsiaTheme="minorEastAsia"/>
          <w:highlight w:val="none"/>
          <w:lang w:val="en-US" w:eastAsia="zh-CN"/>
        </w:rPr>
        <w:t>50</w:t>
      </w:r>
      <w:r>
        <w:rPr>
          <w:rFonts w:ascii="Arial" w:hAnsi="Arial" w:cs="Arial" w:eastAsiaTheme="minorEastAsia"/>
          <w:highlight w:val="none"/>
          <w:lang w:val="en-US"/>
        </w:rPr>
        <w:t xml:space="preserve"> </w:t>
      </w:r>
      <w:r>
        <w:rPr>
          <w:rFonts w:hint="eastAsia" w:ascii="Arial" w:hAnsi="Arial" w:cs="Arial" w:eastAsiaTheme="minorEastAsia"/>
          <w:highlight w:val="none"/>
        </w:rPr>
        <w:t>Core Spec alignment for RRM NB-IOT NTN UL Timing test cases, Rohde &amp; Schwarz</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R5-241385</w:t>
      </w:r>
      <w:r>
        <w:rPr>
          <w:rFonts w:ascii="Arial" w:hAnsi="Arial" w:cs="Arial" w:eastAsiaTheme="minorEastAsia"/>
          <w:highlight w:val="none"/>
          <w:lang w:val="en-US"/>
        </w:rPr>
        <w:t xml:space="preserve"> </w:t>
      </w:r>
      <w:r>
        <w:rPr>
          <w:rFonts w:hint="eastAsia" w:ascii="Arial" w:hAnsi="Arial" w:cs="Arial" w:eastAsiaTheme="minorEastAsia"/>
          <w:highlight w:val="none"/>
        </w:rPr>
        <w:t>Channel quality reporting updates, Keysight Technologies UK Ltd</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R5-241386</w:t>
      </w:r>
      <w:r>
        <w:rPr>
          <w:rFonts w:ascii="Arial" w:hAnsi="Arial" w:cs="Arial" w:eastAsiaTheme="minorEastAsia"/>
          <w:highlight w:val="none"/>
          <w:lang w:val="en-US"/>
        </w:rPr>
        <w:t xml:space="preserve"> </w:t>
      </w:r>
      <w:r>
        <w:rPr>
          <w:rFonts w:hint="eastAsia" w:ascii="Arial" w:hAnsi="Arial" w:cs="Arial" w:eastAsiaTheme="minorEastAsia"/>
          <w:highlight w:val="none"/>
        </w:rPr>
        <w:t>Radio Link Monitoring updates, Keysight Technologies UK Ltd</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w:t>
      </w:r>
      <w:r>
        <w:rPr>
          <w:rFonts w:hint="eastAsia" w:ascii="Arial" w:hAnsi="Arial" w:cs="Arial" w:eastAsiaTheme="minorEastAsia"/>
          <w:highlight w:val="none"/>
          <w:lang w:val="en-US" w:eastAsia="zh-CN"/>
        </w:rPr>
        <w:t>1676</w:t>
      </w:r>
      <w:r>
        <w:rPr>
          <w:rFonts w:ascii="Arial" w:hAnsi="Arial" w:cs="Arial" w:eastAsiaTheme="minorEastAsia"/>
          <w:highlight w:val="none"/>
          <w:lang w:val="en-US"/>
        </w:rPr>
        <w:t xml:space="preserve"> </w:t>
      </w:r>
      <w:r>
        <w:rPr>
          <w:rFonts w:hint="eastAsia" w:ascii="Arial" w:hAnsi="Arial" w:cs="Arial" w:eastAsiaTheme="minorEastAsia"/>
          <w:highlight w:val="none"/>
        </w:rPr>
        <w:t>Annex A.3 update, Keysight Technologies UK Ltd</w:t>
      </w:r>
    </w:p>
    <w:p>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.521-</w:t>
      </w:r>
      <w:r>
        <w:rPr>
          <w:rFonts w:ascii="Arial" w:hAnsi="Arial" w:eastAsia="宋体" w:cs="Arial"/>
          <w:b/>
          <w:highlight w:val="none"/>
          <w:lang w:val="en-US"/>
        </w:rPr>
        <w:t>4</w:t>
      </w:r>
      <w:r>
        <w:rPr>
          <w:rFonts w:hint="eastAsia" w:ascii="Arial" w:hAnsi="Arial" w:eastAsia="宋体" w:cs="Arial"/>
          <w:b/>
          <w:highlight w:val="none"/>
        </w:rPr>
        <w:t xml:space="preserve"> </w:t>
      </w:r>
      <w:r>
        <w:rPr>
          <w:rFonts w:ascii="Arial" w:hAnsi="Arial" w:eastAsia="宋体" w:cs="Arial"/>
          <w:b/>
          <w:highlight w:val="none"/>
          <w:lang w:val="en-US"/>
        </w:rPr>
        <w:t>p</w:t>
      </w:r>
      <w:r>
        <w:rPr>
          <w:rFonts w:hint="eastAsia" w:ascii="Arial" w:hAnsi="Arial" w:eastAsia="宋体" w:cs="Arial"/>
          <w:b/>
          <w:highlight w:val="none"/>
        </w:rPr>
        <w:t>CRs</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R5-241797</w:t>
      </w:r>
      <w:r>
        <w:rPr>
          <w:rFonts w:ascii="Arial" w:hAnsi="Arial" w:cs="Arial" w:eastAsiaTheme="minorEastAsia"/>
          <w:highlight w:val="none"/>
          <w:lang w:val="en-US"/>
        </w:rPr>
        <w:t xml:space="preserve"> </w:t>
      </w:r>
      <w:r>
        <w:rPr>
          <w:rFonts w:hint="eastAsia" w:ascii="Arial" w:hAnsi="Arial" w:cs="Arial" w:eastAsiaTheme="minorEastAsia"/>
          <w:highlight w:val="none"/>
        </w:rPr>
        <w:t>Editorial correction to the wrong table number in 36.521-4 annex C,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R5-241798</w:t>
      </w:r>
      <w:r>
        <w:rPr>
          <w:rFonts w:ascii="Arial" w:hAnsi="Arial" w:cs="Arial" w:eastAsiaTheme="minorEastAsia"/>
          <w:highlight w:val="none"/>
          <w:lang w:val="en-US"/>
        </w:rPr>
        <w:t xml:space="preserve"> </w:t>
      </w:r>
      <w:r>
        <w:rPr>
          <w:rFonts w:hint="eastAsia" w:ascii="Arial" w:hAnsi="Arial" w:cs="Arial" w:eastAsiaTheme="minorEastAsia"/>
          <w:highlight w:val="none"/>
        </w:rPr>
        <w:t>Update of Annex F Measurement Uncertainties in TS 36.521-4, CMCC,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R5-241804</w:t>
      </w:r>
      <w:r>
        <w:rPr>
          <w:rFonts w:ascii="Arial" w:hAnsi="Arial" w:cs="Arial" w:eastAsiaTheme="minorEastAsia"/>
          <w:highlight w:val="none"/>
          <w:lang w:val="en-US"/>
        </w:rPr>
        <w:t xml:space="preserve"> </w:t>
      </w:r>
      <w:r>
        <w:rPr>
          <w:rFonts w:hint="eastAsia" w:ascii="Arial" w:hAnsi="Arial" w:cs="Arial" w:eastAsiaTheme="minorEastAsia"/>
          <w:highlight w:val="none"/>
        </w:rPr>
        <w:t>Clear-up CR for Editor notes of applicability, CMCC, MediaTek, CAICT, Sporton, Keysight</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R5-241799</w:t>
      </w:r>
      <w:r>
        <w:rPr>
          <w:rFonts w:ascii="Arial" w:hAnsi="Arial" w:cs="Arial" w:eastAsiaTheme="minorEastAsia"/>
          <w:highlight w:val="none"/>
          <w:lang w:val="en-US"/>
        </w:rPr>
        <w:t xml:space="preserve"> </w:t>
      </w:r>
      <w:r>
        <w:rPr>
          <w:rFonts w:hint="eastAsia" w:ascii="Arial" w:hAnsi="Arial" w:cs="Arial" w:eastAsiaTheme="minorEastAsia"/>
          <w:highlight w:val="none"/>
        </w:rPr>
        <w:t>Editorial correction to the wrong citation number,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R5-241800</w:t>
      </w:r>
      <w:r>
        <w:rPr>
          <w:rFonts w:ascii="Arial" w:hAnsi="Arial" w:cs="Arial" w:eastAsiaTheme="minorEastAsia"/>
          <w:highlight w:val="none"/>
          <w:lang w:val="en-US"/>
        </w:rPr>
        <w:t xml:space="preserve"> </w:t>
      </w:r>
      <w:r>
        <w:rPr>
          <w:rFonts w:hint="eastAsia" w:ascii="Arial" w:hAnsi="Arial" w:cs="Arial" w:eastAsiaTheme="minorEastAsia"/>
          <w:highlight w:val="none"/>
        </w:rPr>
        <w:t>Editorial alignment for the test applicability,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R5-241801</w:t>
      </w:r>
      <w:r>
        <w:rPr>
          <w:rFonts w:ascii="Arial" w:hAnsi="Arial" w:cs="Arial" w:eastAsiaTheme="minorEastAsia"/>
          <w:highlight w:val="none"/>
          <w:lang w:val="en-US"/>
        </w:rPr>
        <w:t xml:space="preserve"> </w:t>
      </w:r>
      <w:r>
        <w:rPr>
          <w:rFonts w:hint="eastAsia" w:ascii="Arial" w:hAnsi="Arial" w:cs="Arial" w:eastAsiaTheme="minorEastAsia"/>
          <w:highlight w:val="none"/>
        </w:rPr>
        <w:t>Update of reference measurement channels in Annex A.3.12,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R5-242020</w:t>
      </w:r>
      <w:r>
        <w:rPr>
          <w:rFonts w:ascii="Arial" w:hAnsi="Arial" w:cs="Arial" w:eastAsiaTheme="minorEastAsia"/>
          <w:highlight w:val="none"/>
          <w:lang w:val="en-US"/>
        </w:rPr>
        <w:t xml:space="preserve"> </w:t>
      </w:r>
      <w:r>
        <w:rPr>
          <w:rFonts w:hint="eastAsia" w:ascii="Arial" w:hAnsi="Arial" w:cs="Arial" w:eastAsiaTheme="minorEastAsia"/>
          <w:highlight w:val="none"/>
        </w:rPr>
        <w:t>Editorial correction to Additional spurious emissions TCS, MediaTek Beijing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R5-240144</w:t>
      </w:r>
      <w:r>
        <w:rPr>
          <w:rFonts w:ascii="Arial" w:hAnsi="Arial" w:cs="Arial" w:eastAsiaTheme="minorEastAsia"/>
          <w:highlight w:val="none"/>
          <w:lang w:val="en-US"/>
        </w:rPr>
        <w:t xml:space="preserve"> </w:t>
      </w:r>
      <w:r>
        <w:rPr>
          <w:rFonts w:hint="eastAsia" w:ascii="Arial" w:hAnsi="Arial" w:cs="Arial" w:eastAsiaTheme="minorEastAsia"/>
          <w:highlight w:val="none"/>
        </w:rPr>
        <w:t>Update content of Statistical testing of Performance Requirements with probability of misdetection in Annex G.4,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R5-240145</w:t>
      </w:r>
      <w:r>
        <w:rPr>
          <w:rFonts w:ascii="Arial" w:hAnsi="Arial" w:cs="Arial" w:eastAsiaTheme="minorEastAsia"/>
          <w:highlight w:val="none"/>
          <w:lang w:val="en-US"/>
        </w:rPr>
        <w:t xml:space="preserve"> </w:t>
      </w:r>
      <w:r>
        <w:rPr>
          <w:rFonts w:hint="eastAsia" w:ascii="Arial" w:hAnsi="Arial" w:cs="Arial" w:eastAsiaTheme="minorEastAsia"/>
          <w:highlight w:val="none"/>
        </w:rPr>
        <w:t>Update TT value to NTN demod cases,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R5-242005</w:t>
      </w:r>
      <w:r>
        <w:rPr>
          <w:rFonts w:ascii="Arial" w:hAnsi="Arial" w:cs="Arial" w:eastAsiaTheme="minorEastAsia"/>
          <w:highlight w:val="none"/>
          <w:lang w:val="en-US"/>
        </w:rPr>
        <w:t xml:space="preserve"> </w:t>
      </w:r>
      <w:r>
        <w:rPr>
          <w:rFonts w:hint="eastAsia" w:ascii="Arial" w:hAnsi="Arial" w:cs="Arial" w:eastAsiaTheme="minorEastAsia"/>
          <w:highlight w:val="none"/>
        </w:rPr>
        <w:t>Addition and correction to the NTN related abbreviations in 36.521-4, MediaTek (Hefei)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R5-240862</w:t>
      </w:r>
      <w:r>
        <w:rPr>
          <w:rFonts w:ascii="Arial" w:hAnsi="Arial" w:cs="Arial" w:eastAsiaTheme="minorEastAsia"/>
          <w:highlight w:val="none"/>
          <w:lang w:val="en-US"/>
        </w:rPr>
        <w:t xml:space="preserve"> </w:t>
      </w:r>
      <w:r>
        <w:rPr>
          <w:rFonts w:hint="eastAsia" w:ascii="Arial" w:hAnsi="Arial" w:cs="Arial" w:eastAsiaTheme="minorEastAsia"/>
          <w:highlight w:val="none"/>
        </w:rPr>
        <w:t>Clarification on NPDSCH repetitions for Demod NB-IoT NTN test cases, Keysight Technologies</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R5-241954</w:t>
      </w:r>
      <w:r>
        <w:rPr>
          <w:rFonts w:ascii="Arial" w:hAnsi="Arial" w:cs="Arial" w:eastAsiaTheme="minorEastAsia"/>
          <w:highlight w:val="none"/>
          <w:lang w:val="en-US"/>
        </w:rPr>
        <w:t xml:space="preserve"> </w:t>
      </w:r>
      <w:r>
        <w:rPr>
          <w:rFonts w:hint="eastAsia" w:ascii="Arial" w:hAnsi="Arial" w:cs="Arial" w:eastAsiaTheme="minorEastAsia"/>
          <w:highlight w:val="none"/>
        </w:rPr>
        <w:t>Splitting the NB-IoT NTN frequency error test case, ROHDE &amp; SCHWARZ,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R5-242006</w:t>
      </w:r>
      <w:r>
        <w:rPr>
          <w:rFonts w:ascii="Arial" w:hAnsi="Arial" w:cs="Arial" w:eastAsiaTheme="minorEastAsia"/>
          <w:highlight w:val="none"/>
          <w:lang w:val="en-US"/>
        </w:rPr>
        <w:t xml:space="preserve"> </w:t>
      </w:r>
      <w:r>
        <w:rPr>
          <w:rFonts w:hint="eastAsia" w:ascii="Arial" w:hAnsi="Arial" w:cs="Arial" w:eastAsiaTheme="minorEastAsia"/>
          <w:highlight w:val="none"/>
        </w:rPr>
        <w:t>UL RMCs updates for IoT NTN, Keysight Technologies UK Ltd</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R5-241387</w:t>
      </w:r>
      <w:r>
        <w:rPr>
          <w:rFonts w:ascii="Arial" w:hAnsi="Arial" w:cs="Arial" w:eastAsiaTheme="minorEastAsia"/>
          <w:highlight w:val="none"/>
          <w:lang w:val="en-US"/>
        </w:rPr>
        <w:t xml:space="preserve"> </w:t>
      </w:r>
      <w:r>
        <w:rPr>
          <w:rFonts w:hint="eastAsia" w:ascii="Arial" w:hAnsi="Arial" w:cs="Arial" w:eastAsiaTheme="minorEastAsia"/>
          <w:highlight w:val="none"/>
        </w:rPr>
        <w:t>Updates to PDSCH RMC, Keysight Technologies UK Ltd</w:t>
      </w:r>
    </w:p>
    <w:p>
      <w:pPr>
        <w:tabs>
          <w:tab w:val="left" w:pos="567"/>
        </w:tabs>
        <w:overflowPunct/>
        <w:autoSpaceDE/>
        <w:autoSpaceDN/>
        <w:snapToGrid w:val="0"/>
        <w:spacing w:after="0"/>
        <w:textAlignment w:val="auto"/>
        <w:rPr>
          <w:rFonts w:ascii="Arial" w:hAnsi="Arial" w:cs="Arial" w:eastAsiaTheme="minorEastAsia"/>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w:t>
      </w:r>
      <w:r>
        <w:rPr>
          <w:rFonts w:ascii="Arial" w:hAnsi="Arial" w:eastAsia="宋体" w:cs="Arial"/>
          <w:b/>
          <w:highlight w:val="none"/>
          <w:lang w:val="en-US"/>
        </w:rPr>
        <w:t>90</w:t>
      </w:r>
      <w:r>
        <w:rPr>
          <w:rFonts w:hint="default" w:ascii="Arial" w:hAnsi="Arial" w:eastAsia="宋体" w:cs="Arial"/>
          <w:b/>
          <w:highlight w:val="none"/>
          <w:lang w:val="en-US"/>
        </w:rPr>
        <w:t>3</w:t>
      </w:r>
      <w:r>
        <w:rPr>
          <w:rFonts w:hint="eastAsia" w:ascii="Arial" w:hAnsi="Arial" w:eastAsia="宋体" w:cs="Arial"/>
          <w:b/>
          <w:highlight w:val="none"/>
        </w:rPr>
        <w:t xml:space="preserve"> CRs</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R5-240025</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Update NB-IoT NTN UL timing accuracy cases TT</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MediaTek Beijing Inc.</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R5-240217</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of IoT NTN test cases grouping</w:t>
      </w:r>
      <w:r>
        <w:rPr>
          <w:rFonts w:ascii="Arial" w:hAnsi="Arial" w:cs="Arial" w:eastAsiaTheme="minorEastAsia"/>
          <w:highlight w:val="none"/>
          <w:lang w:val="en-US"/>
        </w:rPr>
        <w:t>,</w:t>
      </w:r>
      <w:r>
        <w:rPr>
          <w:rFonts w:hint="eastAsia" w:ascii="Arial" w:hAnsi="Arial" w:cs="Arial" w:eastAsiaTheme="minorEastAsia"/>
          <w:highlight w:val="none"/>
          <w:lang w:val="en-US"/>
        </w:rPr>
        <w:t xml:space="preserve"> MediaTek (Hefei) Inc.</w:t>
      </w:r>
    </w:p>
    <w:p>
      <w:pPr>
        <w:numPr>
          <w:ilvl w:val="0"/>
          <w:numId w:val="0"/>
        </w:numPr>
        <w:tabs>
          <w:tab w:val="left" w:pos="567"/>
        </w:tabs>
        <w:overflowPunct/>
        <w:autoSpaceDE/>
        <w:autoSpaceDN/>
        <w:adjustRightInd w:val="0"/>
        <w:snapToGrid w:val="0"/>
        <w:spacing w:after="0"/>
        <w:textAlignment w:val="auto"/>
        <w:rPr>
          <w:rFonts w:ascii="Arial" w:hAnsi="Arial" w:cs="Arial" w:eastAsiaTheme="minorEastAsia"/>
          <w:highlight w:val="yellow"/>
          <w:lang w:val="en-US"/>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w:t>
      </w:r>
      <w:r>
        <w:rPr>
          <w:rFonts w:ascii="Arial" w:hAnsi="Arial" w:eastAsia="宋体" w:cs="Arial"/>
          <w:b/>
          <w:highlight w:val="none"/>
          <w:lang w:val="en-US"/>
        </w:rPr>
        <w:t>90</w:t>
      </w:r>
      <w:r>
        <w:rPr>
          <w:rFonts w:hint="eastAsia" w:ascii="Arial" w:hAnsi="Arial" w:eastAsia="宋体" w:cs="Arial"/>
          <w:b/>
          <w:highlight w:val="none"/>
          <w:lang w:val="en-US" w:eastAsia="zh-CN"/>
        </w:rPr>
        <w:t>4</w:t>
      </w:r>
      <w:r>
        <w:rPr>
          <w:rFonts w:hint="eastAsia" w:ascii="Arial" w:hAnsi="Arial" w:eastAsia="宋体" w:cs="Arial"/>
          <w:b/>
          <w:highlight w:val="none"/>
        </w:rPr>
        <w:t xml:space="preserve"> CRs</w:t>
      </w:r>
    </w:p>
    <w:p>
      <w:pPr>
        <w:numPr>
          <w:ilvl w:val="0"/>
          <w:numId w:val="12"/>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R5-241803</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Update of grouping of test cases defined in TS 36.521-4</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CMCC, MediaTek</w:t>
      </w:r>
    </w:p>
    <w:p>
      <w:pPr>
        <w:numPr>
          <w:ilvl w:val="0"/>
          <w:numId w:val="0"/>
        </w:numPr>
        <w:tabs>
          <w:tab w:val="left" w:pos="567"/>
        </w:tabs>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w:t>
      </w:r>
      <w:r>
        <w:rPr>
          <w:rFonts w:ascii="Arial" w:hAnsi="Arial" w:eastAsia="宋体" w:cs="Arial"/>
          <w:b/>
          <w:highlight w:val="none"/>
          <w:lang w:val="en-US"/>
        </w:rPr>
        <w:t>905</w:t>
      </w:r>
      <w:r>
        <w:rPr>
          <w:rFonts w:hint="eastAsia" w:ascii="Arial" w:hAnsi="Arial" w:eastAsia="宋体" w:cs="Arial"/>
          <w:b/>
          <w:highlight w:val="none"/>
        </w:rPr>
        <w:t xml:space="preserve"> CRs</w:t>
      </w:r>
    </w:p>
    <w:p>
      <w:pPr>
        <w:numPr>
          <w:ilvl w:val="0"/>
          <w:numId w:val="13"/>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R5-241955</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Description of ephemeris calculation process</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Keysight Technologies UK Ltd, Thales</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A44658"/>
    <w:multiLevelType w:val="singleLevel"/>
    <w:tmpl w:val="9BA44658"/>
    <w:lvl w:ilvl="0" w:tentative="0">
      <w:start w:val="1"/>
      <w:numFmt w:val="decimal"/>
      <w:lvlText w:val="[%1]"/>
      <w:lvlJc w:val="left"/>
      <w:rPr>
        <w:b w:val="0"/>
      </w:rPr>
    </w:lvl>
  </w:abstractNum>
  <w:abstractNum w:abstractNumId="1">
    <w:nsid w:val="B4452FAB"/>
    <w:multiLevelType w:val="singleLevel"/>
    <w:tmpl w:val="B4452FAB"/>
    <w:lvl w:ilvl="0" w:tentative="0">
      <w:start w:val="1"/>
      <w:numFmt w:val="decimal"/>
      <w:lvlText w:val="[%1]"/>
      <w:lvlJc w:val="left"/>
      <w:rPr>
        <w:b w:val="0"/>
      </w:rPr>
    </w:lvl>
  </w:abstractNum>
  <w:abstractNum w:abstractNumId="2">
    <w:nsid w:val="BBB2A7C3"/>
    <w:multiLevelType w:val="singleLevel"/>
    <w:tmpl w:val="BBB2A7C3"/>
    <w:lvl w:ilvl="0" w:tentative="0">
      <w:start w:val="1"/>
      <w:numFmt w:val="decimal"/>
      <w:lvlText w:val="[%1]"/>
      <w:lvlJc w:val="left"/>
      <w:rPr>
        <w:b w:val="0"/>
      </w:rPr>
    </w:lvl>
  </w:abstractNum>
  <w:abstractNum w:abstractNumId="3">
    <w:nsid w:val="CB4F2797"/>
    <w:multiLevelType w:val="singleLevel"/>
    <w:tmpl w:val="CB4F2797"/>
    <w:lvl w:ilvl="0" w:tentative="0">
      <w:start w:val="1"/>
      <w:numFmt w:val="decimal"/>
      <w:lvlText w:val="[%1]"/>
      <w:lvlJc w:val="left"/>
      <w:rPr>
        <w:b w:val="0"/>
      </w:rPr>
    </w:lvl>
  </w:abstractNum>
  <w:abstractNum w:abstractNumId="4">
    <w:nsid w:val="E6C72CB5"/>
    <w:multiLevelType w:val="singleLevel"/>
    <w:tmpl w:val="E6C72CB5"/>
    <w:lvl w:ilvl="0" w:tentative="0">
      <w:start w:val="1"/>
      <w:numFmt w:val="decimal"/>
      <w:lvlText w:val="[%1]"/>
      <w:lvlJc w:val="left"/>
      <w:rPr>
        <w:b w:val="0"/>
      </w:rPr>
    </w:lvl>
  </w:abstractNum>
  <w:abstractNum w:abstractNumId="5">
    <w:nsid w:val="FCA84EEE"/>
    <w:multiLevelType w:val="singleLevel"/>
    <w:tmpl w:val="FCA84EEE"/>
    <w:lvl w:ilvl="0" w:tentative="0">
      <w:start w:val="1"/>
      <w:numFmt w:val="decimal"/>
      <w:lvlText w:val="[%1]"/>
      <w:lvlJc w:val="left"/>
      <w:rPr>
        <w:b w:val="0"/>
      </w:rPr>
    </w:lvl>
  </w:abstractNum>
  <w:abstractNum w:abstractNumId="6">
    <w:nsid w:val="0D84CCCC"/>
    <w:multiLevelType w:val="singleLevel"/>
    <w:tmpl w:val="0D84CCCC"/>
    <w:lvl w:ilvl="0" w:tentative="0">
      <w:start w:val="1"/>
      <w:numFmt w:val="decimal"/>
      <w:lvlText w:val="[%1]"/>
      <w:lvlJc w:val="left"/>
      <w:rPr>
        <w:b w:val="0"/>
      </w:rPr>
    </w:lvl>
  </w:abstractNum>
  <w:abstractNum w:abstractNumId="7">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8">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9">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614024BA"/>
    <w:multiLevelType w:val="singleLevel"/>
    <w:tmpl w:val="614024BA"/>
    <w:lvl w:ilvl="0" w:tentative="0">
      <w:start w:val="1"/>
      <w:numFmt w:val="decimal"/>
      <w:lvlText w:val="[%1]"/>
      <w:lvlJc w:val="left"/>
      <w:rPr>
        <w:b w:val="0"/>
      </w:rPr>
    </w:lvl>
  </w:abstractNum>
  <w:abstractNum w:abstractNumId="11">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8"/>
  </w:num>
  <w:num w:numId="3">
    <w:abstractNumId w:val="12"/>
  </w:num>
  <w:num w:numId="4">
    <w:abstractNumId w:val="7"/>
  </w:num>
  <w:num w:numId="5">
    <w:abstractNumId w:val="9"/>
  </w:num>
  <w:num w:numId="6">
    <w:abstractNumId w:val="10"/>
  </w:num>
  <w:num w:numId="7">
    <w:abstractNumId w:val="1"/>
  </w:num>
  <w:num w:numId="8">
    <w:abstractNumId w:val="0"/>
  </w:num>
  <w:num w:numId="9">
    <w:abstractNumId w:val="2"/>
  </w:num>
  <w:num w:numId="10">
    <w:abstractNumId w:val="4"/>
  </w:num>
  <w:num w:numId="11">
    <w:abstractNumId w:val="5"/>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4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2C0230D"/>
    <w:rsid w:val="032C5770"/>
    <w:rsid w:val="0352627C"/>
    <w:rsid w:val="03FC0C17"/>
    <w:rsid w:val="04137C88"/>
    <w:rsid w:val="043750F8"/>
    <w:rsid w:val="045042DE"/>
    <w:rsid w:val="046F64A5"/>
    <w:rsid w:val="04B02D72"/>
    <w:rsid w:val="06400C05"/>
    <w:rsid w:val="06C62B3E"/>
    <w:rsid w:val="0745663A"/>
    <w:rsid w:val="07683368"/>
    <w:rsid w:val="0867547F"/>
    <w:rsid w:val="08AF5136"/>
    <w:rsid w:val="08B5289D"/>
    <w:rsid w:val="08B909EB"/>
    <w:rsid w:val="08C0303F"/>
    <w:rsid w:val="08CA4C78"/>
    <w:rsid w:val="08F73AFF"/>
    <w:rsid w:val="09070455"/>
    <w:rsid w:val="095E54EB"/>
    <w:rsid w:val="099573CD"/>
    <w:rsid w:val="0A294D91"/>
    <w:rsid w:val="0A821DCB"/>
    <w:rsid w:val="0A934B7D"/>
    <w:rsid w:val="0AB16165"/>
    <w:rsid w:val="0ADC0554"/>
    <w:rsid w:val="0AEC1FBC"/>
    <w:rsid w:val="0B156DBB"/>
    <w:rsid w:val="0B3B032B"/>
    <w:rsid w:val="0B875DF5"/>
    <w:rsid w:val="0B8C18E5"/>
    <w:rsid w:val="0BD93F8C"/>
    <w:rsid w:val="0C2027E9"/>
    <w:rsid w:val="0C4247A1"/>
    <w:rsid w:val="0C437935"/>
    <w:rsid w:val="0C52731B"/>
    <w:rsid w:val="0CC143A0"/>
    <w:rsid w:val="0CC258AA"/>
    <w:rsid w:val="0CCE7DF8"/>
    <w:rsid w:val="0D4F1A3A"/>
    <w:rsid w:val="0D6301B6"/>
    <w:rsid w:val="0DDB6ECB"/>
    <w:rsid w:val="0DDD0F23"/>
    <w:rsid w:val="0E041CB4"/>
    <w:rsid w:val="0E050F30"/>
    <w:rsid w:val="0F9868D5"/>
    <w:rsid w:val="10211C2E"/>
    <w:rsid w:val="108D73EF"/>
    <w:rsid w:val="10B506EB"/>
    <w:rsid w:val="10F52B6E"/>
    <w:rsid w:val="11614015"/>
    <w:rsid w:val="11B11ADC"/>
    <w:rsid w:val="11B6439C"/>
    <w:rsid w:val="12230FDF"/>
    <w:rsid w:val="123371E8"/>
    <w:rsid w:val="129D59D4"/>
    <w:rsid w:val="12A922D2"/>
    <w:rsid w:val="12B22511"/>
    <w:rsid w:val="12EB6ADC"/>
    <w:rsid w:val="133A2C0E"/>
    <w:rsid w:val="13C244F2"/>
    <w:rsid w:val="13CE4A0B"/>
    <w:rsid w:val="13CE75C4"/>
    <w:rsid w:val="140E52AD"/>
    <w:rsid w:val="143603B6"/>
    <w:rsid w:val="14B4509C"/>
    <w:rsid w:val="151644D5"/>
    <w:rsid w:val="15324AB7"/>
    <w:rsid w:val="157E4282"/>
    <w:rsid w:val="15FC081A"/>
    <w:rsid w:val="160C3730"/>
    <w:rsid w:val="16182EEA"/>
    <w:rsid w:val="17126D66"/>
    <w:rsid w:val="171666D4"/>
    <w:rsid w:val="17E16027"/>
    <w:rsid w:val="17FA09E4"/>
    <w:rsid w:val="18120651"/>
    <w:rsid w:val="18C33C48"/>
    <w:rsid w:val="191B541E"/>
    <w:rsid w:val="199D5748"/>
    <w:rsid w:val="19C85510"/>
    <w:rsid w:val="19DD70C1"/>
    <w:rsid w:val="19F41590"/>
    <w:rsid w:val="1A1C6BC6"/>
    <w:rsid w:val="1A6A4C5B"/>
    <w:rsid w:val="1A7172E1"/>
    <w:rsid w:val="1A78680F"/>
    <w:rsid w:val="1AB27FD4"/>
    <w:rsid w:val="1B537FAB"/>
    <w:rsid w:val="1B65192E"/>
    <w:rsid w:val="1B687D51"/>
    <w:rsid w:val="1BCB61E8"/>
    <w:rsid w:val="1BEE16E9"/>
    <w:rsid w:val="1C6542B2"/>
    <w:rsid w:val="1C6A4BF8"/>
    <w:rsid w:val="1D1D3289"/>
    <w:rsid w:val="1DB22A9C"/>
    <w:rsid w:val="1E2106D1"/>
    <w:rsid w:val="1E7D2085"/>
    <w:rsid w:val="1E8D1AAC"/>
    <w:rsid w:val="1EBE6975"/>
    <w:rsid w:val="1F402642"/>
    <w:rsid w:val="1F646F04"/>
    <w:rsid w:val="1F96173A"/>
    <w:rsid w:val="1F9D0E06"/>
    <w:rsid w:val="1FBD1ABA"/>
    <w:rsid w:val="1FD55AE8"/>
    <w:rsid w:val="209D5060"/>
    <w:rsid w:val="20B77F6E"/>
    <w:rsid w:val="20CB2FF0"/>
    <w:rsid w:val="20E950C5"/>
    <w:rsid w:val="21344B4A"/>
    <w:rsid w:val="213E2789"/>
    <w:rsid w:val="21AC235B"/>
    <w:rsid w:val="21D32B8D"/>
    <w:rsid w:val="21F962B2"/>
    <w:rsid w:val="22735549"/>
    <w:rsid w:val="22FC06E3"/>
    <w:rsid w:val="24057FFB"/>
    <w:rsid w:val="24140B3E"/>
    <w:rsid w:val="259957EC"/>
    <w:rsid w:val="260B6710"/>
    <w:rsid w:val="26A42548"/>
    <w:rsid w:val="26D9199B"/>
    <w:rsid w:val="272B7C0B"/>
    <w:rsid w:val="27452B8C"/>
    <w:rsid w:val="275A7663"/>
    <w:rsid w:val="276A1428"/>
    <w:rsid w:val="279B7C00"/>
    <w:rsid w:val="279C4099"/>
    <w:rsid w:val="280837ED"/>
    <w:rsid w:val="289A71A7"/>
    <w:rsid w:val="29082BE0"/>
    <w:rsid w:val="29083E60"/>
    <w:rsid w:val="290950B0"/>
    <w:rsid w:val="29B63A0A"/>
    <w:rsid w:val="2A1D1B25"/>
    <w:rsid w:val="2AA3517C"/>
    <w:rsid w:val="2AEF25C6"/>
    <w:rsid w:val="2B025C05"/>
    <w:rsid w:val="2B0262B8"/>
    <w:rsid w:val="2B3C17C0"/>
    <w:rsid w:val="2CEA3B3F"/>
    <w:rsid w:val="2D102550"/>
    <w:rsid w:val="2D171859"/>
    <w:rsid w:val="2E2C3250"/>
    <w:rsid w:val="2ED83DA6"/>
    <w:rsid w:val="2EF06FB2"/>
    <w:rsid w:val="2EF30C78"/>
    <w:rsid w:val="2F7E02C0"/>
    <w:rsid w:val="2F89581B"/>
    <w:rsid w:val="2FBD3F29"/>
    <w:rsid w:val="2FE12433"/>
    <w:rsid w:val="303C7BDB"/>
    <w:rsid w:val="309E06A4"/>
    <w:rsid w:val="30AA70B7"/>
    <w:rsid w:val="30BF083E"/>
    <w:rsid w:val="314A536E"/>
    <w:rsid w:val="316F7BD4"/>
    <w:rsid w:val="31EA6791"/>
    <w:rsid w:val="32292413"/>
    <w:rsid w:val="32B75B6C"/>
    <w:rsid w:val="34713B2D"/>
    <w:rsid w:val="3488303F"/>
    <w:rsid w:val="34C21990"/>
    <w:rsid w:val="350B369B"/>
    <w:rsid w:val="355E3164"/>
    <w:rsid w:val="359E14C1"/>
    <w:rsid w:val="360A789F"/>
    <w:rsid w:val="362430B9"/>
    <w:rsid w:val="365F2F17"/>
    <w:rsid w:val="366C1F64"/>
    <w:rsid w:val="37192BB2"/>
    <w:rsid w:val="373C08B3"/>
    <w:rsid w:val="37EB73B1"/>
    <w:rsid w:val="37FD0684"/>
    <w:rsid w:val="38E31861"/>
    <w:rsid w:val="39FB4108"/>
    <w:rsid w:val="3B06367F"/>
    <w:rsid w:val="3B4E19A8"/>
    <w:rsid w:val="3B7518FD"/>
    <w:rsid w:val="3BBD2E75"/>
    <w:rsid w:val="3BD7776B"/>
    <w:rsid w:val="3C1267DA"/>
    <w:rsid w:val="3DAB3692"/>
    <w:rsid w:val="3E051C88"/>
    <w:rsid w:val="3E534E6F"/>
    <w:rsid w:val="3EBD5DA9"/>
    <w:rsid w:val="3ECC4BE8"/>
    <w:rsid w:val="3F3D2383"/>
    <w:rsid w:val="3F816D84"/>
    <w:rsid w:val="3F8F6D22"/>
    <w:rsid w:val="40192383"/>
    <w:rsid w:val="402F1A51"/>
    <w:rsid w:val="4041787C"/>
    <w:rsid w:val="4056719A"/>
    <w:rsid w:val="40701492"/>
    <w:rsid w:val="418F3A1F"/>
    <w:rsid w:val="41963733"/>
    <w:rsid w:val="421F2EEA"/>
    <w:rsid w:val="42D52692"/>
    <w:rsid w:val="42F10013"/>
    <w:rsid w:val="42FC2DBB"/>
    <w:rsid w:val="43B1111A"/>
    <w:rsid w:val="441E0FD5"/>
    <w:rsid w:val="44404107"/>
    <w:rsid w:val="447D6A17"/>
    <w:rsid w:val="449D7185"/>
    <w:rsid w:val="454A4C88"/>
    <w:rsid w:val="45AE7D7B"/>
    <w:rsid w:val="46186BB2"/>
    <w:rsid w:val="463251D1"/>
    <w:rsid w:val="46D41D51"/>
    <w:rsid w:val="478D5278"/>
    <w:rsid w:val="47D74267"/>
    <w:rsid w:val="486E2258"/>
    <w:rsid w:val="48811037"/>
    <w:rsid w:val="48886A9B"/>
    <w:rsid w:val="48AA199B"/>
    <w:rsid w:val="48CE65F4"/>
    <w:rsid w:val="490B77B8"/>
    <w:rsid w:val="492A3986"/>
    <w:rsid w:val="49956E69"/>
    <w:rsid w:val="49FE24F4"/>
    <w:rsid w:val="4A016A84"/>
    <w:rsid w:val="4A117E90"/>
    <w:rsid w:val="4A1E3DC9"/>
    <w:rsid w:val="4AB56D9A"/>
    <w:rsid w:val="4B0F7224"/>
    <w:rsid w:val="4C6E4F06"/>
    <w:rsid w:val="4D21764B"/>
    <w:rsid w:val="4DAE1980"/>
    <w:rsid w:val="4E422279"/>
    <w:rsid w:val="4E5530CC"/>
    <w:rsid w:val="4E8D380A"/>
    <w:rsid w:val="4EFD25E7"/>
    <w:rsid w:val="4F515FA8"/>
    <w:rsid w:val="4F977586"/>
    <w:rsid w:val="4FB12248"/>
    <w:rsid w:val="506811F0"/>
    <w:rsid w:val="50E44BFB"/>
    <w:rsid w:val="51323E6D"/>
    <w:rsid w:val="5172486F"/>
    <w:rsid w:val="517331D1"/>
    <w:rsid w:val="518E6791"/>
    <w:rsid w:val="51BD5B05"/>
    <w:rsid w:val="51CD0DAD"/>
    <w:rsid w:val="51CF6D46"/>
    <w:rsid w:val="51EB2461"/>
    <w:rsid w:val="51FF10C0"/>
    <w:rsid w:val="527E4CA8"/>
    <w:rsid w:val="53247EF5"/>
    <w:rsid w:val="53464556"/>
    <w:rsid w:val="53A51416"/>
    <w:rsid w:val="53D71BAD"/>
    <w:rsid w:val="540E6C5A"/>
    <w:rsid w:val="54A74EB5"/>
    <w:rsid w:val="54C9170D"/>
    <w:rsid w:val="54DA0AD6"/>
    <w:rsid w:val="551E4420"/>
    <w:rsid w:val="55DF79A7"/>
    <w:rsid w:val="564E5D25"/>
    <w:rsid w:val="56634B44"/>
    <w:rsid w:val="56931BEC"/>
    <w:rsid w:val="56CE6A8E"/>
    <w:rsid w:val="570023F4"/>
    <w:rsid w:val="57740818"/>
    <w:rsid w:val="585C368D"/>
    <w:rsid w:val="58DF5C23"/>
    <w:rsid w:val="595371D3"/>
    <w:rsid w:val="59AA2AE2"/>
    <w:rsid w:val="59C23FFD"/>
    <w:rsid w:val="5A0E3BCE"/>
    <w:rsid w:val="5A466BC8"/>
    <w:rsid w:val="5A724FD4"/>
    <w:rsid w:val="5A812888"/>
    <w:rsid w:val="5A81521A"/>
    <w:rsid w:val="5A85323A"/>
    <w:rsid w:val="5ACC0548"/>
    <w:rsid w:val="5B1F3A0B"/>
    <w:rsid w:val="5B980404"/>
    <w:rsid w:val="5BDB61ED"/>
    <w:rsid w:val="5C147E54"/>
    <w:rsid w:val="5CAD2F36"/>
    <w:rsid w:val="5D2D156D"/>
    <w:rsid w:val="5E8250F4"/>
    <w:rsid w:val="5EA178AA"/>
    <w:rsid w:val="5EA615D3"/>
    <w:rsid w:val="5EC82C7F"/>
    <w:rsid w:val="5F0A5107"/>
    <w:rsid w:val="5F267BDE"/>
    <w:rsid w:val="6013139C"/>
    <w:rsid w:val="60291E96"/>
    <w:rsid w:val="609676C4"/>
    <w:rsid w:val="60AF33AD"/>
    <w:rsid w:val="61204966"/>
    <w:rsid w:val="61AA714A"/>
    <w:rsid w:val="61C12377"/>
    <w:rsid w:val="61CF1286"/>
    <w:rsid w:val="620A5BE8"/>
    <w:rsid w:val="6297146B"/>
    <w:rsid w:val="62AE701F"/>
    <w:rsid w:val="62B07544"/>
    <w:rsid w:val="62DD7AB0"/>
    <w:rsid w:val="63092CDD"/>
    <w:rsid w:val="63501A48"/>
    <w:rsid w:val="63D53A18"/>
    <w:rsid w:val="63EC1DBB"/>
    <w:rsid w:val="64A261C1"/>
    <w:rsid w:val="64D54BF8"/>
    <w:rsid w:val="65B958B8"/>
    <w:rsid w:val="65DB6AA5"/>
    <w:rsid w:val="65DB6F70"/>
    <w:rsid w:val="661E3257"/>
    <w:rsid w:val="66383744"/>
    <w:rsid w:val="664916BB"/>
    <w:rsid w:val="666146B1"/>
    <w:rsid w:val="66A45FF8"/>
    <w:rsid w:val="67757D2D"/>
    <w:rsid w:val="67B963F3"/>
    <w:rsid w:val="67BE2432"/>
    <w:rsid w:val="67CD70C1"/>
    <w:rsid w:val="685A2E59"/>
    <w:rsid w:val="69806A35"/>
    <w:rsid w:val="6A5D1B30"/>
    <w:rsid w:val="6A7F6611"/>
    <w:rsid w:val="6AA83621"/>
    <w:rsid w:val="6B2B4ABB"/>
    <w:rsid w:val="6BCA0AC3"/>
    <w:rsid w:val="6BF016C9"/>
    <w:rsid w:val="6BF72930"/>
    <w:rsid w:val="6C154805"/>
    <w:rsid w:val="6D5118E8"/>
    <w:rsid w:val="6D9B0F82"/>
    <w:rsid w:val="6DB872A1"/>
    <w:rsid w:val="6DC17F95"/>
    <w:rsid w:val="6E106458"/>
    <w:rsid w:val="6E114605"/>
    <w:rsid w:val="6E442EAE"/>
    <w:rsid w:val="6ECB5B3A"/>
    <w:rsid w:val="6EFA4222"/>
    <w:rsid w:val="6F1E7073"/>
    <w:rsid w:val="6F6B3833"/>
    <w:rsid w:val="6FD927D6"/>
    <w:rsid w:val="6FF45285"/>
    <w:rsid w:val="6FF81483"/>
    <w:rsid w:val="703C2E22"/>
    <w:rsid w:val="70460C14"/>
    <w:rsid w:val="70A1776C"/>
    <w:rsid w:val="70F968C9"/>
    <w:rsid w:val="711E0C0B"/>
    <w:rsid w:val="716D30CB"/>
    <w:rsid w:val="718335B1"/>
    <w:rsid w:val="7185070D"/>
    <w:rsid w:val="719256A3"/>
    <w:rsid w:val="71954ADD"/>
    <w:rsid w:val="72132F1B"/>
    <w:rsid w:val="724D391D"/>
    <w:rsid w:val="72667A54"/>
    <w:rsid w:val="7277686B"/>
    <w:rsid w:val="727B7B76"/>
    <w:rsid w:val="731871FF"/>
    <w:rsid w:val="731D533D"/>
    <w:rsid w:val="732F503F"/>
    <w:rsid w:val="73B27495"/>
    <w:rsid w:val="73D13601"/>
    <w:rsid w:val="73FB3929"/>
    <w:rsid w:val="749B0403"/>
    <w:rsid w:val="749F2B1B"/>
    <w:rsid w:val="74B2398B"/>
    <w:rsid w:val="74D014A3"/>
    <w:rsid w:val="74FE75C0"/>
    <w:rsid w:val="751226C4"/>
    <w:rsid w:val="75BC7C51"/>
    <w:rsid w:val="75F65014"/>
    <w:rsid w:val="75F973DD"/>
    <w:rsid w:val="77042512"/>
    <w:rsid w:val="77B34C9B"/>
    <w:rsid w:val="783933A6"/>
    <w:rsid w:val="793C6AE9"/>
    <w:rsid w:val="79404263"/>
    <w:rsid w:val="79E91CF9"/>
    <w:rsid w:val="7A651673"/>
    <w:rsid w:val="7AD97A34"/>
    <w:rsid w:val="7BA1520E"/>
    <w:rsid w:val="7BEC215B"/>
    <w:rsid w:val="7C7D76F6"/>
    <w:rsid w:val="7CCE1B6A"/>
    <w:rsid w:val="7CD40FB9"/>
    <w:rsid w:val="7D267C0E"/>
    <w:rsid w:val="7DEB0BA7"/>
    <w:rsid w:val="7E013E51"/>
    <w:rsid w:val="7E40707B"/>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22</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Danni SONG(CMCC)</cp:lastModifiedBy>
  <dcterms:modified xsi:type="dcterms:W3CDTF">2024-03-08T13:17:35Z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