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CF210" w14:textId="75266CCB" w:rsidR="00DD3A23" w:rsidRPr="00CC1A70" w:rsidRDefault="00DD3A23" w:rsidP="00DD3A2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DD3A2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RP-233338</w:t>
      </w:r>
    </w:p>
    <w:p w14:paraId="06DF34F8" w14:textId="77777777" w:rsidR="00DD3A23" w:rsidRPr="00CC1A70" w:rsidRDefault="00DD3A23" w:rsidP="00DD3A2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3BFFC9D0" w14:textId="77777777" w:rsidR="00DD3A23" w:rsidRPr="00CC1A70" w:rsidRDefault="00DD3A23" w:rsidP="00DD3A2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5EEE017C" w14:textId="77777777" w:rsidR="00DD3A23" w:rsidRPr="00CC1A70" w:rsidRDefault="00DD3A23" w:rsidP="00DD3A2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BBBD27A" w14:textId="17A9C520" w:rsidR="00DD3A23" w:rsidRPr="00CC1A70" w:rsidRDefault="00DD3A23" w:rsidP="00DD3A2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DD3A23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9</w:t>
      </w:r>
    </w:p>
    <w:p w14:paraId="1F8689C2" w14:textId="77777777" w:rsidR="00DD3A23" w:rsidRPr="00CC1A70" w:rsidRDefault="00DD3A23" w:rsidP="00DD3A2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75F9FA3" w14:textId="77777777" w:rsidR="00DD3A23" w:rsidRPr="00CC1A70" w:rsidRDefault="00DD3A23" w:rsidP="00DD3A2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A7BE09E" w14:textId="77777777" w:rsidR="00DD3A23" w:rsidRPr="00CC1A70" w:rsidRDefault="00DD3A23" w:rsidP="00DD3A2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D64F446" w14:textId="77777777" w:rsidR="00DD3A23" w:rsidRDefault="00DD3A23" w:rsidP="00DD3A2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2AD9AC1" w14:textId="77777777" w:rsidR="00D62F0A" w:rsidRDefault="00D62F0A"/>
    <w:p w14:paraId="2916AB5E" w14:textId="77777777" w:rsidR="00DD3A23" w:rsidRDefault="00DD3A2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DD3A23" w:rsidRPr="00DD3A23" w14:paraId="16F99204" w14:textId="77777777" w:rsidTr="00DD3A2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5B8F30A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350A1D3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75CD14D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ED652E9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F37A09F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4199D6C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5B911C6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7EBB517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88F1D3A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5612D2A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C0E57BB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D4898F8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5213BA1" w14:textId="77777777" w:rsidR="00DD3A23" w:rsidRPr="00DD3A23" w:rsidRDefault="00DD3A23" w:rsidP="00DD3A2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DD3A23" w:rsidRPr="00DD3A23" w14:paraId="4302D85A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63671C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3779E33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0433</w:t>
            </w:r>
          </w:p>
        </w:tc>
        <w:tc>
          <w:tcPr>
            <w:tcW w:w="567" w:type="dxa"/>
          </w:tcPr>
          <w:p w14:paraId="3EFCDC46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059B49CB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16A947D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[NR_HST_FR1_enh-Perf] HST-SFN and HST-DPS model clarification</w:t>
            </w:r>
          </w:p>
        </w:tc>
        <w:tc>
          <w:tcPr>
            <w:tcW w:w="567" w:type="dxa"/>
          </w:tcPr>
          <w:p w14:paraId="60CF4B89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B91B598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6FF02E21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26A4BE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R4-231195</w:t>
            </w:r>
          </w:p>
        </w:tc>
        <w:tc>
          <w:tcPr>
            <w:tcW w:w="1984" w:type="dxa"/>
          </w:tcPr>
          <w:p w14:paraId="218AF780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</w:t>
            </w:r>
          </w:p>
        </w:tc>
        <w:tc>
          <w:tcPr>
            <w:tcW w:w="1133" w:type="dxa"/>
          </w:tcPr>
          <w:p w14:paraId="6B45A152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694AACFD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5.2.2.1.10, 5.2.2.2.10, 5.2.3.1.10, 5.2.3.2.10, B.3.3</w:t>
            </w:r>
          </w:p>
        </w:tc>
        <w:tc>
          <w:tcPr>
            <w:tcW w:w="1133" w:type="dxa"/>
          </w:tcPr>
          <w:p w14:paraId="70DB5CD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</w:t>
            </w:r>
          </w:p>
          <w:p w14:paraId="2A84C83F" w14:textId="77777777" w:rsidR="00DD3A23" w:rsidRP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63457F76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32C8C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A4CD96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0436</w:t>
            </w:r>
          </w:p>
        </w:tc>
        <w:tc>
          <w:tcPr>
            <w:tcW w:w="567" w:type="dxa"/>
          </w:tcPr>
          <w:p w14:paraId="313D01D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C7D2CA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927442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to Report quantity for CQI Reporting tests with 1Tx</w:t>
            </w:r>
          </w:p>
        </w:tc>
        <w:tc>
          <w:tcPr>
            <w:tcW w:w="567" w:type="dxa"/>
          </w:tcPr>
          <w:p w14:paraId="326DA60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87B7B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78A0629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F2222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R4-2321174</w:t>
            </w:r>
          </w:p>
        </w:tc>
        <w:tc>
          <w:tcPr>
            <w:tcW w:w="1984" w:type="dxa"/>
          </w:tcPr>
          <w:p w14:paraId="5315051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Corporation, Qualcomm Inc., MediaTek</w:t>
            </w:r>
          </w:p>
        </w:tc>
        <w:tc>
          <w:tcPr>
            <w:tcW w:w="1133" w:type="dxa"/>
          </w:tcPr>
          <w:p w14:paraId="6872064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7968668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6.2.2.1.1.2, 6.2.2.2.1.2, 6.2.3.1.1.2, 6.2.3.2.1.2, 6.2A.3.1.1, 8.2A.3.1.1 Isolated impact analysis: No change to UE requirements, changes test parameters only.</w:t>
            </w:r>
          </w:p>
        </w:tc>
        <w:tc>
          <w:tcPr>
            <w:tcW w:w="1133" w:type="dxa"/>
          </w:tcPr>
          <w:p w14:paraId="353134F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3BCA846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5EE7854F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37C63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02BCA2A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0437</w:t>
            </w:r>
          </w:p>
        </w:tc>
        <w:tc>
          <w:tcPr>
            <w:tcW w:w="567" w:type="dxa"/>
          </w:tcPr>
          <w:p w14:paraId="19B86C4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31EE5E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367381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to Report quantity for CQI Reporting tests with 1Tx</w:t>
            </w:r>
          </w:p>
        </w:tc>
        <w:tc>
          <w:tcPr>
            <w:tcW w:w="567" w:type="dxa"/>
          </w:tcPr>
          <w:p w14:paraId="09DFD4C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AF1900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02F6B4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33840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R4-2319125</w:t>
            </w:r>
          </w:p>
        </w:tc>
        <w:tc>
          <w:tcPr>
            <w:tcW w:w="1984" w:type="dxa"/>
          </w:tcPr>
          <w:p w14:paraId="415D808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Corporation, Qualcomm Inc., MediaTek</w:t>
            </w:r>
          </w:p>
        </w:tc>
        <w:tc>
          <w:tcPr>
            <w:tcW w:w="1133" w:type="dxa"/>
          </w:tcPr>
          <w:p w14:paraId="3B17748F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0DDF656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6.2.2.1.1.2, 6.2.2.2.1.2, 6.2.3.1.1.2, 6.2.3.2.1.2, 6.2A.3.1.1, 8.2A.3.1.1  Isolated impact analysis: No change to UE requirements, </w:t>
            </w:r>
            <w:r>
              <w:rPr>
                <w:rFonts w:ascii="Arial" w:hAnsi="Arial" w:cs="Arial"/>
                <w:sz w:val="16"/>
              </w:rPr>
              <w:lastRenderedPageBreak/>
              <w:t>changes test parameters only.</w:t>
            </w:r>
          </w:p>
        </w:tc>
        <w:tc>
          <w:tcPr>
            <w:tcW w:w="1133" w:type="dxa"/>
          </w:tcPr>
          <w:p w14:paraId="4E42A10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TS 38.521-4</w:t>
            </w:r>
          </w:p>
          <w:p w14:paraId="6D2927C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1C64F2C5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F2125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BB5BFD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0438</w:t>
            </w:r>
          </w:p>
        </w:tc>
        <w:tc>
          <w:tcPr>
            <w:tcW w:w="567" w:type="dxa"/>
          </w:tcPr>
          <w:p w14:paraId="168D4BE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A5007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60F5CC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[NR_L1enh_URLLC-Perf] CR to Report quantity for CQI Reporting tests with 1Tx</w:t>
            </w:r>
          </w:p>
        </w:tc>
        <w:tc>
          <w:tcPr>
            <w:tcW w:w="567" w:type="dxa"/>
          </w:tcPr>
          <w:p w14:paraId="7667E53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AD1201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13C7B86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F99F1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R4-2319126</w:t>
            </w:r>
          </w:p>
        </w:tc>
        <w:tc>
          <w:tcPr>
            <w:tcW w:w="1984" w:type="dxa"/>
          </w:tcPr>
          <w:p w14:paraId="5659B34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Corporation, Qualcomm Inc., MediaTek</w:t>
            </w:r>
          </w:p>
        </w:tc>
        <w:tc>
          <w:tcPr>
            <w:tcW w:w="1133" w:type="dxa"/>
          </w:tcPr>
          <w:p w14:paraId="4A3FE7B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10A8218F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6.2.2.1.1.2, 6.2.2.2.1.2, 6.2.3.1.1.2, 6.2.3.2.1.2, 6.2A.3.1.1, 8.2A.3.1.1  Isolated impact analysis: No change to UE requirements, changes test parameters only.</w:t>
            </w:r>
          </w:p>
        </w:tc>
        <w:tc>
          <w:tcPr>
            <w:tcW w:w="1133" w:type="dxa"/>
          </w:tcPr>
          <w:p w14:paraId="1D1C1D8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5AA58ED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32718F7D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7C2394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11CE84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0453</w:t>
            </w:r>
          </w:p>
        </w:tc>
        <w:tc>
          <w:tcPr>
            <w:tcW w:w="567" w:type="dxa"/>
          </w:tcPr>
          <w:p w14:paraId="6D07090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1F28F0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166345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[NR_L1enh_URLLC] Correcting applicability for FR2 multi-slot repetition test case (Rel-16)</w:t>
            </w:r>
          </w:p>
        </w:tc>
        <w:tc>
          <w:tcPr>
            <w:tcW w:w="567" w:type="dxa"/>
          </w:tcPr>
          <w:p w14:paraId="18F2F94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C51BC1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26A960A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AEE87A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R5-2320211</w:t>
            </w:r>
          </w:p>
        </w:tc>
        <w:tc>
          <w:tcPr>
            <w:tcW w:w="1984" w:type="dxa"/>
          </w:tcPr>
          <w:p w14:paraId="3BD7752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3B61E5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0CB6491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7.1.1.3</w:t>
            </w:r>
          </w:p>
        </w:tc>
        <w:tc>
          <w:tcPr>
            <w:tcW w:w="1133" w:type="dxa"/>
          </w:tcPr>
          <w:p w14:paraId="481EE99F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64F552A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23136954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99A83A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7BA78D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0454</w:t>
            </w:r>
          </w:p>
        </w:tc>
        <w:tc>
          <w:tcPr>
            <w:tcW w:w="567" w:type="dxa"/>
          </w:tcPr>
          <w:p w14:paraId="57B98BC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434C87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7FBF97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[NR_L1enh_URLLC] Correcting applicability for FR2 multi-slot repetition test case (Rel-17)</w:t>
            </w:r>
          </w:p>
        </w:tc>
        <w:tc>
          <w:tcPr>
            <w:tcW w:w="567" w:type="dxa"/>
          </w:tcPr>
          <w:p w14:paraId="189D26F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FEC8D2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0EFC63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941CE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R5-2320212</w:t>
            </w:r>
          </w:p>
        </w:tc>
        <w:tc>
          <w:tcPr>
            <w:tcW w:w="1984" w:type="dxa"/>
          </w:tcPr>
          <w:p w14:paraId="2225732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1BE8F1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5683E72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7.1.1.3</w:t>
            </w:r>
          </w:p>
        </w:tc>
        <w:tc>
          <w:tcPr>
            <w:tcW w:w="1133" w:type="dxa"/>
          </w:tcPr>
          <w:p w14:paraId="1D47AAC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61700F9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57DAD6BC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ABC81F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6CD2173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0455</w:t>
            </w:r>
          </w:p>
        </w:tc>
        <w:tc>
          <w:tcPr>
            <w:tcW w:w="567" w:type="dxa"/>
          </w:tcPr>
          <w:p w14:paraId="52D1DEA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8571A0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08DB62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[NR_L1enh_URLLC] Correcting applicability for FR2 multi-slot repetition test case (Rel-17)</w:t>
            </w:r>
          </w:p>
        </w:tc>
        <w:tc>
          <w:tcPr>
            <w:tcW w:w="567" w:type="dxa"/>
          </w:tcPr>
          <w:p w14:paraId="7792314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78C68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3A653E8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1C82D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R5-2320213</w:t>
            </w:r>
          </w:p>
        </w:tc>
        <w:tc>
          <w:tcPr>
            <w:tcW w:w="1984" w:type="dxa"/>
          </w:tcPr>
          <w:p w14:paraId="35D3EB4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DF63B6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NR_L1enh_URLLC-Perf</w:t>
            </w:r>
          </w:p>
        </w:tc>
        <w:tc>
          <w:tcPr>
            <w:tcW w:w="2693" w:type="dxa"/>
          </w:tcPr>
          <w:p w14:paraId="0A5240E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7.1.1.3</w:t>
            </w:r>
          </w:p>
        </w:tc>
        <w:tc>
          <w:tcPr>
            <w:tcW w:w="1133" w:type="dxa"/>
          </w:tcPr>
          <w:p w14:paraId="1091A1C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3DF76B4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4DE70950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16CCBA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5CCB77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3726</w:t>
            </w:r>
          </w:p>
        </w:tc>
        <w:tc>
          <w:tcPr>
            <w:tcW w:w="567" w:type="dxa"/>
          </w:tcPr>
          <w:p w14:paraId="59A6C06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30C80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376716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 on inter-frequency measurement without gap in CHO</w:t>
            </w:r>
          </w:p>
        </w:tc>
        <w:tc>
          <w:tcPr>
            <w:tcW w:w="567" w:type="dxa"/>
          </w:tcPr>
          <w:p w14:paraId="71E8A95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5B49E2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7D23553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8826A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R4-2319161</w:t>
            </w:r>
          </w:p>
        </w:tc>
        <w:tc>
          <w:tcPr>
            <w:tcW w:w="1984" w:type="dxa"/>
          </w:tcPr>
          <w:p w14:paraId="353F6CDF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D40743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NR_Mob_enh-Core</w:t>
            </w:r>
          </w:p>
        </w:tc>
        <w:tc>
          <w:tcPr>
            <w:tcW w:w="2693" w:type="dxa"/>
          </w:tcPr>
          <w:p w14:paraId="0CB632B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6.1.4</w:t>
            </w:r>
          </w:p>
        </w:tc>
        <w:tc>
          <w:tcPr>
            <w:tcW w:w="1133" w:type="dxa"/>
          </w:tcPr>
          <w:p w14:paraId="44C4C28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4B671D9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593B79B8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35D2BA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85FE36F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3727</w:t>
            </w:r>
          </w:p>
        </w:tc>
        <w:tc>
          <w:tcPr>
            <w:tcW w:w="567" w:type="dxa"/>
          </w:tcPr>
          <w:p w14:paraId="31A4DD4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CA09B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DE2B2C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inter-frequency measurement without gap in CHO</w:t>
            </w:r>
          </w:p>
        </w:tc>
        <w:tc>
          <w:tcPr>
            <w:tcW w:w="567" w:type="dxa"/>
          </w:tcPr>
          <w:p w14:paraId="4CF1503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09F123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18B9A3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3A7BA3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R4-2319162</w:t>
            </w:r>
          </w:p>
        </w:tc>
        <w:tc>
          <w:tcPr>
            <w:tcW w:w="1984" w:type="dxa"/>
          </w:tcPr>
          <w:p w14:paraId="04A0D84F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99704E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NR_Mob_enh-Core</w:t>
            </w:r>
          </w:p>
        </w:tc>
        <w:tc>
          <w:tcPr>
            <w:tcW w:w="2693" w:type="dxa"/>
          </w:tcPr>
          <w:p w14:paraId="21A2C55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6.1.4</w:t>
            </w:r>
          </w:p>
        </w:tc>
        <w:tc>
          <w:tcPr>
            <w:tcW w:w="1133" w:type="dxa"/>
          </w:tcPr>
          <w:p w14:paraId="7C7A5F4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DA5B5C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62681676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B96D5F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9A5B41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3728</w:t>
            </w:r>
          </w:p>
        </w:tc>
        <w:tc>
          <w:tcPr>
            <w:tcW w:w="567" w:type="dxa"/>
          </w:tcPr>
          <w:p w14:paraId="24F9F93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DABBA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65DB52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 on inter-frequency measurement without gap in CHO</w:t>
            </w:r>
          </w:p>
        </w:tc>
        <w:tc>
          <w:tcPr>
            <w:tcW w:w="567" w:type="dxa"/>
          </w:tcPr>
          <w:p w14:paraId="03FAAD6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DBDA9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75D518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0CB7B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R4-2319163</w:t>
            </w:r>
          </w:p>
        </w:tc>
        <w:tc>
          <w:tcPr>
            <w:tcW w:w="1984" w:type="dxa"/>
          </w:tcPr>
          <w:p w14:paraId="5CF129B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AD9645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NR_Mob_enh-Core</w:t>
            </w:r>
          </w:p>
        </w:tc>
        <w:tc>
          <w:tcPr>
            <w:tcW w:w="2693" w:type="dxa"/>
          </w:tcPr>
          <w:p w14:paraId="70EA11F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6.1.4</w:t>
            </w:r>
          </w:p>
        </w:tc>
        <w:tc>
          <w:tcPr>
            <w:tcW w:w="1133" w:type="dxa"/>
          </w:tcPr>
          <w:p w14:paraId="5EBF7CA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731E09B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4C155AD6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E328A4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38.175</w:t>
            </w:r>
          </w:p>
        </w:tc>
        <w:tc>
          <w:tcPr>
            <w:tcW w:w="708" w:type="dxa"/>
          </w:tcPr>
          <w:p w14:paraId="03F0993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0033</w:t>
            </w:r>
          </w:p>
        </w:tc>
        <w:tc>
          <w:tcPr>
            <w:tcW w:w="567" w:type="dxa"/>
          </w:tcPr>
          <w:p w14:paraId="4032CCB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7E54ED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30F7D2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[NR_IAB-Core] CR to TS 38.175 correction of EMC requirements applicability, Rel-16</w:t>
            </w:r>
          </w:p>
        </w:tc>
        <w:tc>
          <w:tcPr>
            <w:tcW w:w="567" w:type="dxa"/>
          </w:tcPr>
          <w:p w14:paraId="7442222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25273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16.6.0</w:t>
            </w:r>
          </w:p>
        </w:tc>
        <w:tc>
          <w:tcPr>
            <w:tcW w:w="850" w:type="dxa"/>
          </w:tcPr>
          <w:p w14:paraId="345DEB9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2245A8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CR-Form-v12.2</w:t>
            </w:r>
          </w:p>
        </w:tc>
        <w:tc>
          <w:tcPr>
            <w:tcW w:w="1984" w:type="dxa"/>
          </w:tcPr>
          <w:p w14:paraId="17B0950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C51EDA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1E1818A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7.0, 7.1</w:t>
            </w:r>
          </w:p>
        </w:tc>
        <w:tc>
          <w:tcPr>
            <w:tcW w:w="1133" w:type="dxa"/>
          </w:tcPr>
          <w:p w14:paraId="1D75D26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3D9D1BC1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A4A9E0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38.175</w:t>
            </w:r>
          </w:p>
        </w:tc>
        <w:tc>
          <w:tcPr>
            <w:tcW w:w="708" w:type="dxa"/>
          </w:tcPr>
          <w:p w14:paraId="4B9D6E0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0034</w:t>
            </w:r>
          </w:p>
        </w:tc>
        <w:tc>
          <w:tcPr>
            <w:tcW w:w="567" w:type="dxa"/>
          </w:tcPr>
          <w:p w14:paraId="7192C33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65798B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98AF4B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[NR_IAB-Core] CR to TS 38.175 correction of EMC requirements applicability, Rel-17</w:t>
            </w:r>
          </w:p>
        </w:tc>
        <w:tc>
          <w:tcPr>
            <w:tcW w:w="567" w:type="dxa"/>
          </w:tcPr>
          <w:p w14:paraId="32DA952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697D08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0926C39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29A8A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R4-23208478</w:t>
            </w:r>
          </w:p>
        </w:tc>
        <w:tc>
          <w:tcPr>
            <w:tcW w:w="1984" w:type="dxa"/>
          </w:tcPr>
          <w:p w14:paraId="6C380F1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DA7F24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NR_IAB-Core</w:t>
            </w:r>
          </w:p>
        </w:tc>
        <w:tc>
          <w:tcPr>
            <w:tcW w:w="2693" w:type="dxa"/>
          </w:tcPr>
          <w:p w14:paraId="6F071AB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7.0, 7.1</w:t>
            </w:r>
          </w:p>
        </w:tc>
        <w:tc>
          <w:tcPr>
            <w:tcW w:w="1133" w:type="dxa"/>
          </w:tcPr>
          <w:p w14:paraId="7E988E6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545E9B5B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3E967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2F1EA3B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0034</w:t>
            </w:r>
          </w:p>
        </w:tc>
        <w:tc>
          <w:tcPr>
            <w:tcW w:w="567" w:type="dxa"/>
          </w:tcPr>
          <w:p w14:paraId="457BEA4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D7086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D6AE94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for 38.176-1: Removal of Square Brackets in IAB-MT Performance Requirements (Rel-17, Cat F)</w:t>
            </w:r>
          </w:p>
        </w:tc>
        <w:tc>
          <w:tcPr>
            <w:tcW w:w="567" w:type="dxa"/>
          </w:tcPr>
          <w:p w14:paraId="0984450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258D75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1548F3A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B7199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R4-2319815</w:t>
            </w:r>
          </w:p>
        </w:tc>
        <w:tc>
          <w:tcPr>
            <w:tcW w:w="1984" w:type="dxa"/>
          </w:tcPr>
          <w:p w14:paraId="4D5E89B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ED6A1C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4B0916C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8.2.2.2, 8.2.2.3</w:t>
            </w:r>
          </w:p>
        </w:tc>
        <w:tc>
          <w:tcPr>
            <w:tcW w:w="1133" w:type="dxa"/>
          </w:tcPr>
          <w:p w14:paraId="36BB8EB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401FB32B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C7AD79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38.176-1</w:t>
            </w:r>
          </w:p>
        </w:tc>
        <w:tc>
          <w:tcPr>
            <w:tcW w:w="708" w:type="dxa"/>
          </w:tcPr>
          <w:p w14:paraId="1FAD740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0035</w:t>
            </w:r>
          </w:p>
        </w:tc>
        <w:tc>
          <w:tcPr>
            <w:tcW w:w="567" w:type="dxa"/>
          </w:tcPr>
          <w:p w14:paraId="5C49F96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F1C6B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618D0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[NR_IAB-Perf] CR for 38.176-1: Removal of Square Brackets in IAB-MT Performance Requirements (Rel-18, Cat A)</w:t>
            </w:r>
          </w:p>
        </w:tc>
        <w:tc>
          <w:tcPr>
            <w:tcW w:w="567" w:type="dxa"/>
          </w:tcPr>
          <w:p w14:paraId="736C665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09EE9C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B7C584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5390D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R4-2319816</w:t>
            </w:r>
          </w:p>
        </w:tc>
        <w:tc>
          <w:tcPr>
            <w:tcW w:w="1984" w:type="dxa"/>
          </w:tcPr>
          <w:p w14:paraId="6CE80A9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CEAA96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7170D15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18.2.2.2, 8.2.2.3</w:t>
            </w:r>
          </w:p>
        </w:tc>
        <w:tc>
          <w:tcPr>
            <w:tcW w:w="1133" w:type="dxa"/>
          </w:tcPr>
          <w:p w14:paraId="101CE8E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57DBCDC8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295CE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1CDCD89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0034</w:t>
            </w:r>
          </w:p>
        </w:tc>
        <w:tc>
          <w:tcPr>
            <w:tcW w:w="567" w:type="dxa"/>
          </w:tcPr>
          <w:p w14:paraId="5F6CE85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019941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0530B54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38.176-2, Correction on scaling factor for IAB-DU type 1-O</w:t>
            </w:r>
          </w:p>
        </w:tc>
        <w:tc>
          <w:tcPr>
            <w:tcW w:w="567" w:type="dxa"/>
          </w:tcPr>
          <w:p w14:paraId="2CE6486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9740AF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16.7.0</w:t>
            </w:r>
          </w:p>
        </w:tc>
        <w:tc>
          <w:tcPr>
            <w:tcW w:w="850" w:type="dxa"/>
          </w:tcPr>
          <w:p w14:paraId="13D6132E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AA96F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R4-2321183</w:t>
            </w:r>
          </w:p>
        </w:tc>
        <w:tc>
          <w:tcPr>
            <w:tcW w:w="1984" w:type="dxa"/>
          </w:tcPr>
          <w:p w14:paraId="296D5D1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6399F8E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24EE87D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6.7.4.6.1</w:t>
            </w:r>
          </w:p>
        </w:tc>
        <w:tc>
          <w:tcPr>
            <w:tcW w:w="1133" w:type="dxa"/>
          </w:tcPr>
          <w:p w14:paraId="6DDD24D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5A4F4A31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67264F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0D986CD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0035</w:t>
            </w:r>
          </w:p>
        </w:tc>
        <w:tc>
          <w:tcPr>
            <w:tcW w:w="567" w:type="dxa"/>
          </w:tcPr>
          <w:p w14:paraId="2B94396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06B720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50213D7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38.176-2, Correction on scaling factor for IAB-DU type 1-O</w:t>
            </w:r>
          </w:p>
        </w:tc>
        <w:tc>
          <w:tcPr>
            <w:tcW w:w="567" w:type="dxa"/>
          </w:tcPr>
          <w:p w14:paraId="1BBFF9D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EE0AC09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7C34A391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A73EAC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R4-2318285</w:t>
            </w:r>
          </w:p>
        </w:tc>
        <w:tc>
          <w:tcPr>
            <w:tcW w:w="1984" w:type="dxa"/>
          </w:tcPr>
          <w:p w14:paraId="1C0202B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142E47ED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4E89F9B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6.7.4.6.1</w:t>
            </w:r>
          </w:p>
        </w:tc>
        <w:tc>
          <w:tcPr>
            <w:tcW w:w="1133" w:type="dxa"/>
          </w:tcPr>
          <w:p w14:paraId="1E3E6256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  <w:tr w:rsidR="00DD3A23" w:rsidRPr="00DD3A23" w14:paraId="2F130CC3" w14:textId="77777777" w:rsidTr="00DD3A2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EDE288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38.176-2</w:t>
            </w:r>
          </w:p>
        </w:tc>
        <w:tc>
          <w:tcPr>
            <w:tcW w:w="708" w:type="dxa"/>
          </w:tcPr>
          <w:p w14:paraId="1BC6482C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0036</w:t>
            </w:r>
          </w:p>
        </w:tc>
        <w:tc>
          <w:tcPr>
            <w:tcW w:w="567" w:type="dxa"/>
          </w:tcPr>
          <w:p w14:paraId="20CB742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8332660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D540B8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38.176-2, Correction on scaling factor for IAB-DU type 1-O</w:t>
            </w:r>
          </w:p>
        </w:tc>
        <w:tc>
          <w:tcPr>
            <w:tcW w:w="567" w:type="dxa"/>
          </w:tcPr>
          <w:p w14:paraId="3C4B7EB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7499E5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E4CDB68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89F02A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R4-2318286</w:t>
            </w:r>
          </w:p>
        </w:tc>
        <w:tc>
          <w:tcPr>
            <w:tcW w:w="1984" w:type="dxa"/>
          </w:tcPr>
          <w:p w14:paraId="17CF2465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00B405D2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NR_IAB-Perf</w:t>
            </w:r>
          </w:p>
        </w:tc>
        <w:tc>
          <w:tcPr>
            <w:tcW w:w="2693" w:type="dxa"/>
          </w:tcPr>
          <w:p w14:paraId="154FF593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6.7.4.6.1</w:t>
            </w:r>
          </w:p>
        </w:tc>
        <w:tc>
          <w:tcPr>
            <w:tcW w:w="1133" w:type="dxa"/>
          </w:tcPr>
          <w:p w14:paraId="378CC94B" w14:textId="77777777" w:rsidR="00DD3A23" w:rsidRDefault="00DD3A23" w:rsidP="00DD3A23">
            <w:pPr>
              <w:rPr>
                <w:rFonts w:ascii="Arial" w:hAnsi="Arial" w:cs="Arial"/>
                <w:sz w:val="16"/>
              </w:rPr>
            </w:pPr>
          </w:p>
        </w:tc>
      </w:tr>
    </w:tbl>
    <w:p w14:paraId="08DD7427" w14:textId="77777777" w:rsidR="00DD3A23" w:rsidRDefault="00DD3A23"/>
    <w:p w14:paraId="32BDB171" w14:textId="77777777" w:rsidR="00DD3A23" w:rsidRDefault="00DD3A23"/>
    <w:sectPr w:rsidR="00DD3A23" w:rsidSect="00DD3A2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A23"/>
    <w:rsid w:val="00D62F0A"/>
    <w:rsid w:val="00DD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2CF9"/>
  <w15:chartTrackingRefBased/>
  <w15:docId w15:val="{B4675E97-7F6A-47F7-B036-91771C2D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2023-12-01T22:44:00Z</dcterms:created>
  <dcterms:modified xsi:type="dcterms:W3CDTF">2023-12-01T22:49:00Z</dcterms:modified>
</cp:coreProperties>
</file>