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8755D1" w:rsidRDefault="00E905C5" w:rsidP="00901F27">
      <w:pPr>
        <w:pStyle w:val="TitreDocumet"/>
      </w:pPr>
    </w:p>
    <w:p w:rsidR="000C7937" w:rsidRPr="008755D1" w:rsidRDefault="000C7937">
      <w:pPr>
        <w:pStyle w:val="TitreDocumet"/>
      </w:pPr>
    </w:p>
    <w:p w:rsidR="006C5829" w:rsidRPr="008755D1" w:rsidRDefault="006C5829">
      <w:pPr>
        <w:pStyle w:val="TitreDocumet"/>
      </w:pPr>
      <w:r w:rsidRPr="008755D1">
        <w:t>p</w:t>
      </w:r>
      <w:r w:rsidR="0019539F" w:rsidRPr="008755D1">
        <w:t xml:space="preserve">CR </w:t>
      </w:r>
      <w:r w:rsidRPr="008755D1">
        <w:t>for text inclusion in TR 45.820 :</w:t>
      </w:r>
    </w:p>
    <w:p w:rsidR="00033350" w:rsidRPr="008755D1" w:rsidRDefault="0019539F">
      <w:pPr>
        <w:pStyle w:val="TitreDocumet"/>
      </w:pPr>
      <w:r w:rsidRPr="008755D1">
        <w:t xml:space="preserve">C-UNB </w:t>
      </w:r>
      <w:r w:rsidR="009B5B97">
        <w:t>Network capacity evaluation</w:t>
      </w:r>
    </w:p>
    <w:p w:rsidR="00033350" w:rsidRPr="008755D1" w:rsidRDefault="00033350">
      <w:pPr>
        <w:pStyle w:val="TitreDocumet"/>
      </w:pPr>
    </w:p>
    <w:p w:rsidR="00033350" w:rsidRPr="008755D1" w:rsidRDefault="00033350">
      <w:pPr>
        <w:pStyle w:val="TitreDocumet"/>
        <w:rPr>
          <w:i/>
        </w:rPr>
      </w:pPr>
    </w:p>
    <w:p w:rsidR="0019539F" w:rsidRPr="008755D1" w:rsidRDefault="0019539F">
      <w:pPr>
        <w:pStyle w:val="TitreDocumet"/>
      </w:pPr>
    </w:p>
    <w:p w:rsidR="0019539F" w:rsidRPr="008755D1" w:rsidRDefault="0019539F">
      <w:pPr>
        <w:pStyle w:val="TitreDocumet"/>
      </w:pPr>
    </w:p>
    <w:p w:rsidR="0019539F" w:rsidRPr="008755D1" w:rsidRDefault="0019539F" w:rsidP="0019539F">
      <w:pPr>
        <w:rPr>
          <w:b/>
        </w:rPr>
      </w:pPr>
      <w:r w:rsidRPr="008755D1">
        <w:rPr>
          <w:b/>
        </w:rPr>
        <w:t>Introduction</w:t>
      </w:r>
    </w:p>
    <w:p w:rsidR="0019539F" w:rsidRPr="008755D1" w:rsidRDefault="0019539F" w:rsidP="0019539F">
      <w:r w:rsidRPr="008755D1">
        <w:t>This document provides</w:t>
      </w:r>
      <w:bookmarkStart w:id="0" w:name="_GoBack"/>
      <w:bookmarkEnd w:id="0"/>
      <w:r w:rsidRPr="008755D1">
        <w:t xml:space="preserve"> text </w:t>
      </w:r>
      <w:r w:rsidR="0014386B" w:rsidRPr="008755D1">
        <w:t xml:space="preserve">on the C-UNB candidate solution </w:t>
      </w:r>
      <w:r w:rsidR="006E5866" w:rsidRPr="008755D1">
        <w:t xml:space="preserve">for </w:t>
      </w:r>
      <w:r w:rsidR="0014386B" w:rsidRPr="008755D1">
        <w:t xml:space="preserve">inclusion in </w:t>
      </w:r>
      <w:r w:rsidR="006E5866" w:rsidRPr="008755D1">
        <w:t xml:space="preserve">section </w:t>
      </w:r>
      <w:r w:rsidR="00CE7839" w:rsidRPr="008755D1">
        <w:t>7.4</w:t>
      </w:r>
      <w:r w:rsidR="006E5866" w:rsidRPr="008755D1">
        <w:t xml:space="preserve"> of the Techni</w:t>
      </w:r>
      <w:r w:rsidR="00277920" w:rsidRPr="008755D1">
        <w:t>cal Report 45.820 revision 1.4.0</w:t>
      </w:r>
      <w:r w:rsidR="0014386B" w:rsidRPr="008755D1">
        <w:t>.</w:t>
      </w:r>
    </w:p>
    <w:p w:rsidR="00835AEE" w:rsidRPr="008755D1" w:rsidRDefault="00835AEE" w:rsidP="00277920">
      <w:r w:rsidRPr="008755D1">
        <w:t>The</w:t>
      </w:r>
      <w:r w:rsidR="0052454E" w:rsidRPr="008755D1">
        <w:t xml:space="preserve"> proposed text </w:t>
      </w:r>
      <w:r w:rsidR="00277920" w:rsidRPr="008755D1">
        <w:t xml:space="preserve">describes the </w:t>
      </w:r>
      <w:r w:rsidR="009B5B97">
        <w:t>network capacity</w:t>
      </w:r>
      <w:r w:rsidR="00697858" w:rsidRPr="008755D1">
        <w:t xml:space="preserve"> evaluation</w:t>
      </w:r>
      <w:r w:rsidR="00277920" w:rsidRPr="008755D1">
        <w:t xml:space="preserve"> of the C-UNB solution.</w:t>
      </w:r>
    </w:p>
    <w:p w:rsidR="00835AEE" w:rsidRPr="008755D1" w:rsidRDefault="00835AEE" w:rsidP="0019539F"/>
    <w:p w:rsidR="00835AEE" w:rsidRPr="008755D1" w:rsidRDefault="00835AEE" w:rsidP="0019539F"/>
    <w:p w:rsidR="006F525D" w:rsidRPr="008755D1" w:rsidRDefault="00835AEE" w:rsidP="00277920">
      <w:pPr>
        <w:jc w:val="center"/>
        <w:rPr>
          <w:b/>
        </w:rPr>
      </w:pPr>
      <w:r w:rsidRPr="008755D1">
        <w:rPr>
          <w:b/>
        </w:rPr>
        <w:t>Proposed text for the TR</w:t>
      </w:r>
    </w:p>
    <w:p w:rsidR="0019539F" w:rsidRPr="008755D1" w:rsidRDefault="0019539F" w:rsidP="0019539F">
      <w:pPr>
        <w:rPr>
          <w:b/>
        </w:rPr>
      </w:pPr>
    </w:p>
    <w:p w:rsidR="00033350" w:rsidRPr="008755D1"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8755D1">
        <w:t>Start of Changes</w:t>
      </w:r>
    </w:p>
    <w:p w:rsidR="000C7937" w:rsidRPr="008755D1" w:rsidRDefault="000C7937">
      <w:pPr>
        <w:pStyle w:val="TitreDocumet"/>
      </w:pPr>
    </w:p>
    <w:p w:rsidR="00277920" w:rsidRPr="008755D1" w:rsidRDefault="00E7268B" w:rsidP="00EB0ED7">
      <w:pPr>
        <w:pStyle w:val="Titre2"/>
      </w:pPr>
      <w:r w:rsidRPr="008755D1">
        <w:t>Cooperative Ultra Narrow Band</w:t>
      </w:r>
    </w:p>
    <w:p w:rsidR="00702CCE" w:rsidRPr="008755D1" w:rsidRDefault="00E7268B" w:rsidP="00277920">
      <w:pPr>
        <w:pStyle w:val="Titre3"/>
      </w:pPr>
      <w:r w:rsidRPr="008755D1">
        <w:t>General description</w:t>
      </w:r>
    </w:p>
    <w:p w:rsidR="00277920" w:rsidRPr="008755D1" w:rsidRDefault="00277920" w:rsidP="001622D5">
      <w:pPr>
        <w:pStyle w:val="Titre3"/>
      </w:pPr>
      <w:r w:rsidRPr="008755D1">
        <w:t xml:space="preserve">Downlink physical </w:t>
      </w:r>
      <w:r w:rsidR="001622D5" w:rsidRPr="008755D1">
        <w:t xml:space="preserve">layer </w:t>
      </w:r>
      <w:r w:rsidRPr="008755D1">
        <w:t>design</w:t>
      </w:r>
    </w:p>
    <w:p w:rsidR="001622D5" w:rsidRPr="008755D1" w:rsidRDefault="00513576" w:rsidP="00513576">
      <w:pPr>
        <w:pStyle w:val="Titre3"/>
      </w:pPr>
      <w:r w:rsidRPr="008755D1">
        <w:t>Uplink physical layer design</w:t>
      </w:r>
    </w:p>
    <w:p w:rsidR="00604BDD" w:rsidRPr="008755D1" w:rsidRDefault="001622D5" w:rsidP="001622D5">
      <w:pPr>
        <w:pStyle w:val="Titre3"/>
      </w:pPr>
      <w:r w:rsidRPr="008755D1">
        <w:t>Link layer aspects</w:t>
      </w:r>
    </w:p>
    <w:p w:rsidR="00697858" w:rsidRPr="008755D1" w:rsidRDefault="00604BDD" w:rsidP="00604BDD">
      <w:pPr>
        <w:pStyle w:val="Titre3"/>
      </w:pPr>
      <w:r w:rsidRPr="008755D1">
        <w:t>Radio resource management</w:t>
      </w:r>
    </w:p>
    <w:p w:rsidR="00697858" w:rsidRPr="008755D1" w:rsidRDefault="00697858" w:rsidP="00697858">
      <w:pPr>
        <w:pStyle w:val="Titre3"/>
      </w:pPr>
      <w:r w:rsidRPr="008755D1">
        <w:t>Concept evaluation</w:t>
      </w:r>
    </w:p>
    <w:p w:rsidR="00913029" w:rsidRPr="008755D1" w:rsidRDefault="00697858" w:rsidP="00A92B03">
      <w:pPr>
        <w:pStyle w:val="Titre4"/>
      </w:pPr>
      <w:r w:rsidRPr="008755D1">
        <w:t>Latency evaluation</w:t>
      </w:r>
    </w:p>
    <w:p w:rsidR="0083121A" w:rsidRPr="008755D1" w:rsidRDefault="00913029" w:rsidP="00913029">
      <w:pPr>
        <w:pStyle w:val="Titre4"/>
      </w:pPr>
      <w:r w:rsidRPr="008755D1">
        <w:t>Battery life evaluation</w:t>
      </w:r>
    </w:p>
    <w:p w:rsidR="00913029" w:rsidRPr="008755D1" w:rsidRDefault="0083121A" w:rsidP="0083121A">
      <w:pPr>
        <w:pStyle w:val="Titre4"/>
      </w:pPr>
      <w:r w:rsidRPr="008755D1">
        <w:t>Network capacity evaluation</w:t>
      </w:r>
    </w:p>
    <w:p w:rsidR="008755D1" w:rsidRPr="008755D1" w:rsidRDefault="008755D1" w:rsidP="00AD6048">
      <w:pPr>
        <w:pStyle w:val="Titre5"/>
      </w:pPr>
      <w:r w:rsidRPr="008755D1">
        <w:t>Evaluation methodology</w:t>
      </w:r>
    </w:p>
    <w:p w:rsidR="008755D1" w:rsidRPr="008755D1" w:rsidRDefault="008755D1" w:rsidP="00AD6048">
      <w:r w:rsidRPr="008755D1">
        <w:t>For network c</w:t>
      </w:r>
      <w:r w:rsidR="009B5B97">
        <w:t>apacity evaluation, the present document</w:t>
      </w:r>
      <w:r w:rsidRPr="008755D1">
        <w:t xml:space="preserve"> sets assumptions on traffic model and MS density and encourages using simulation tools for capacity evaluation. In the present contribution, network capacity is evaluated with an analytical model of the C-UNB radio access technology. Considering the simplicity of the C-UNB RAT, we propose to consider these results to be realistic enough to get preliminary results on the capacity. More detailed results based on simulation model are FFS.</w:t>
      </w:r>
    </w:p>
    <w:p w:rsidR="008755D1" w:rsidRPr="008755D1" w:rsidRDefault="008755D1" w:rsidP="00AD6048"/>
    <w:p w:rsidR="008755D1" w:rsidRPr="008755D1" w:rsidRDefault="008755D1" w:rsidP="008755D1">
      <w:pPr>
        <w:pStyle w:val="Titre6"/>
      </w:pPr>
      <w:r w:rsidRPr="008755D1">
        <w:t>Traffic model</w:t>
      </w:r>
    </w:p>
    <w:p w:rsidR="008755D1" w:rsidRPr="008755D1" w:rsidRDefault="009B5B97" w:rsidP="008755D1">
      <w:r>
        <w:t>In the present study</w:t>
      </w:r>
      <w:r w:rsidR="008755D1" w:rsidRPr="008755D1">
        <w:t>, the traffic model per MS is defined with two parameters: the number of MAR per day and the distribution of the MAR size.</w:t>
      </w:r>
    </w:p>
    <w:p w:rsidR="008755D1" w:rsidRPr="008755D1" w:rsidRDefault="008755D1" w:rsidP="008755D1"/>
    <w:p w:rsidR="008755D1" w:rsidRPr="008755D1" w:rsidRDefault="008755D1" w:rsidP="008755D1">
      <w:r w:rsidRPr="008755D1">
        <w:t xml:space="preserve">The number of MAR per day is defined with for values of the inter-arrival time. As there is always a large number of MS in a given cell, we propose to evaluate the network capacity with one "mean type" of MS, implementing a "mean value" of inter-arrival time (i.e. an average number </w:t>
      </w:r>
      <w:r w:rsidR="009B5B97">
        <w:t>of MAR per day). Table 7.4.6.6</w:t>
      </w:r>
      <w:r w:rsidRPr="008755D1">
        <w:t xml:space="preserve"> gives the value used in the C-UNB analytical model.</w:t>
      </w:r>
    </w:p>
    <w:p w:rsidR="008755D1" w:rsidRPr="008755D1" w:rsidRDefault="008755D1" w:rsidP="008755D1"/>
    <w:p w:rsidR="008755D1" w:rsidRPr="008755D1" w:rsidRDefault="009B5B97" w:rsidP="008755D1">
      <w:pPr>
        <w:jc w:val="center"/>
      </w:pPr>
      <w:r>
        <w:t>Table 7.4.6.6</w:t>
      </w:r>
      <w:r w:rsidR="008755D1" w:rsidRPr="008755D1">
        <w:t>: Average # of MAR per day used in C-UNB capacity analysis</w:t>
      </w:r>
    </w:p>
    <w:tbl>
      <w:tblPr>
        <w:tblStyle w:val="Grille"/>
        <w:tblW w:w="6165" w:type="dxa"/>
        <w:jc w:val="center"/>
        <w:tblInd w:w="534" w:type="dxa"/>
        <w:tblLook w:val="00BF"/>
      </w:tblPr>
      <w:tblGrid>
        <w:gridCol w:w="1417"/>
        <w:gridCol w:w="1417"/>
        <w:gridCol w:w="1489"/>
        <w:gridCol w:w="1842"/>
      </w:tblGrid>
      <w:tr w:rsidR="008755D1" w:rsidRPr="008755D1">
        <w:trPr>
          <w:jc w:val="center"/>
        </w:trPr>
        <w:tc>
          <w:tcPr>
            <w:tcW w:w="1417" w:type="dxa"/>
          </w:tcPr>
          <w:p w:rsidR="008755D1" w:rsidRPr="008755D1" w:rsidRDefault="008755D1" w:rsidP="00AD6048">
            <w:pPr>
              <w:jc w:val="center"/>
            </w:pPr>
            <w:r w:rsidRPr="008755D1">
              <w:t>ratio</w:t>
            </w:r>
          </w:p>
        </w:tc>
        <w:tc>
          <w:tcPr>
            <w:tcW w:w="1417" w:type="dxa"/>
          </w:tcPr>
          <w:p w:rsidR="008755D1" w:rsidRPr="008755D1" w:rsidRDefault="008755D1" w:rsidP="00AD6048">
            <w:pPr>
              <w:jc w:val="center"/>
            </w:pPr>
            <w:r w:rsidRPr="008755D1">
              <w:t>inter-arrival</w:t>
            </w:r>
          </w:p>
          <w:p w:rsidR="008755D1" w:rsidRPr="008755D1" w:rsidRDefault="008755D1" w:rsidP="00AD6048">
            <w:pPr>
              <w:jc w:val="center"/>
            </w:pPr>
            <w:r w:rsidRPr="008755D1">
              <w:t>time</w:t>
            </w:r>
          </w:p>
        </w:tc>
        <w:tc>
          <w:tcPr>
            <w:tcW w:w="1489" w:type="dxa"/>
          </w:tcPr>
          <w:p w:rsidR="008755D1" w:rsidRPr="008755D1" w:rsidRDefault="008755D1" w:rsidP="00AD6048">
            <w:pPr>
              <w:jc w:val="center"/>
            </w:pPr>
            <w:r w:rsidRPr="008755D1">
              <w:t>equivalent</w:t>
            </w:r>
          </w:p>
          <w:p w:rsidR="008755D1" w:rsidRPr="008755D1" w:rsidRDefault="008755D1" w:rsidP="00AD6048">
            <w:pPr>
              <w:jc w:val="center"/>
            </w:pPr>
            <w:r w:rsidRPr="008755D1">
              <w:t>number of</w:t>
            </w:r>
          </w:p>
          <w:p w:rsidR="008755D1" w:rsidRPr="008755D1" w:rsidRDefault="008755D1" w:rsidP="00AD6048">
            <w:pPr>
              <w:jc w:val="center"/>
            </w:pPr>
            <w:r w:rsidRPr="008755D1">
              <w:t>MAR per day</w:t>
            </w:r>
          </w:p>
        </w:tc>
        <w:tc>
          <w:tcPr>
            <w:tcW w:w="1842" w:type="dxa"/>
          </w:tcPr>
          <w:p w:rsidR="008755D1" w:rsidRPr="008755D1" w:rsidRDefault="008755D1" w:rsidP="00AD6048">
            <w:pPr>
              <w:jc w:val="center"/>
            </w:pPr>
            <w:r w:rsidRPr="008755D1">
              <w:t>average number of MAR per day</w:t>
            </w:r>
          </w:p>
        </w:tc>
      </w:tr>
      <w:tr w:rsidR="008755D1" w:rsidRPr="008755D1">
        <w:trPr>
          <w:jc w:val="center"/>
        </w:trPr>
        <w:tc>
          <w:tcPr>
            <w:tcW w:w="1417" w:type="dxa"/>
          </w:tcPr>
          <w:p w:rsidR="008755D1" w:rsidRPr="008755D1" w:rsidRDefault="008755D1" w:rsidP="00AD6048">
            <w:pPr>
              <w:jc w:val="center"/>
            </w:pPr>
            <w:r w:rsidRPr="008755D1">
              <w:t>40%</w:t>
            </w:r>
          </w:p>
        </w:tc>
        <w:tc>
          <w:tcPr>
            <w:tcW w:w="1417" w:type="dxa"/>
          </w:tcPr>
          <w:p w:rsidR="008755D1" w:rsidRPr="008755D1" w:rsidRDefault="008755D1" w:rsidP="00AD6048">
            <w:pPr>
              <w:jc w:val="center"/>
            </w:pPr>
            <w:r w:rsidRPr="008755D1">
              <w:t>1 day</w:t>
            </w:r>
          </w:p>
        </w:tc>
        <w:tc>
          <w:tcPr>
            <w:tcW w:w="1489" w:type="dxa"/>
          </w:tcPr>
          <w:p w:rsidR="008755D1" w:rsidRPr="008755D1" w:rsidRDefault="008755D1" w:rsidP="00AD6048">
            <w:pPr>
              <w:jc w:val="center"/>
            </w:pPr>
            <w:r w:rsidRPr="008755D1">
              <w:t>1</w:t>
            </w:r>
          </w:p>
        </w:tc>
        <w:tc>
          <w:tcPr>
            <w:tcW w:w="1842" w:type="dxa"/>
            <w:vMerge w:val="restart"/>
          </w:tcPr>
          <w:p w:rsidR="008755D1" w:rsidRPr="008755D1" w:rsidRDefault="008755D1" w:rsidP="00AD6048">
            <w:pPr>
              <w:jc w:val="center"/>
            </w:pPr>
          </w:p>
          <w:p w:rsidR="008755D1" w:rsidRPr="008755D1" w:rsidRDefault="008755D1" w:rsidP="00AD6048">
            <w:pPr>
              <w:jc w:val="center"/>
            </w:pPr>
            <w:r w:rsidRPr="008755D1">
              <w:t>11,2</w:t>
            </w:r>
          </w:p>
        </w:tc>
      </w:tr>
      <w:tr w:rsidR="008755D1" w:rsidRPr="008755D1">
        <w:trPr>
          <w:jc w:val="center"/>
        </w:trPr>
        <w:tc>
          <w:tcPr>
            <w:tcW w:w="1417" w:type="dxa"/>
          </w:tcPr>
          <w:p w:rsidR="008755D1" w:rsidRPr="008755D1" w:rsidRDefault="008755D1" w:rsidP="00AD6048">
            <w:pPr>
              <w:jc w:val="center"/>
            </w:pPr>
            <w:r w:rsidRPr="008755D1">
              <w:t>40%</w:t>
            </w:r>
          </w:p>
        </w:tc>
        <w:tc>
          <w:tcPr>
            <w:tcW w:w="1417" w:type="dxa"/>
          </w:tcPr>
          <w:p w:rsidR="008755D1" w:rsidRPr="008755D1" w:rsidRDefault="008755D1" w:rsidP="00AD6048">
            <w:pPr>
              <w:jc w:val="center"/>
            </w:pPr>
            <w:r w:rsidRPr="008755D1">
              <w:t>2 hours</w:t>
            </w:r>
          </w:p>
        </w:tc>
        <w:tc>
          <w:tcPr>
            <w:tcW w:w="1489" w:type="dxa"/>
          </w:tcPr>
          <w:p w:rsidR="008755D1" w:rsidRPr="008755D1" w:rsidRDefault="008755D1" w:rsidP="00AD6048">
            <w:pPr>
              <w:jc w:val="center"/>
            </w:pPr>
            <w:r w:rsidRPr="008755D1">
              <w:t>12</w:t>
            </w:r>
          </w:p>
        </w:tc>
        <w:tc>
          <w:tcPr>
            <w:tcW w:w="1842" w:type="dxa"/>
            <w:vMerge/>
          </w:tcPr>
          <w:p w:rsidR="008755D1" w:rsidRPr="008755D1" w:rsidRDefault="008755D1" w:rsidP="00AD6048"/>
        </w:tc>
      </w:tr>
      <w:tr w:rsidR="008755D1" w:rsidRPr="008755D1">
        <w:trPr>
          <w:jc w:val="center"/>
        </w:trPr>
        <w:tc>
          <w:tcPr>
            <w:tcW w:w="1417" w:type="dxa"/>
          </w:tcPr>
          <w:p w:rsidR="008755D1" w:rsidRPr="008755D1" w:rsidRDefault="008755D1" w:rsidP="00AD6048">
            <w:pPr>
              <w:jc w:val="center"/>
            </w:pPr>
            <w:r w:rsidRPr="008755D1">
              <w:t>15%</w:t>
            </w:r>
          </w:p>
        </w:tc>
        <w:tc>
          <w:tcPr>
            <w:tcW w:w="1417" w:type="dxa"/>
          </w:tcPr>
          <w:p w:rsidR="008755D1" w:rsidRPr="008755D1" w:rsidRDefault="008755D1" w:rsidP="00AD6048">
            <w:pPr>
              <w:jc w:val="center"/>
            </w:pPr>
            <w:r w:rsidRPr="008755D1">
              <w:t>1 hour</w:t>
            </w:r>
          </w:p>
        </w:tc>
        <w:tc>
          <w:tcPr>
            <w:tcW w:w="1489" w:type="dxa"/>
          </w:tcPr>
          <w:p w:rsidR="008755D1" w:rsidRPr="008755D1" w:rsidRDefault="008755D1" w:rsidP="00AD6048">
            <w:pPr>
              <w:jc w:val="center"/>
            </w:pPr>
            <w:r w:rsidRPr="008755D1">
              <w:t>24</w:t>
            </w:r>
          </w:p>
        </w:tc>
        <w:tc>
          <w:tcPr>
            <w:tcW w:w="1842" w:type="dxa"/>
            <w:vMerge/>
          </w:tcPr>
          <w:p w:rsidR="008755D1" w:rsidRPr="008755D1" w:rsidRDefault="008755D1" w:rsidP="00AD6048"/>
        </w:tc>
      </w:tr>
      <w:tr w:rsidR="008755D1" w:rsidRPr="008755D1">
        <w:trPr>
          <w:jc w:val="center"/>
        </w:trPr>
        <w:tc>
          <w:tcPr>
            <w:tcW w:w="1417" w:type="dxa"/>
          </w:tcPr>
          <w:p w:rsidR="008755D1" w:rsidRPr="008755D1" w:rsidRDefault="008755D1" w:rsidP="00AD6048">
            <w:pPr>
              <w:jc w:val="center"/>
            </w:pPr>
            <w:r w:rsidRPr="008755D1">
              <w:t>5%</w:t>
            </w:r>
          </w:p>
        </w:tc>
        <w:tc>
          <w:tcPr>
            <w:tcW w:w="1417" w:type="dxa"/>
          </w:tcPr>
          <w:p w:rsidR="008755D1" w:rsidRPr="008755D1" w:rsidRDefault="008755D1" w:rsidP="00AD6048">
            <w:pPr>
              <w:jc w:val="center"/>
            </w:pPr>
            <w:r w:rsidRPr="008755D1">
              <w:t>30mn</w:t>
            </w:r>
          </w:p>
        </w:tc>
        <w:tc>
          <w:tcPr>
            <w:tcW w:w="1489" w:type="dxa"/>
          </w:tcPr>
          <w:p w:rsidR="008755D1" w:rsidRPr="008755D1" w:rsidRDefault="008755D1" w:rsidP="00AD6048">
            <w:pPr>
              <w:jc w:val="center"/>
            </w:pPr>
            <w:r w:rsidRPr="008755D1">
              <w:t>48</w:t>
            </w:r>
          </w:p>
        </w:tc>
        <w:tc>
          <w:tcPr>
            <w:tcW w:w="1842" w:type="dxa"/>
            <w:vMerge/>
          </w:tcPr>
          <w:p w:rsidR="008755D1" w:rsidRPr="008755D1" w:rsidRDefault="008755D1" w:rsidP="00AD6048"/>
        </w:tc>
      </w:tr>
    </w:tbl>
    <w:p w:rsidR="008755D1" w:rsidRPr="008755D1" w:rsidRDefault="008755D1" w:rsidP="008755D1"/>
    <w:p w:rsidR="008755D1" w:rsidRPr="008755D1" w:rsidRDefault="008755D1" w:rsidP="008755D1"/>
    <w:p w:rsidR="008755D1" w:rsidRPr="008755D1" w:rsidRDefault="009B5B97" w:rsidP="008755D1">
      <w:r>
        <w:t>In the present study</w:t>
      </w:r>
      <w:r w:rsidR="008755D1" w:rsidRPr="008755D1">
        <w:t>, the second parameter for defining the traffic model is the size of application data carried by MARs. This size is defined as a Pareto distribution with min value of 20 bytes, max value of 200 bytes and a coefficient of 2.5. This formula is quite complex to evaluate in an analytical model, such as the one we use in C-UNB. Therefore we propose to split the calculation in four parts and made a weighted average at the end:</w:t>
      </w:r>
    </w:p>
    <w:p w:rsidR="008755D1" w:rsidRPr="008755D1" w:rsidRDefault="008755D1" w:rsidP="008755D1">
      <w:pPr>
        <w:pStyle w:val="Listeretrait"/>
      </w:pPr>
      <w:r w:rsidRPr="008755D1">
        <w:t>use four different values of MAR sizes,</w:t>
      </w:r>
    </w:p>
    <w:p w:rsidR="008755D1" w:rsidRPr="008755D1" w:rsidRDefault="008755D1" w:rsidP="008755D1">
      <w:pPr>
        <w:pStyle w:val="Listeretrait"/>
      </w:pPr>
      <w:r w:rsidRPr="008755D1">
        <w:t>evaluate the network capacity with these four MAR sizes</w:t>
      </w:r>
    </w:p>
    <w:p w:rsidR="008755D1" w:rsidRPr="008755D1" w:rsidRDefault="008755D1" w:rsidP="008755D1">
      <w:pPr>
        <w:pStyle w:val="Listeretrait"/>
      </w:pPr>
      <w:r w:rsidRPr="008755D1">
        <w:t>make a weighted average of rough capacity results with the Pareto ratios.</w:t>
      </w:r>
    </w:p>
    <w:p w:rsidR="008755D1" w:rsidRPr="008755D1" w:rsidRDefault="008755D1" w:rsidP="008755D1"/>
    <w:p w:rsidR="008755D1" w:rsidRPr="008755D1" w:rsidRDefault="008755D1" w:rsidP="008755D1">
      <w:r w:rsidRPr="008755D1">
        <w:t>As there is a full decade between min and max values of the application data size, we propose to define the MAR size with a log scale. The four MAR sizes and corresponding Pareto's ratios are given i</w:t>
      </w:r>
      <w:r w:rsidR="009B5B97">
        <w:t>n table 7.4.6.7</w:t>
      </w:r>
      <w:r w:rsidRPr="008755D1">
        <w:t>.</w:t>
      </w:r>
    </w:p>
    <w:p w:rsidR="008755D1" w:rsidRPr="008755D1" w:rsidRDefault="008755D1" w:rsidP="008755D1"/>
    <w:p w:rsidR="008755D1" w:rsidRPr="008755D1" w:rsidRDefault="009B5B97" w:rsidP="008755D1">
      <w:pPr>
        <w:jc w:val="center"/>
      </w:pPr>
      <w:r>
        <w:t>Table 7.4.6.7</w:t>
      </w:r>
      <w:r w:rsidR="008755D1" w:rsidRPr="008755D1">
        <w:t>: MAR sizes and corresponding Pareto ratios</w:t>
      </w:r>
      <w:r w:rsidR="008755D1" w:rsidRPr="008755D1">
        <w:br/>
        <w:t>used in network capacity evaluation</w:t>
      </w:r>
    </w:p>
    <w:tbl>
      <w:tblPr>
        <w:tblStyle w:val="Grille"/>
        <w:tblW w:w="6237" w:type="dxa"/>
        <w:tblInd w:w="1809" w:type="dxa"/>
        <w:tblLook w:val="00BF"/>
      </w:tblPr>
      <w:tblGrid>
        <w:gridCol w:w="1701"/>
        <w:gridCol w:w="2268"/>
        <w:gridCol w:w="2268"/>
      </w:tblGrid>
      <w:tr w:rsidR="008755D1" w:rsidRPr="008755D1">
        <w:tc>
          <w:tcPr>
            <w:tcW w:w="1701" w:type="dxa"/>
          </w:tcPr>
          <w:p w:rsidR="008755D1" w:rsidRPr="008755D1" w:rsidRDefault="008755D1" w:rsidP="00AD6048">
            <w:pPr>
              <w:jc w:val="center"/>
            </w:pPr>
            <w:r w:rsidRPr="008755D1">
              <w:t>index</w:t>
            </w:r>
          </w:p>
        </w:tc>
        <w:tc>
          <w:tcPr>
            <w:tcW w:w="2268" w:type="dxa"/>
          </w:tcPr>
          <w:p w:rsidR="008755D1" w:rsidRPr="008755D1" w:rsidRDefault="008755D1" w:rsidP="00AD6048">
            <w:pPr>
              <w:jc w:val="center"/>
            </w:pPr>
            <w:r w:rsidRPr="008755D1">
              <w:t>MAR size (in bytes)</w:t>
            </w:r>
          </w:p>
        </w:tc>
        <w:tc>
          <w:tcPr>
            <w:tcW w:w="2268" w:type="dxa"/>
          </w:tcPr>
          <w:p w:rsidR="008755D1" w:rsidRPr="008755D1" w:rsidRDefault="008755D1" w:rsidP="00AD6048">
            <w:pPr>
              <w:jc w:val="center"/>
            </w:pPr>
            <w:r w:rsidRPr="008755D1">
              <w:t>Pareto ratio</w:t>
            </w:r>
          </w:p>
        </w:tc>
      </w:tr>
      <w:tr w:rsidR="008755D1" w:rsidRPr="008755D1">
        <w:tc>
          <w:tcPr>
            <w:tcW w:w="1701" w:type="dxa"/>
          </w:tcPr>
          <w:p w:rsidR="008755D1" w:rsidRPr="008755D1" w:rsidRDefault="008755D1" w:rsidP="00AD6048">
            <w:pPr>
              <w:jc w:val="center"/>
            </w:pPr>
            <w:r w:rsidRPr="008755D1">
              <w:t>1</w:t>
            </w:r>
          </w:p>
        </w:tc>
        <w:tc>
          <w:tcPr>
            <w:tcW w:w="2268" w:type="dxa"/>
          </w:tcPr>
          <w:p w:rsidR="008755D1" w:rsidRPr="008755D1" w:rsidRDefault="008755D1" w:rsidP="00AD6048">
            <w:pPr>
              <w:jc w:val="center"/>
            </w:pPr>
            <w:r w:rsidRPr="008755D1">
              <w:t>20</w:t>
            </w:r>
          </w:p>
        </w:tc>
        <w:tc>
          <w:tcPr>
            <w:tcW w:w="2268" w:type="dxa"/>
          </w:tcPr>
          <w:p w:rsidR="008755D1" w:rsidRPr="008755D1" w:rsidRDefault="008755D1" w:rsidP="00AD6048">
            <w:pPr>
              <w:jc w:val="center"/>
            </w:pPr>
            <w:r w:rsidRPr="008755D1">
              <w:t>0,833</w:t>
            </w:r>
          </w:p>
        </w:tc>
      </w:tr>
      <w:tr w:rsidR="008755D1" w:rsidRPr="008755D1">
        <w:tc>
          <w:tcPr>
            <w:tcW w:w="1701" w:type="dxa"/>
          </w:tcPr>
          <w:p w:rsidR="008755D1" w:rsidRPr="008755D1" w:rsidRDefault="008755D1" w:rsidP="00AD6048">
            <w:pPr>
              <w:jc w:val="center"/>
            </w:pPr>
            <w:r w:rsidRPr="008755D1">
              <w:t>2</w:t>
            </w:r>
          </w:p>
        </w:tc>
        <w:tc>
          <w:tcPr>
            <w:tcW w:w="2268" w:type="dxa"/>
          </w:tcPr>
          <w:p w:rsidR="008755D1" w:rsidRPr="008755D1" w:rsidRDefault="008755D1" w:rsidP="00AD6048">
            <w:pPr>
              <w:jc w:val="center"/>
            </w:pPr>
            <w:r w:rsidRPr="008755D1">
              <w:t>40</w:t>
            </w:r>
          </w:p>
        </w:tc>
        <w:tc>
          <w:tcPr>
            <w:tcW w:w="2268" w:type="dxa"/>
          </w:tcPr>
          <w:p w:rsidR="008755D1" w:rsidRPr="008755D1" w:rsidRDefault="008755D1" w:rsidP="00AD6048">
            <w:pPr>
              <w:jc w:val="center"/>
            </w:pPr>
            <w:r w:rsidRPr="008755D1">
              <w:t>0,147</w:t>
            </w:r>
          </w:p>
        </w:tc>
      </w:tr>
      <w:tr w:rsidR="008755D1" w:rsidRPr="008755D1">
        <w:tc>
          <w:tcPr>
            <w:tcW w:w="1701" w:type="dxa"/>
          </w:tcPr>
          <w:p w:rsidR="008755D1" w:rsidRPr="008755D1" w:rsidRDefault="008755D1" w:rsidP="00AD6048">
            <w:pPr>
              <w:jc w:val="center"/>
            </w:pPr>
            <w:r w:rsidRPr="008755D1">
              <w:t>5</w:t>
            </w:r>
          </w:p>
        </w:tc>
        <w:tc>
          <w:tcPr>
            <w:tcW w:w="2268" w:type="dxa"/>
          </w:tcPr>
          <w:p w:rsidR="008755D1" w:rsidRPr="008755D1" w:rsidRDefault="008755D1" w:rsidP="00AD6048">
            <w:pPr>
              <w:jc w:val="center"/>
            </w:pPr>
            <w:r w:rsidRPr="008755D1">
              <w:t>100</w:t>
            </w:r>
          </w:p>
        </w:tc>
        <w:tc>
          <w:tcPr>
            <w:tcW w:w="2268" w:type="dxa"/>
          </w:tcPr>
          <w:p w:rsidR="008755D1" w:rsidRPr="008755D1" w:rsidRDefault="008755D1" w:rsidP="00AD6048">
            <w:pPr>
              <w:jc w:val="center"/>
            </w:pPr>
            <w:r w:rsidRPr="008755D1">
              <w:t>0,015</w:t>
            </w:r>
          </w:p>
        </w:tc>
      </w:tr>
      <w:tr w:rsidR="008755D1" w:rsidRPr="008755D1">
        <w:tc>
          <w:tcPr>
            <w:tcW w:w="1701" w:type="dxa"/>
          </w:tcPr>
          <w:p w:rsidR="008755D1" w:rsidRPr="008755D1" w:rsidRDefault="008755D1" w:rsidP="00AD6048">
            <w:pPr>
              <w:jc w:val="center"/>
            </w:pPr>
            <w:r w:rsidRPr="008755D1">
              <w:t>10</w:t>
            </w:r>
          </w:p>
        </w:tc>
        <w:tc>
          <w:tcPr>
            <w:tcW w:w="2268" w:type="dxa"/>
          </w:tcPr>
          <w:p w:rsidR="008755D1" w:rsidRPr="008755D1" w:rsidRDefault="008755D1" w:rsidP="00AD6048">
            <w:pPr>
              <w:jc w:val="center"/>
            </w:pPr>
            <w:r w:rsidRPr="008755D1">
              <w:t>200</w:t>
            </w:r>
          </w:p>
        </w:tc>
        <w:tc>
          <w:tcPr>
            <w:tcW w:w="2268" w:type="dxa"/>
          </w:tcPr>
          <w:p w:rsidR="008755D1" w:rsidRPr="008755D1" w:rsidRDefault="008755D1" w:rsidP="00AD6048">
            <w:pPr>
              <w:jc w:val="center"/>
            </w:pPr>
            <w:r w:rsidRPr="008755D1">
              <w:t>0,005</w:t>
            </w:r>
          </w:p>
        </w:tc>
      </w:tr>
    </w:tbl>
    <w:p w:rsidR="008755D1" w:rsidRPr="008755D1" w:rsidRDefault="008755D1" w:rsidP="008755D1">
      <w:pPr>
        <w:jc w:val="center"/>
      </w:pPr>
    </w:p>
    <w:p w:rsidR="008755D1" w:rsidRPr="008755D1" w:rsidRDefault="008755D1" w:rsidP="008755D1">
      <w:pPr>
        <w:jc w:val="center"/>
      </w:pPr>
    </w:p>
    <w:p w:rsidR="008755D1" w:rsidRPr="008755D1" w:rsidRDefault="008755D1" w:rsidP="008755D1">
      <w:pPr>
        <w:pStyle w:val="Titre6"/>
      </w:pPr>
      <w:r w:rsidRPr="008755D1">
        <w:t>Coverage</w:t>
      </w:r>
    </w:p>
    <w:p w:rsidR="008755D1" w:rsidRPr="008755D1" w:rsidRDefault="009B5B97" w:rsidP="008755D1">
      <w:r>
        <w:t>Annex E hereunder</w:t>
      </w:r>
      <w:r w:rsidR="008755D1" w:rsidRPr="008755D1">
        <w:t xml:space="preserve"> defines hexagonal tiles for the cellular coverage and the cell site distance of </w:t>
      </w:r>
      <w:r>
        <w:t>tri-sectorized BTS (see figure 7.4.6.3</w:t>
      </w:r>
      <w:r w:rsidR="008755D1" w:rsidRPr="008755D1">
        <w:t>). In common cellular system, a MS is attached to a given sector; hence the network capacity is evaluated per sector that is hexagon shape.</w:t>
      </w:r>
    </w:p>
    <w:p w:rsidR="008755D1" w:rsidRPr="008755D1" w:rsidRDefault="008755D1" w:rsidP="008755D1">
      <w:r w:rsidRPr="008755D1">
        <w:t>In the case of C-UNB, the cooperative reception feature requires an MS to be seen by several base stations. In our capacity evaluation, we have enlarged the coverage of a given sector up to the next BTS. Each sector h</w:t>
      </w:r>
      <w:r w:rsidR="009B5B97">
        <w:t>as a diamond shape (see figure 7.4.6.4</w:t>
      </w:r>
      <w:r w:rsidRPr="008755D1">
        <w:t>) giving three overlaps per sector.</w:t>
      </w:r>
    </w:p>
    <w:p w:rsidR="008755D1" w:rsidRPr="008755D1" w:rsidRDefault="008755D1" w:rsidP="008755D1"/>
    <w:p w:rsidR="008755D1" w:rsidRPr="008755D1" w:rsidRDefault="008755D1" w:rsidP="008755D1">
      <w:pPr>
        <w:jc w:val="center"/>
      </w:pPr>
      <w:r w:rsidRPr="008755D1">
        <w:rPr>
          <w:noProof/>
          <w:lang w:val="fr-FR"/>
        </w:rPr>
        <w:drawing>
          <wp:inline distT="0" distB="0" distL="0" distR="0">
            <wp:extent cx="3098800" cy="1689100"/>
            <wp:effectExtent l="50800" t="25400" r="25400" b="12700"/>
            <wp:docPr id="32" name="Image 0" descr="Cell site s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 site sector.png"/>
                    <pic:cNvPicPr/>
                  </pic:nvPicPr>
                  <pic:blipFill>
                    <a:blip r:embed="rId5"/>
                    <a:stretch>
                      <a:fillRect/>
                    </a:stretch>
                  </pic:blipFill>
                  <pic:spPr>
                    <a:xfrm>
                      <a:off x="0" y="0"/>
                      <a:ext cx="3098800" cy="1689100"/>
                    </a:xfrm>
                    <a:prstGeom prst="rect">
                      <a:avLst/>
                    </a:prstGeom>
                    <a:ln>
                      <a:solidFill>
                        <a:schemeClr val="tx1"/>
                      </a:solidFill>
                    </a:ln>
                  </pic:spPr>
                </pic:pic>
              </a:graphicData>
            </a:graphic>
          </wp:inline>
        </w:drawing>
      </w:r>
    </w:p>
    <w:p w:rsidR="008755D1" w:rsidRPr="008755D1" w:rsidRDefault="009B5B97" w:rsidP="008755D1">
      <w:pPr>
        <w:jc w:val="center"/>
      </w:pPr>
      <w:r>
        <w:t>Figure 7.4.6.3</w:t>
      </w:r>
      <w:r w:rsidR="008755D1" w:rsidRPr="008755D1">
        <w:t>: Cell site sector area definition (from [6])</w:t>
      </w:r>
    </w:p>
    <w:p w:rsidR="008755D1" w:rsidRPr="008755D1" w:rsidRDefault="008755D1" w:rsidP="008755D1">
      <w:pPr>
        <w:jc w:val="center"/>
      </w:pPr>
    </w:p>
    <w:p w:rsidR="008755D1" w:rsidRPr="008755D1" w:rsidRDefault="008755D1" w:rsidP="008755D1">
      <w:pPr>
        <w:jc w:val="center"/>
      </w:pPr>
    </w:p>
    <w:p w:rsidR="008755D1" w:rsidRPr="008755D1" w:rsidRDefault="008755D1" w:rsidP="008755D1">
      <w:pPr>
        <w:jc w:val="center"/>
      </w:pPr>
      <w:r w:rsidRPr="008755D1">
        <w:rPr>
          <w:noProof/>
          <w:lang w:val="fr-FR"/>
        </w:rPr>
        <w:drawing>
          <wp:inline distT="0" distB="0" distL="0" distR="0">
            <wp:extent cx="4748481" cy="1960926"/>
            <wp:effectExtent l="50800" t="25400" r="26719" b="20274"/>
            <wp:docPr id="33" name="Image 1" descr="SchémaSecteurLosan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SecteurLosange.png"/>
                    <pic:cNvPicPr/>
                  </pic:nvPicPr>
                  <pic:blipFill>
                    <a:blip r:embed="rId6"/>
                    <a:stretch>
                      <a:fillRect/>
                    </a:stretch>
                  </pic:blipFill>
                  <pic:spPr>
                    <a:xfrm>
                      <a:off x="0" y="0"/>
                      <a:ext cx="4747227" cy="1960408"/>
                    </a:xfrm>
                    <a:prstGeom prst="rect">
                      <a:avLst/>
                    </a:prstGeom>
                    <a:ln>
                      <a:solidFill>
                        <a:schemeClr val="tx1"/>
                      </a:solidFill>
                    </a:ln>
                  </pic:spPr>
                </pic:pic>
              </a:graphicData>
            </a:graphic>
          </wp:inline>
        </w:drawing>
      </w:r>
    </w:p>
    <w:p w:rsidR="008755D1" w:rsidRPr="008755D1" w:rsidRDefault="009B5B97" w:rsidP="008755D1">
      <w:pPr>
        <w:jc w:val="center"/>
      </w:pPr>
      <w:r>
        <w:t>Figure 7.4.6.4</w:t>
      </w:r>
      <w:r w:rsidR="008755D1" w:rsidRPr="008755D1">
        <w:t>: C-UNB sector definition (a: theoritical; b: used in analytical model)</w:t>
      </w:r>
    </w:p>
    <w:p w:rsidR="008755D1" w:rsidRPr="008755D1" w:rsidRDefault="008755D1" w:rsidP="008755D1">
      <w:pPr>
        <w:jc w:val="center"/>
      </w:pPr>
    </w:p>
    <w:p w:rsidR="008755D1" w:rsidRPr="008755D1" w:rsidRDefault="008755D1" w:rsidP="008755D1">
      <w:pPr>
        <w:pStyle w:val="Titre6"/>
      </w:pPr>
      <w:r w:rsidRPr="008755D1">
        <w:t>MAR segmentation assumption</w:t>
      </w:r>
    </w:p>
    <w:p w:rsidR="008755D1" w:rsidRPr="008755D1" w:rsidRDefault="009B5B97" w:rsidP="008755D1">
      <w:r>
        <w:t>The present study</w:t>
      </w:r>
      <w:r w:rsidR="008755D1" w:rsidRPr="008755D1">
        <w:t xml:space="preserve"> defines two protocol overheads (65 bytes normal and 29 bytes compressed) for the MARs. As a matter of fact, protocols overheads can be omitted over the C-UNB RAT because they can be generated by MS avatars hoste</w:t>
      </w:r>
      <w:r>
        <w:t>d in C-UNB server (see architecture subclauses above)</w:t>
      </w:r>
      <w:r w:rsidR="008755D1" w:rsidRPr="008755D1">
        <w:t xml:space="preserve">. Nevertheless, capacity evaluation </w:t>
      </w:r>
      <w:r>
        <w:t>is</w:t>
      </w:r>
      <w:r w:rsidR="008755D1" w:rsidRPr="008755D1">
        <w:t xml:space="preserve"> given with and without headers for the sake of comparison.</w:t>
      </w:r>
    </w:p>
    <w:p w:rsidR="008755D1" w:rsidRPr="008755D1" w:rsidRDefault="008755D1" w:rsidP="008755D1">
      <w:r w:rsidRPr="008755D1">
        <w:t>As MAC-PDUs have limite</w:t>
      </w:r>
      <w:r w:rsidR="009B5B97">
        <w:t>d payload size in C-UNB, table 7.4.6.8</w:t>
      </w:r>
      <w:r w:rsidRPr="008755D1">
        <w:t xml:space="preserve"> details the number of segments and MAC-PDU size for three assumptions on the header size: 65, 29 and 0 bytes.</w:t>
      </w:r>
    </w:p>
    <w:p w:rsidR="008755D1" w:rsidRPr="008755D1" w:rsidRDefault="008755D1" w:rsidP="008755D1"/>
    <w:p w:rsidR="008755D1" w:rsidRPr="008755D1" w:rsidRDefault="009B5B97" w:rsidP="008755D1">
      <w:pPr>
        <w:jc w:val="center"/>
      </w:pPr>
      <w:r>
        <w:t>Table 7.4.6.8</w:t>
      </w:r>
      <w:r w:rsidR="008755D1" w:rsidRPr="008755D1">
        <w:t>: segmentation with various headers (all size in bytes)</w:t>
      </w:r>
    </w:p>
    <w:tbl>
      <w:tblPr>
        <w:tblStyle w:val="Grille"/>
        <w:tblW w:w="0" w:type="auto"/>
        <w:jc w:val="center"/>
        <w:tblLook w:val="00BF"/>
      </w:tblPr>
      <w:tblGrid>
        <w:gridCol w:w="1559"/>
        <w:gridCol w:w="1559"/>
        <w:gridCol w:w="1559"/>
        <w:gridCol w:w="1559"/>
        <w:gridCol w:w="1559"/>
      </w:tblGrid>
      <w:tr w:rsidR="008755D1" w:rsidRPr="008755D1">
        <w:trPr>
          <w:jc w:val="center"/>
        </w:trPr>
        <w:tc>
          <w:tcPr>
            <w:tcW w:w="1559" w:type="dxa"/>
            <w:tcBorders>
              <w:top w:val="single" w:sz="12"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rPr>
                <w:b/>
              </w:rPr>
            </w:pPr>
            <w:r w:rsidRPr="008755D1">
              <w:rPr>
                <w:b/>
              </w:rPr>
              <w:t>Assumption</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rPr>
                <w:b/>
              </w:rPr>
            </w:pPr>
            <w:r w:rsidRPr="008755D1">
              <w:rPr>
                <w:b/>
              </w:rPr>
              <w:t>Data size</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rPr>
                <w:b/>
              </w:rPr>
            </w:pPr>
            <w:r w:rsidRPr="008755D1">
              <w:rPr>
                <w:b/>
              </w:rPr>
              <w:t>Application packet size</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rPr>
                <w:b/>
              </w:rPr>
            </w:pPr>
            <w:r w:rsidRPr="008755D1">
              <w:rPr>
                <w:b/>
              </w:rPr>
              <w:t>Segmentation</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8755D1" w:rsidRPr="008755D1" w:rsidRDefault="008755D1" w:rsidP="00AD6048">
            <w:pPr>
              <w:jc w:val="center"/>
              <w:rPr>
                <w:b/>
              </w:rPr>
            </w:pPr>
            <w:r w:rsidRPr="008755D1">
              <w:rPr>
                <w:b/>
              </w:rPr>
              <w:t>Number and size of MAC-PDUs</w:t>
            </w:r>
          </w:p>
        </w:tc>
      </w:tr>
      <w:tr w:rsidR="008755D1" w:rsidRPr="008755D1">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full header of 65 bytes</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85</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3x29</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3x 46,5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105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4x27</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4x 44,5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165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6x28</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6x 45,5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265</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9x30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9x 47,5</w:t>
            </w:r>
          </w:p>
        </w:tc>
      </w:tr>
      <w:tr w:rsidR="008755D1" w:rsidRPr="008755D1">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compressed header of 29 bytes</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49</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2x25</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2x 42,5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69</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3x23</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3x 40,5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129</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5x26</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5x 43,5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8x29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8x 46,5</w:t>
            </w:r>
          </w:p>
        </w:tc>
      </w:tr>
      <w:tr w:rsidR="008755D1" w:rsidRPr="008755D1">
        <w:tblPrEx>
          <w:tblLook w:val="04A0"/>
        </w:tblPrEx>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header not transmitted over the air</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1x20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1x 37,5</w:t>
            </w:r>
          </w:p>
        </w:tc>
      </w:tr>
      <w:tr w:rsidR="008755D1" w:rsidRPr="008755D1">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2x20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2x 37,5</w:t>
            </w:r>
          </w:p>
        </w:tc>
      </w:tr>
      <w:tr w:rsidR="008755D1" w:rsidRPr="008755D1">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4x25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4x 42,5</w:t>
            </w:r>
          </w:p>
        </w:tc>
      </w:tr>
      <w:tr w:rsidR="008755D1" w:rsidRPr="008755D1">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7x29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8x 46,5</w:t>
            </w:r>
          </w:p>
        </w:tc>
      </w:tr>
    </w:tbl>
    <w:p w:rsidR="008755D1" w:rsidRPr="008755D1" w:rsidRDefault="008755D1" w:rsidP="008755D1"/>
    <w:p w:rsidR="008755D1" w:rsidRPr="008755D1" w:rsidRDefault="008755D1" w:rsidP="008755D1"/>
    <w:p w:rsidR="008755D1" w:rsidRPr="008755D1" w:rsidRDefault="008755D1" w:rsidP="008755D1">
      <w:pPr>
        <w:pStyle w:val="Titre6"/>
      </w:pPr>
      <w:r w:rsidRPr="008755D1">
        <w:t>Other assumptions</w:t>
      </w:r>
    </w:p>
    <w:p w:rsidR="008755D1" w:rsidRPr="008755D1" w:rsidRDefault="009B5B97" w:rsidP="008755D1">
      <w:r>
        <w:t>The present study</w:t>
      </w:r>
      <w:r w:rsidR="008755D1" w:rsidRPr="008755D1">
        <w:t xml:space="preserve"> defines other assumptions for the capacity evaluation, such as the ratio of MS transmitting MAR and receiving network command, the protocol overheads and the system level assumptions (annex D).</w:t>
      </w:r>
    </w:p>
    <w:p w:rsidR="008755D1" w:rsidRPr="008755D1" w:rsidRDefault="008755D1" w:rsidP="008755D1">
      <w:r w:rsidRPr="008755D1">
        <w:t>The specific features of C-UNB radio access technology allow us to simplify some of the assumptions without going against the objectives of the study. The extra assumptions made in the present contribution are:</w:t>
      </w:r>
    </w:p>
    <w:p w:rsidR="008755D1" w:rsidRPr="008755D1" w:rsidRDefault="008755D1" w:rsidP="008755D1">
      <w:pPr>
        <w:pStyle w:val="Listeretrait"/>
      </w:pPr>
      <w:r w:rsidRPr="008755D1">
        <w:t>network capacity is mainly limited by uplink and not by downlink in C-UNB</w:t>
      </w:r>
    </w:p>
    <w:p w:rsidR="008755D1" w:rsidRPr="008755D1" w:rsidRDefault="008755D1" w:rsidP="008755D1">
      <w:pPr>
        <w:pStyle w:val="Listeretrait"/>
      </w:pPr>
      <w:r w:rsidRPr="008755D1">
        <w:t>propagation loss and building penetration loss have no impact on the network capacity because base station can cope with highly dynamic signals.</w:t>
      </w:r>
    </w:p>
    <w:p w:rsidR="008755D1" w:rsidRPr="008755D1" w:rsidRDefault="008755D1" w:rsidP="008755D1"/>
    <w:p w:rsidR="008755D1" w:rsidRPr="008755D1" w:rsidRDefault="008755D1" w:rsidP="008755D1">
      <w:pPr>
        <w:pStyle w:val="Titre5"/>
      </w:pPr>
      <w:r w:rsidRPr="008755D1">
        <w:t>Results</w:t>
      </w:r>
    </w:p>
    <w:p w:rsidR="008755D1" w:rsidRPr="008755D1" w:rsidRDefault="009B5B97" w:rsidP="008755D1">
      <w:r>
        <w:t>Table 7.4.6.9</w:t>
      </w:r>
      <w:r w:rsidR="008755D1" w:rsidRPr="008755D1">
        <w:t xml:space="preserve"> gives the maximum capacity of a C-UNB network defined as a number of MSs per sector. These figures are computed with a repetition rate (i.e. blind repetition) of 2 PHY-PDU per MAC-PDU and 10% of retransmission due to BLER.</w:t>
      </w:r>
    </w:p>
    <w:p w:rsidR="008755D1" w:rsidRPr="008755D1" w:rsidRDefault="008755D1" w:rsidP="008755D1"/>
    <w:p w:rsidR="008755D1" w:rsidRPr="008755D1" w:rsidRDefault="008755D1" w:rsidP="008755D1">
      <w:pPr>
        <w:jc w:val="center"/>
      </w:pPr>
      <w:r w:rsidRPr="008755D1">
        <w:t>Table</w:t>
      </w:r>
      <w:r w:rsidR="009B5B97">
        <w:t xml:space="preserve"> 7.4.6.9</w:t>
      </w:r>
      <w:r w:rsidRPr="008755D1">
        <w:t>: C-UNB capacity (preliminary results from analytical model)</w:t>
      </w:r>
    </w:p>
    <w:tbl>
      <w:tblPr>
        <w:tblStyle w:val="Grille"/>
        <w:tblW w:w="6557" w:type="dxa"/>
        <w:jc w:val="center"/>
        <w:tblInd w:w="817" w:type="dxa"/>
        <w:tblLook w:val="00BF"/>
      </w:tblPr>
      <w:tblGrid>
        <w:gridCol w:w="2835"/>
        <w:gridCol w:w="3722"/>
      </w:tblGrid>
      <w:tr w:rsidR="008755D1" w:rsidRPr="008755D1">
        <w:trPr>
          <w:jc w:val="center"/>
        </w:trPr>
        <w:tc>
          <w:tcPr>
            <w:tcW w:w="2835" w:type="dxa"/>
          </w:tcPr>
          <w:p w:rsidR="008755D1" w:rsidRPr="008755D1" w:rsidRDefault="008755D1" w:rsidP="00AD6048">
            <w:pPr>
              <w:jc w:val="center"/>
              <w:rPr>
                <w:b/>
              </w:rPr>
            </w:pPr>
            <w:r w:rsidRPr="008755D1">
              <w:rPr>
                <w:b/>
              </w:rPr>
              <w:t>Header</w:t>
            </w:r>
          </w:p>
        </w:tc>
        <w:tc>
          <w:tcPr>
            <w:tcW w:w="3722" w:type="dxa"/>
          </w:tcPr>
          <w:p w:rsidR="008755D1" w:rsidRPr="008755D1" w:rsidRDefault="008755D1" w:rsidP="00AD6048">
            <w:pPr>
              <w:jc w:val="center"/>
              <w:rPr>
                <w:b/>
              </w:rPr>
            </w:pPr>
            <w:r w:rsidRPr="008755D1">
              <w:rPr>
                <w:b/>
              </w:rPr>
              <w:t>Max number of MS per sector</w:t>
            </w:r>
          </w:p>
        </w:tc>
      </w:tr>
      <w:tr w:rsidR="008755D1" w:rsidRPr="008755D1">
        <w:trPr>
          <w:jc w:val="center"/>
        </w:trPr>
        <w:tc>
          <w:tcPr>
            <w:tcW w:w="2835" w:type="dxa"/>
          </w:tcPr>
          <w:p w:rsidR="008755D1" w:rsidRPr="008755D1" w:rsidRDefault="008755D1" w:rsidP="00AD6048">
            <w:pPr>
              <w:jc w:val="center"/>
            </w:pPr>
            <w:r w:rsidRPr="008755D1">
              <w:t>full size, 65 bytes</w:t>
            </w:r>
          </w:p>
        </w:tc>
        <w:tc>
          <w:tcPr>
            <w:tcW w:w="3722" w:type="dxa"/>
          </w:tcPr>
          <w:p w:rsidR="008755D1" w:rsidRPr="008755D1" w:rsidRDefault="008755D1" w:rsidP="00AD6048">
            <w:pPr>
              <w:jc w:val="center"/>
            </w:pPr>
            <w:r w:rsidRPr="008755D1">
              <w:t>21 460</w:t>
            </w:r>
          </w:p>
        </w:tc>
      </w:tr>
      <w:tr w:rsidR="008755D1" w:rsidRPr="008755D1">
        <w:trPr>
          <w:jc w:val="center"/>
        </w:trPr>
        <w:tc>
          <w:tcPr>
            <w:tcW w:w="2835" w:type="dxa"/>
          </w:tcPr>
          <w:p w:rsidR="008755D1" w:rsidRPr="008755D1" w:rsidRDefault="008755D1" w:rsidP="00AD6048">
            <w:pPr>
              <w:jc w:val="center"/>
            </w:pPr>
            <w:r w:rsidRPr="008755D1">
              <w:t>compressed, 29 bytes</w:t>
            </w:r>
          </w:p>
        </w:tc>
        <w:tc>
          <w:tcPr>
            <w:tcW w:w="3722" w:type="dxa"/>
          </w:tcPr>
          <w:p w:rsidR="008755D1" w:rsidRPr="008755D1" w:rsidRDefault="008755D1" w:rsidP="00AD6048">
            <w:pPr>
              <w:jc w:val="center"/>
            </w:pPr>
            <w:r w:rsidRPr="008755D1">
              <w:t>34 640</w:t>
            </w:r>
          </w:p>
        </w:tc>
      </w:tr>
      <w:tr w:rsidR="008755D1" w:rsidRPr="008755D1">
        <w:trPr>
          <w:jc w:val="center"/>
        </w:trPr>
        <w:tc>
          <w:tcPr>
            <w:tcW w:w="2835" w:type="dxa"/>
          </w:tcPr>
          <w:p w:rsidR="008755D1" w:rsidRPr="008755D1" w:rsidRDefault="008755D1" w:rsidP="00AD6048">
            <w:pPr>
              <w:jc w:val="center"/>
            </w:pPr>
            <w:r w:rsidRPr="008755D1">
              <w:t>not over the air, 0 byte</w:t>
            </w:r>
          </w:p>
        </w:tc>
        <w:tc>
          <w:tcPr>
            <w:tcW w:w="3722" w:type="dxa"/>
          </w:tcPr>
          <w:p w:rsidR="008755D1" w:rsidRPr="008755D1" w:rsidRDefault="008755D1" w:rsidP="00AD6048">
            <w:pPr>
              <w:jc w:val="center"/>
            </w:pPr>
            <w:r w:rsidRPr="008755D1">
              <w:t>75 900</w:t>
            </w:r>
          </w:p>
        </w:tc>
      </w:tr>
    </w:tbl>
    <w:p w:rsidR="008755D1" w:rsidRPr="008755D1" w:rsidRDefault="008755D1" w:rsidP="008755D1">
      <w:pPr>
        <w:jc w:val="center"/>
      </w:pPr>
    </w:p>
    <w:p w:rsidR="008755D1" w:rsidRPr="008755D1" w:rsidRDefault="00AD6048" w:rsidP="008755D1">
      <w:r>
        <w:t>These p</w:t>
      </w:r>
      <w:r w:rsidR="008755D1" w:rsidRPr="008755D1">
        <w:t>reliminary results, given by analytical model of the C-UNB RAT, show that the required capacity (i.e. 52 547 MSs per sector) is exceeded when transmission over the air interface is optimized, that is to say, when protocol overhead is not transmitted over the air, but managed by the MS avatars located in the C-UNB server.</w:t>
      </w:r>
      <w:r>
        <w:t xml:space="preserve"> </w:t>
      </w:r>
      <w:r w:rsidR="008755D1" w:rsidRPr="008755D1">
        <w:t>Capacity evaluation based on simulation tools is FFS.</w:t>
      </w:r>
    </w:p>
    <w:p w:rsidR="00545231" w:rsidRPr="008755D1" w:rsidRDefault="00545231" w:rsidP="00545231"/>
    <w:p w:rsidR="00513576" w:rsidRPr="008755D1" w:rsidRDefault="00513576" w:rsidP="00913029"/>
    <w:p w:rsidR="009B5B97" w:rsidRDefault="009B5B97" w:rsidP="000652D2"/>
    <w:p w:rsidR="006F525D" w:rsidRPr="008755D1"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8755D1">
        <w:t>End of Changes</w:t>
      </w:r>
    </w:p>
    <w:p w:rsidR="006F525D" w:rsidRPr="008755D1" w:rsidRDefault="006F525D" w:rsidP="000652D2">
      <w:pPr>
        <w:pStyle w:val="TitreDocumet"/>
      </w:pPr>
    </w:p>
    <w:p w:rsidR="000C7937" w:rsidRPr="008755D1" w:rsidRDefault="000C7937" w:rsidP="000652D2">
      <w:pPr>
        <w:ind w:left="709" w:hanging="709"/>
      </w:pPr>
    </w:p>
    <w:sectPr w:rsidR="000C7937" w:rsidRPr="008755D1" w:rsidSect="00FA0F6B">
      <w:headerReference w:type="default" r:id="rId7"/>
      <w:footerReference w:type="default" r:id="rId8"/>
      <w:headerReference w:type="first" r:id="rId9"/>
      <w:footerReference w:type="first" r:id="rId10"/>
      <w:pgSz w:w="11900" w:h="16840"/>
      <w:pgMar w:top="1532" w:right="1268" w:bottom="1276" w:left="1418" w:header="851" w:footer="694" w:gutter="0"/>
      <w:cols w:space="708"/>
      <w:titlePg/>
      <w:printerSettings r:id="rId1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48" w:rsidRDefault="00AD6048">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E52755" w:rsidRPr="00E52755">
        <w:rPr>
          <w:caps/>
          <w:noProof/>
          <w:color w:val="262626" w:themeColor="text1" w:themeTint="D9"/>
          <w:sz w:val="20"/>
        </w:rPr>
        <w:t>4</w:t>
      </w:r>
    </w:fldSimple>
    <w:r>
      <w:rPr>
        <w:caps/>
        <w:color w:val="262626" w:themeColor="text1" w:themeTint="D9"/>
        <w:sz w:val="20"/>
      </w:rPr>
      <w:t>/</w:t>
    </w:r>
    <w:fldSimple w:instr=" SECTIONPAGES  \* MERGEFORMAT ">
      <w:r w:rsidR="00E52755" w:rsidRPr="00E52755">
        <w:rPr>
          <w:caps/>
          <w:noProof/>
          <w:color w:val="262626" w:themeColor="text1" w:themeTint="D9"/>
          <w:sz w:val="20"/>
        </w:rPr>
        <w:t>4</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48" w:rsidRDefault="00AD6048">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t xml:space="preserve">page : </w:t>
    </w:r>
    <w:fldSimple w:instr=" PAGE  \* MERGEFORMAT ">
      <w:r w:rsidR="00E52755" w:rsidRPr="00E52755">
        <w:rPr>
          <w:caps/>
          <w:noProof/>
          <w:color w:val="262626" w:themeColor="text1" w:themeTint="D9"/>
          <w:sz w:val="20"/>
        </w:rPr>
        <w:t>1</w:t>
      </w:r>
    </w:fldSimple>
    <w:r>
      <w:rPr>
        <w:caps/>
        <w:color w:val="262626" w:themeColor="text1" w:themeTint="D9"/>
        <w:sz w:val="20"/>
      </w:rPr>
      <w:t>/</w:t>
    </w:r>
    <w:fldSimple w:instr=" SECTIONPAGES  \* MERGEFORMAT ">
      <w:r w:rsidR="00E52755" w:rsidRPr="00E52755">
        <w:rPr>
          <w:caps/>
          <w:noProof/>
          <w:color w:val="262626" w:themeColor="text1" w:themeTint="D9"/>
          <w:sz w:val="20"/>
        </w:rPr>
        <w:t>1</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48" w:rsidRPr="008259A1" w:rsidRDefault="00AD6048" w:rsidP="0052454E">
    <w:pPr>
      <w:pStyle w:val="En-tte"/>
      <w:pBdr>
        <w:bottom w:val="single" w:sz="4" w:space="1" w:color="auto"/>
      </w:pBdr>
      <w:tabs>
        <w:tab w:val="clear" w:pos="4536"/>
      </w:tabs>
      <w:ind w:left="-284" w:right="-290"/>
      <w:jc w:val="right"/>
    </w:pPr>
    <w:r>
      <w:rPr>
        <w:rFonts w:hint="eastAsia"/>
      </w:rPr>
      <w:t>GP-150698</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48" w:rsidRDefault="00AD6048">
    <w:pPr>
      <w:pStyle w:val="En-tte"/>
      <w:spacing w:before="120" w:after="120"/>
      <w:rPr>
        <w:lang w:eastAsia="zh-CN"/>
      </w:rPr>
    </w:pPr>
    <w:r w:rsidRPr="00F249A2">
      <w:t>3GPP GERAN</w:t>
    </w:r>
    <w:r>
      <w:t xml:space="preserve"> meeting#67</w:t>
    </w:r>
    <w:r>
      <w:rPr>
        <w:rFonts w:hint="eastAsia"/>
      </w:rPr>
      <w:tab/>
    </w:r>
    <w:r>
      <w:tab/>
    </w:r>
    <w:r>
      <w:rPr>
        <w:rFonts w:hint="eastAsia"/>
      </w:rPr>
      <w:t>GP-150698</w:t>
    </w:r>
  </w:p>
  <w:p w:rsidR="00AD6048" w:rsidRPr="0052454E" w:rsidRDefault="00AD6048"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7.1.5.3.5.6 &amp; 7.2.5.3.4.6</w:t>
    </w:r>
  </w:p>
  <w:p w:rsidR="00AD6048" w:rsidRDefault="00AD6048">
    <w:pPr>
      <w:pStyle w:val="En-tte"/>
      <w:spacing w:before="120" w:after="120"/>
    </w:pPr>
    <w:r>
      <w:t>10-14 August</w:t>
    </w:r>
    <w:r w:rsidRPr="00F948E4">
      <w:t xml:space="preserve"> 201</w:t>
    </w:r>
    <w:r>
      <w:rPr>
        <w:rFonts w:hint="eastAsia"/>
      </w:rPr>
      <w:t>5</w:t>
    </w:r>
  </w:p>
  <w:p w:rsidR="00AD6048" w:rsidRDefault="00AD6048">
    <w:pPr>
      <w:pStyle w:val="En-tte"/>
      <w:pBdr>
        <w:bottom w:val="single" w:sz="4" w:space="1" w:color="auto"/>
      </w:pBdr>
      <w:spacing w:before="120" w:after="120"/>
      <w:ind w:left="-426" w:right="-284" w:firstLine="426"/>
    </w:pPr>
    <w:r w:rsidRPr="00F249A2">
      <w:t xml:space="preserve">Source: </w:t>
    </w:r>
    <w:r>
      <w:t>SIGFOX</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3C108096"/>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7"/>
  <w:embedSystemFonts/>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A6C"/>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226A"/>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26D6A"/>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016E"/>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0D7E"/>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33A8"/>
    <w:rsid w:val="0052454E"/>
    <w:rsid w:val="0053420A"/>
    <w:rsid w:val="00540F0E"/>
    <w:rsid w:val="00545231"/>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E7A27"/>
    <w:rsid w:val="005F0472"/>
    <w:rsid w:val="005F5576"/>
    <w:rsid w:val="005F7867"/>
    <w:rsid w:val="00604BDD"/>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858"/>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121A"/>
    <w:rsid w:val="00835AEE"/>
    <w:rsid w:val="00835ED6"/>
    <w:rsid w:val="008408EC"/>
    <w:rsid w:val="00842054"/>
    <w:rsid w:val="0084455A"/>
    <w:rsid w:val="00844B24"/>
    <w:rsid w:val="00845E54"/>
    <w:rsid w:val="00845EAF"/>
    <w:rsid w:val="008506F2"/>
    <w:rsid w:val="00852D14"/>
    <w:rsid w:val="00856387"/>
    <w:rsid w:val="00856BDE"/>
    <w:rsid w:val="00861CDD"/>
    <w:rsid w:val="00866A59"/>
    <w:rsid w:val="00870A0D"/>
    <w:rsid w:val="00872D93"/>
    <w:rsid w:val="008755D1"/>
    <w:rsid w:val="00877077"/>
    <w:rsid w:val="008830AA"/>
    <w:rsid w:val="00885F24"/>
    <w:rsid w:val="0088612B"/>
    <w:rsid w:val="008952D9"/>
    <w:rsid w:val="00895750"/>
    <w:rsid w:val="008A78D6"/>
    <w:rsid w:val="008B03F0"/>
    <w:rsid w:val="008B6515"/>
    <w:rsid w:val="008B6DA2"/>
    <w:rsid w:val="008C16DF"/>
    <w:rsid w:val="008C3358"/>
    <w:rsid w:val="008C4B0E"/>
    <w:rsid w:val="008D4B65"/>
    <w:rsid w:val="008D606E"/>
    <w:rsid w:val="008E3828"/>
    <w:rsid w:val="008E4157"/>
    <w:rsid w:val="008E668E"/>
    <w:rsid w:val="008E6DBA"/>
    <w:rsid w:val="008F2727"/>
    <w:rsid w:val="00901F27"/>
    <w:rsid w:val="00904F27"/>
    <w:rsid w:val="00913029"/>
    <w:rsid w:val="00917C01"/>
    <w:rsid w:val="00920382"/>
    <w:rsid w:val="00922B29"/>
    <w:rsid w:val="009348F7"/>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B97"/>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0FCF"/>
    <w:rsid w:val="00A5445E"/>
    <w:rsid w:val="00A544A5"/>
    <w:rsid w:val="00A63ED9"/>
    <w:rsid w:val="00A65249"/>
    <w:rsid w:val="00A67429"/>
    <w:rsid w:val="00A679E2"/>
    <w:rsid w:val="00A83DE7"/>
    <w:rsid w:val="00A850AF"/>
    <w:rsid w:val="00A92B03"/>
    <w:rsid w:val="00A97023"/>
    <w:rsid w:val="00A97513"/>
    <w:rsid w:val="00AA0914"/>
    <w:rsid w:val="00AA689D"/>
    <w:rsid w:val="00AB166A"/>
    <w:rsid w:val="00AB1AA0"/>
    <w:rsid w:val="00AB258A"/>
    <w:rsid w:val="00AB42E3"/>
    <w:rsid w:val="00AB6323"/>
    <w:rsid w:val="00AC0AF9"/>
    <w:rsid w:val="00AC22F3"/>
    <w:rsid w:val="00AC3010"/>
    <w:rsid w:val="00AC3382"/>
    <w:rsid w:val="00AC33D4"/>
    <w:rsid w:val="00AC36EC"/>
    <w:rsid w:val="00AC4424"/>
    <w:rsid w:val="00AC4D10"/>
    <w:rsid w:val="00AD13D0"/>
    <w:rsid w:val="00AD4151"/>
    <w:rsid w:val="00AD53B6"/>
    <w:rsid w:val="00AD6048"/>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5654"/>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3B30"/>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DF4848"/>
    <w:rsid w:val="00E0498D"/>
    <w:rsid w:val="00E06E27"/>
    <w:rsid w:val="00E1146C"/>
    <w:rsid w:val="00E166C9"/>
    <w:rsid w:val="00E16782"/>
    <w:rsid w:val="00E20203"/>
    <w:rsid w:val="00E218F6"/>
    <w:rsid w:val="00E35E18"/>
    <w:rsid w:val="00E43618"/>
    <w:rsid w:val="00E4559C"/>
    <w:rsid w:val="00E5001F"/>
    <w:rsid w:val="00E52755"/>
    <w:rsid w:val="00E52843"/>
    <w:rsid w:val="00E53B83"/>
    <w:rsid w:val="00E54D8D"/>
    <w:rsid w:val="00E60516"/>
    <w:rsid w:val="00E62BD9"/>
    <w:rsid w:val="00E6787A"/>
    <w:rsid w:val="00E7268B"/>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697858"/>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697858"/>
    <w:pPr>
      <w:keepNext/>
      <w:keepLines/>
      <w:numPr>
        <w:ilvl w:val="5"/>
        <w:numId w:val="45"/>
      </w:numPr>
      <w:spacing w:before="200"/>
      <w:outlineLvl w:val="5"/>
    </w:pPr>
    <w:rPr>
      <w:rFonts w:eastAsiaTheme="majorEastAsia" w:cstheme="majorBidi"/>
      <w:i/>
      <w:iCs/>
      <w:sz w:val="20"/>
    </w:rPr>
  </w:style>
  <w:style w:type="paragraph" w:styleId="Titre7">
    <w:name w:val="heading 7"/>
    <w:basedOn w:val="Normal"/>
    <w:next w:val="Normal"/>
    <w:link w:val="Titre7Car"/>
    <w:rsid w:val="00697858"/>
    <w:pPr>
      <w:keepNext/>
      <w:keepLines/>
      <w:numPr>
        <w:ilvl w:val="6"/>
        <w:numId w:val="45"/>
      </w:numPr>
      <w:spacing w:before="200"/>
      <w:outlineLvl w:val="6"/>
    </w:pPr>
    <w:rPr>
      <w:rFonts w:eastAsiaTheme="majorEastAsia" w:cstheme="majorBidi"/>
      <w:i/>
      <w:iCs/>
      <w:color w:val="404040" w:themeColor="text1" w:themeTint="BF"/>
      <w:sz w:val="20"/>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697858"/>
    <w:rPr>
      <w:rFonts w:ascii="Times" w:eastAsiaTheme="majorEastAsia" w:hAnsi="Times" w:cstheme="majorBidi"/>
      <w:i/>
      <w:sz w:val="20"/>
      <w:lang w:val="en-US"/>
    </w:rPr>
  </w:style>
  <w:style w:type="character" w:customStyle="1" w:styleId="Titre6Car">
    <w:name w:val="Titre 6 Car"/>
    <w:basedOn w:val="Policepardfaut"/>
    <w:link w:val="Titre6"/>
    <w:rsid w:val="00697858"/>
    <w:rPr>
      <w:rFonts w:ascii="Times" w:eastAsiaTheme="majorEastAsia" w:hAnsi="Times" w:cstheme="majorBidi"/>
      <w:i/>
      <w:iCs/>
      <w:sz w:val="20"/>
      <w:lang w:val="en-US"/>
    </w:rPr>
  </w:style>
  <w:style w:type="character" w:customStyle="1" w:styleId="Titre7Car">
    <w:name w:val="Titre 7 Car"/>
    <w:basedOn w:val="Policepardfaut"/>
    <w:link w:val="Titre7"/>
    <w:rsid w:val="00697858"/>
    <w:rPr>
      <w:rFonts w:ascii="Times" w:eastAsiaTheme="majorEastAsia" w:hAnsi="Times" w:cstheme="majorBidi"/>
      <w:i/>
      <w:iCs/>
      <w:color w:val="404040" w:themeColor="text1" w:themeTint="BF"/>
      <w:sz w:val="20"/>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printerSettings" Target="printerSettings/printerSettings1.bin"/><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900</Words>
  <Characters>5132</Characters>
  <Application>Microsoft Macintosh Word</Application>
  <DocSecurity>0</DocSecurity>
  <Lines>42</Lines>
  <Paragraphs>10</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6302</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2</cp:revision>
  <cp:lastPrinted>2015-01-27T14:25:00Z</cp:lastPrinted>
  <dcterms:created xsi:type="dcterms:W3CDTF">2015-08-04T17:36:00Z</dcterms:created>
  <dcterms:modified xsi:type="dcterms:W3CDTF">2015-08-04T17:36:00Z</dcterms:modified>
  <cp:category/>
</cp:coreProperties>
</file>