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B8643">
      <w:pPr>
        <w:pStyle w:val="23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rFonts w:eastAsia="MS Mincho" w:cs="Arial"/>
          <w:b/>
          <w:sz w:val="24"/>
        </w:rPr>
        <w:t>3GPP TSG-CT WG</w:t>
      </w:r>
      <w:r>
        <w:rPr>
          <w:rFonts w:hint="eastAsia" w:eastAsia="宋体" w:cs="Arial"/>
          <w:b/>
          <w:sz w:val="24"/>
          <w:lang w:val="en-US" w:eastAsia="zh-CN"/>
        </w:rPr>
        <w:t>3</w:t>
      </w:r>
      <w:r>
        <w:rPr>
          <w:rFonts w:eastAsia="MS Mincho" w:cs="Arial"/>
          <w:b/>
          <w:sz w:val="24"/>
        </w:rPr>
        <w:t xml:space="preserve"> Meeting #</w:t>
      </w:r>
      <w:r>
        <w:rPr>
          <w:rFonts w:hint="eastAsia" w:eastAsia="宋体" w:cs="Arial"/>
          <w:b/>
          <w:sz w:val="24"/>
          <w:lang w:val="en-US" w:eastAsia="zh-CN"/>
        </w:rPr>
        <w:t>145</w:t>
      </w:r>
      <w:r>
        <w:rPr>
          <w:b/>
          <w:sz w:val="24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t>-2</w:t>
      </w:r>
      <w:r>
        <w:rPr>
          <w:rFonts w:hint="eastAsia"/>
          <w:b/>
          <w:sz w:val="24"/>
          <w:lang w:val="en-US" w:eastAsia="zh-CN"/>
        </w:rPr>
        <w:t>60021</w:t>
      </w:r>
    </w:p>
    <w:p w14:paraId="4C7A9B18">
      <w:pPr>
        <w:autoSpaceDE w:val="0"/>
        <w:autoSpaceDN w:val="0"/>
        <w:spacing w:after="120"/>
        <w:outlineLvl w:val="0"/>
        <w:rPr>
          <w:rFonts w:ascii="Arial" w:hAnsi="Arial" w:eastAsia="MS Mincho" w:cs="Arial"/>
          <w:b/>
          <w:sz w:val="24"/>
        </w:rPr>
      </w:pPr>
      <w:r>
        <w:rPr>
          <w:rFonts w:hint="eastAsia" w:ascii="Arial" w:hAnsi="Arial" w:eastAsia="宋体" w:cs="Arial"/>
          <w:b/>
          <w:sz w:val="24"/>
          <w:lang w:val="en-US" w:eastAsia="zh-CN"/>
        </w:rPr>
        <w:t>Goa</w:t>
      </w:r>
      <w:r>
        <w:rPr>
          <w:rFonts w:ascii="Arial" w:hAnsi="Arial" w:eastAsia="MS Mincho" w:cs="Arial"/>
          <w:b/>
          <w:sz w:val="24"/>
        </w:rPr>
        <w:t xml:space="preserve">,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India</w:t>
      </w:r>
      <w:r>
        <w:rPr>
          <w:rFonts w:ascii="Arial" w:hAnsi="Arial" w:eastAsia="MS Mincho" w:cs="Arial"/>
          <w:b/>
          <w:sz w:val="24"/>
        </w:rPr>
        <w:t xml:space="preserve">;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9</w:t>
      </w:r>
      <w:r>
        <w:rPr>
          <w:rFonts w:ascii="Arial" w:hAnsi="Arial" w:eastAsia="MS Mincho" w:cs="Arial"/>
          <w:b/>
          <w:sz w:val="24"/>
        </w:rPr>
        <w:t xml:space="preserve"> –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13</w:t>
      </w:r>
      <w:r>
        <w:rPr>
          <w:rFonts w:ascii="Arial" w:hAnsi="Arial" w:eastAsia="MS Mincho" w:cs="Arial"/>
          <w:b/>
          <w:sz w:val="24"/>
        </w:rPr>
        <w:t xml:space="preserve"> February 202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6</w:t>
      </w:r>
      <w:r>
        <w:rPr>
          <w:rFonts w:hint="eastAsia" w:ascii="Arial" w:hAnsi="Arial" w:cs="Arial"/>
          <w:b/>
          <w:sz w:val="24"/>
          <w:lang w:eastAsia="zh-CN"/>
        </w:rPr>
        <w:t xml:space="preserve">                                      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                     </w:t>
      </w:r>
      <w:r>
        <w:rPr>
          <w:rFonts w:eastAsia="Batang" w:cs="Arial"/>
          <w:b/>
          <w:lang w:eastAsia="zh-CN"/>
        </w:rPr>
        <w:t xml:space="preserve">(revision of </w:t>
      </w:r>
      <w:r>
        <w:rPr>
          <w:rFonts w:hint="eastAsia" w:cs="Arial"/>
          <w:b/>
          <w:lang w:eastAsia="zh-CN"/>
        </w:rPr>
        <w:t>C</w:t>
      </w:r>
      <w:r>
        <w:rPr>
          <w:rFonts w:hint="eastAsia" w:cs="Arial"/>
          <w:b/>
          <w:lang w:val="en-US" w:eastAsia="zh-CN"/>
        </w:rPr>
        <w:t>3</w:t>
      </w:r>
      <w:r>
        <w:rPr>
          <w:rFonts w:hint="eastAsia" w:cs="Arial"/>
          <w:b/>
          <w:lang w:eastAsia="zh-CN"/>
        </w:rPr>
        <w:t>-2</w:t>
      </w:r>
      <w:r>
        <w:rPr>
          <w:rFonts w:hint="eastAsia" w:cs="Arial"/>
          <w:b/>
          <w:lang w:val="en-US" w:eastAsia="zh-CN"/>
        </w:rPr>
        <w:t>6</w:t>
      </w:r>
      <w:r>
        <w:rPr>
          <w:rFonts w:cs="Arial"/>
          <w:b/>
          <w:lang w:eastAsia="zh-CN"/>
        </w:rPr>
        <w:t>abcd</w:t>
      </w:r>
      <w:r>
        <w:rPr>
          <w:rFonts w:eastAsia="Batang" w:cs="Arial"/>
          <w:b/>
          <w:lang w:eastAsia="zh-CN"/>
        </w:rPr>
        <w:t>)</w:t>
      </w:r>
    </w:p>
    <w:p w14:paraId="169CD0FF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eastAsia="zh-CN"/>
        </w:rPr>
        <w:t>China Unicom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New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WID on CT Aspects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of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Indirect Network Sharing 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>
        <w:rPr>
          <w:rFonts w:hint="eastAsia" w:ascii="Arial" w:hAnsi="Arial" w:cs="Arial"/>
          <w:b/>
          <w:sz w:val="24"/>
          <w:szCs w:val="24"/>
          <w:lang w:eastAsia="zh-CN"/>
        </w:rPr>
        <w:t>hase2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(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TEI20_NetShare_Ph2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-CT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)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Endorsement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20.2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  <w:t xml:space="preserve">CT Aspects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of</w:t>
      </w:r>
      <w:r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  <w:t xml:space="preserve">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Indirect Network Sharing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 xml:space="preserve"> Phase2</w:t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TEI20_NetShare_Ph2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-CT</w:t>
      </w: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cs="Times New Roman" w:eastAsiaTheme="minorEastAsia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 xml:space="preserve">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TBD</w:t>
      </w: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cs="Times New Roman" w:eastAsiaTheme="minorEastAsia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20</w:t>
      </w:r>
    </w:p>
    <w:p w14:paraId="0F6B4D92">
      <w:pPr>
        <w:pStyle w:val="25"/>
      </w:pPr>
    </w:p>
    <w:p w14:paraId="6042014B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8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29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29"/>
            </w:pPr>
          </w:p>
        </w:tc>
        <w:tc>
          <w:tcPr>
            <w:tcW w:w="1752" w:type="dxa"/>
          </w:tcPr>
          <w:p w14:paraId="70435623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29"/>
            </w:pPr>
          </w:p>
        </w:tc>
        <w:tc>
          <w:tcPr>
            <w:tcW w:w="1037" w:type="dxa"/>
          </w:tcPr>
          <w:p w14:paraId="6F19776F">
            <w:pPr>
              <w:pStyle w:val="29"/>
            </w:pPr>
          </w:p>
        </w:tc>
        <w:tc>
          <w:tcPr>
            <w:tcW w:w="850" w:type="dxa"/>
          </w:tcPr>
          <w:p w14:paraId="3F07CB2B">
            <w:pPr>
              <w:pStyle w:val="29"/>
            </w:pPr>
          </w:p>
        </w:tc>
        <w:tc>
          <w:tcPr>
            <w:tcW w:w="851" w:type="dxa"/>
          </w:tcPr>
          <w:p w14:paraId="290A158D">
            <w:pPr>
              <w:pStyle w:val="29"/>
            </w:pPr>
          </w:p>
        </w:tc>
        <w:tc>
          <w:tcPr>
            <w:tcW w:w="1752" w:type="dxa"/>
          </w:tcPr>
          <w:p w14:paraId="02E98F67">
            <w:pPr>
              <w:pStyle w:val="29"/>
            </w:pP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p w14:paraId="4B0899D6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bookmarkEnd w:id="0"/>
    <w:p w14:paraId="223A3492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851"/>
        <w:gridCol w:w="992"/>
        <w:gridCol w:w="5777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</w:tcPr>
          <w:p w14:paraId="68BCEFEC">
            <w:pPr>
              <w:pStyle w:val="27"/>
            </w:pPr>
            <w:r>
              <w:rPr>
                <w:rFonts w:hint="eastAsia"/>
                <w:lang w:eastAsia="zh-CN"/>
              </w:rPr>
              <w:t>TEI20_NetShare_Ph2-ARC</w:t>
            </w:r>
          </w:p>
        </w:tc>
        <w:tc>
          <w:tcPr>
            <w:tcW w:w="851" w:type="dxa"/>
          </w:tcPr>
          <w:p w14:paraId="334D300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>
            <w:pPr>
              <w:pStyle w:val="27"/>
            </w:pPr>
            <w:r>
              <w:rPr>
                <w:rFonts w:hint="eastAsia"/>
                <w:lang w:val="fr-FR"/>
              </w:rPr>
              <w:t>1080059</w:t>
            </w:r>
          </w:p>
        </w:tc>
        <w:tc>
          <w:tcPr>
            <w:tcW w:w="5777" w:type="dxa"/>
          </w:tcPr>
          <w:p w14:paraId="225432A0">
            <w:pPr>
              <w:pStyle w:val="27"/>
            </w:pPr>
            <w:r>
              <w:rPr>
                <w:rFonts w:hint="eastAsia"/>
                <w:lang w:val="en-US" w:eastAsia="zh-CN"/>
              </w:rPr>
              <w:t>Indirect Network Sharing Phase2</w:t>
            </w:r>
          </w:p>
        </w:tc>
      </w:tr>
    </w:tbl>
    <w:p w14:paraId="577FBA35"/>
    <w:p w14:paraId="4DD6CDD4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8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8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7"/>
            </w:pPr>
          </w:p>
        </w:tc>
        <w:tc>
          <w:tcPr>
            <w:tcW w:w="3326" w:type="dxa"/>
          </w:tcPr>
          <w:p w14:paraId="3AC061FD">
            <w:pPr>
              <w:pStyle w:val="27"/>
            </w:pPr>
          </w:p>
        </w:tc>
        <w:tc>
          <w:tcPr>
            <w:tcW w:w="5099" w:type="dxa"/>
          </w:tcPr>
          <w:p w14:paraId="017BF4B1">
            <w:pPr>
              <w:pStyle w:val="25"/>
            </w:pPr>
          </w:p>
        </w:tc>
      </w:tr>
    </w:tbl>
    <w:p w14:paraId="01B64B3B">
      <w:pPr>
        <w:pStyle w:val="30"/>
      </w:pPr>
    </w:p>
    <w:p w14:paraId="4970DA35">
      <w:pPr>
        <w:rPr>
          <w:b/>
          <w:bCs/>
          <w:lang w:eastAsia="zh-CN"/>
        </w:rPr>
      </w:pPr>
      <w:r>
        <w:rPr>
          <w:b/>
          <w:bCs/>
        </w:rPr>
        <w:t>Dependency on non-3GPP (draft) specification:</w:t>
      </w:r>
      <w:r>
        <w:rPr>
          <w:rFonts w:hint="eastAsia"/>
          <w:b/>
          <w:bCs/>
          <w:lang w:eastAsia="zh-CN"/>
        </w:rPr>
        <w:t xml:space="preserve"> None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AAA6F96">
      <w:pPr>
        <w:rPr>
          <w:lang w:val="en-US"/>
        </w:rPr>
      </w:pPr>
      <w:r>
        <w:rPr>
          <w:lang w:val="en-US"/>
        </w:rPr>
        <w:t>SA#10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has agreed New 3GPP Rel-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WID on Indirect Network Sharing </w:t>
      </w:r>
      <w:r>
        <w:rPr>
          <w:rFonts w:hint="eastAsia"/>
          <w:lang w:val="en-US" w:eastAsia="zh-CN"/>
        </w:rPr>
        <w:t xml:space="preserve">Phase2 </w:t>
      </w:r>
      <w:r>
        <w:rPr>
          <w:lang w:val="en-US"/>
        </w:rPr>
        <w:t>(</w:t>
      </w:r>
      <w:r>
        <w:rPr>
          <w:rFonts w:hint="eastAsia"/>
          <w:lang w:val="en-US"/>
        </w:rPr>
        <w:t>TEI20_NetShare_Ph2-ARC</w:t>
      </w:r>
      <w:r>
        <w:rPr>
          <w:lang w:val="en-US"/>
        </w:rPr>
        <w:t xml:space="preserve">, UI: </w:t>
      </w:r>
      <w:r>
        <w:rPr>
          <w:rFonts w:hint="eastAsia"/>
          <w:lang w:val="en-US"/>
        </w:rPr>
        <w:t>1080059</w:t>
      </w:r>
      <w:r>
        <w:rPr>
          <w:lang w:val="en-US"/>
        </w:rPr>
        <w:t>), see SP -2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>838</w:t>
      </w:r>
      <w:r>
        <w:rPr>
          <w:lang w:val="en-US"/>
        </w:rPr>
        <w:t>.</w:t>
      </w:r>
    </w:p>
    <w:p w14:paraId="2787C262">
      <w:pPr>
        <w:rPr>
          <w:lang w:val="en-US"/>
        </w:rPr>
      </w:pPr>
      <w:bookmarkStart w:id="1" w:name="_Hlk172297555"/>
      <w:r>
        <w:rPr>
          <w:lang w:val="en-US"/>
        </w:rPr>
        <w:t xml:space="preserve">In SA WG2, the </w:t>
      </w:r>
      <w:r>
        <w:rPr>
          <w:rFonts w:hint="eastAsia"/>
          <w:lang w:val="en-US" w:eastAsia="zh-CN"/>
        </w:rPr>
        <w:t>Indirect Network Sharing</w:t>
      </w:r>
      <w:r>
        <w:rPr>
          <w:lang w:val="en-US"/>
        </w:rPr>
        <w:t xml:space="preserve"> mechanism has been </w:t>
      </w:r>
      <w:r>
        <w:rPr>
          <w:rFonts w:hint="eastAsia"/>
          <w:lang w:val="en-US" w:eastAsia="zh-CN"/>
        </w:rPr>
        <w:t>enhanced to enable the NFs of the participating operator’s network to detect the Indirect Network Sharing case and identify the specific hosting operator’s network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the Indirect Network Sharing for Disaster Condition has been specified as well</w:t>
      </w:r>
      <w:r>
        <w:rPr>
          <w:lang w:val="en-US"/>
        </w:rPr>
        <w:t>.</w:t>
      </w:r>
    </w:p>
    <w:bookmarkEnd w:id="1"/>
    <w:p w14:paraId="1E38EADE">
      <w:pPr>
        <w:rPr>
          <w:lang w:val="en-US" w:eastAsia="zh-CN"/>
        </w:rPr>
      </w:pPr>
      <w:r>
        <w:rPr>
          <w:lang w:val="en-US"/>
        </w:rPr>
        <w:t>SA</w:t>
      </w:r>
      <w:r>
        <w:rPr>
          <w:rFonts w:hint="eastAsia"/>
          <w:lang w:val="en-US" w:eastAsia="zh-CN"/>
        </w:rPr>
        <w:t xml:space="preserve">#110 </w:t>
      </w:r>
      <w:r>
        <w:rPr>
          <w:lang w:val="en-US"/>
        </w:rPr>
        <w:t>has a</w:t>
      </w:r>
      <w:r>
        <w:rPr>
          <w:rFonts w:hint="eastAsia"/>
          <w:lang w:val="en-US" w:eastAsia="zh-CN"/>
        </w:rPr>
        <w:t>pproved</w:t>
      </w:r>
      <w:r>
        <w:rPr>
          <w:lang w:val="en-US"/>
        </w:rPr>
        <w:t xml:space="preserve"> related CRs on TS 23.50</w:t>
      </w:r>
      <w:r>
        <w:rPr>
          <w:rFonts w:hint="eastAsia"/>
          <w:lang w:val="en-US" w:eastAsia="zh-CN"/>
        </w:rPr>
        <w:t xml:space="preserve">1, </w:t>
      </w:r>
      <w:r>
        <w:rPr>
          <w:lang w:val="en-US"/>
        </w:rPr>
        <w:t>TS 23.50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TS 23.503 </w:t>
      </w:r>
      <w:r>
        <w:rPr>
          <w:lang w:val="en-US"/>
        </w:rPr>
        <w:t>as stage 2 normative works.</w:t>
      </w:r>
      <w:r>
        <w:rPr>
          <w:rFonts w:hint="eastAsia"/>
          <w:lang w:val="en-US" w:eastAsia="zh-CN"/>
        </w:rPr>
        <w:t xml:space="preserve"> And t</w:t>
      </w:r>
      <w:r>
        <w:rPr>
          <w:lang w:val="en-US"/>
        </w:rPr>
        <w:t>he TEI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 has been completed</w:t>
      </w:r>
      <w:r>
        <w:rPr>
          <w:rFonts w:hint="eastAsia"/>
          <w:lang w:val="en-US" w:eastAsia="zh-CN"/>
        </w:rPr>
        <w:t xml:space="preserve"> after SA#110.</w:t>
      </w:r>
    </w:p>
    <w:p w14:paraId="293AA72B">
      <w:pPr>
        <w:rPr>
          <w:lang w:val="en-US" w:eastAsia="zh-CN"/>
        </w:rPr>
      </w:pPr>
      <w:r>
        <w:rPr>
          <w:lang w:val="en-US"/>
        </w:rPr>
        <w:t>The outcome of stage 2 WI is stable to initiate the stage 3 normative implementations.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6094FF0B">
      <w:pPr>
        <w:pStyle w:val="2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outcome of the Stage 2 </w:t>
      </w:r>
      <w:r>
        <w:rPr>
          <w:rFonts w:hint="eastAsia" w:ascii="Times New Roman" w:hAnsi="Times New Roman"/>
          <w:lang w:val="en-US"/>
        </w:rPr>
        <w:t>TEI20_NetShare_Ph2-ARC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7E762408">
      <w:pPr>
        <w:pStyle w:val="23"/>
        <w:rPr>
          <w:rFonts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CT3 Impacts:</w:t>
      </w:r>
    </w:p>
    <w:p w14:paraId="571618FD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PCF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E95F05C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Clarify the serving PLMN ID used in the </w:t>
      </w:r>
      <w:r>
        <w:rPr>
          <w:rFonts w:ascii="Times New Roman" w:hAnsi="Times New Roman"/>
          <w:lang w:val="en-US" w:eastAsia="zh-CN"/>
        </w:rPr>
        <w:t>Npcf_</w:t>
      </w:r>
      <w:r>
        <w:rPr>
          <w:rFonts w:hint="eastAsia" w:ascii="Times New Roman" w:hAnsi="Times New Roman"/>
          <w:lang w:val="en-US" w:eastAsia="zh-CN"/>
        </w:rPr>
        <w:t>SM</w:t>
      </w:r>
      <w:r>
        <w:rPr>
          <w:rFonts w:ascii="Times New Roman" w:hAnsi="Times New Roman"/>
          <w:lang w:val="en-US" w:eastAsia="zh-CN"/>
        </w:rPr>
        <w:t>PolicyControl</w:t>
      </w:r>
      <w:r>
        <w:rPr>
          <w:rFonts w:hint="eastAsia" w:ascii="Times New Roman" w:hAnsi="Times New Roman"/>
          <w:lang w:val="en-US" w:eastAsia="zh-CN"/>
        </w:rPr>
        <w:t xml:space="preserve"> Service in the case of Indirect Network Sharing.</w:t>
      </w:r>
    </w:p>
    <w:p w14:paraId="187A4832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hint="default"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hint="default"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in the Npcf_SMPolicyControl Service.</w:t>
      </w:r>
    </w:p>
    <w:p w14:paraId="7793E9E1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value </w:t>
      </w:r>
      <w:r>
        <w:rPr>
          <w:rFonts w:hint="default" w:ascii="Times New Roman" w:hAnsi="Times New Roman"/>
          <w:lang w:val="en-US" w:eastAsia="zh-CN"/>
        </w:rPr>
        <w:t>“PLMN_CH”</w:t>
      </w:r>
      <w:r>
        <w:rPr>
          <w:rFonts w:hint="eastAsia" w:ascii="Times New Roman" w:hAnsi="Times New Roman"/>
          <w:lang w:val="en-US" w:eastAsia="zh-CN"/>
        </w:rPr>
        <w:t xml:space="preserve"> in the PCRT relevant for SMF.</w:t>
      </w:r>
    </w:p>
    <w:p w14:paraId="5F626B4E">
      <w:pPr>
        <w:pStyle w:val="23"/>
        <w:rPr>
          <w:rFonts w:ascii="Times New Roman" w:hAnsi="Times New Roman"/>
          <w:u w:val="single"/>
          <w:lang w:val="en-US" w:eastAsia="zh-CN"/>
        </w:rPr>
      </w:pPr>
    </w:p>
    <w:p w14:paraId="1E0F5848">
      <w:pPr>
        <w:pStyle w:val="23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t>CT4 Impacts:</w:t>
      </w:r>
    </w:p>
    <w:p w14:paraId="4DBA799A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SMF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5D7F2AC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bookmarkStart w:id="2" w:name="_Hlk172297695"/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hint="default"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hint="default"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Service.</w:t>
      </w:r>
    </w:p>
    <w:p w14:paraId="11896D58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hint="default"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 considering the Indirect Network Sharing for Disaster Condition.</w:t>
      </w:r>
    </w:p>
    <w:bookmarkEnd w:id="2"/>
    <w:p w14:paraId="54A5AE06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UDM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>:</w:t>
      </w:r>
      <w:r>
        <w:t xml:space="preserve"> </w:t>
      </w:r>
    </w:p>
    <w:p w14:paraId="28F3428B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hint="default"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hint="default"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in </w:t>
      </w:r>
      <w:r>
        <w:rPr>
          <w:rFonts w:hint="eastAsia" w:ascii="Times New Roman" w:hAnsi="Times New Roman"/>
          <w:lang w:val="en-US" w:eastAsia="zh-CN"/>
        </w:rPr>
        <w:t>the Nudm_SubscriberDataManagement Service.</w:t>
      </w:r>
    </w:p>
    <w:p w14:paraId="0435BD62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hint="default" w:ascii="Times New Roman" w:hAnsi="Times New Roman"/>
          <w:lang w:val="en-US" w:eastAsia="zh-CN"/>
        </w:rPr>
        <w:t>“disaster-roaming-ind”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in the Nudm_SubscriberDataManagement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</w:t>
      </w:r>
      <w:r>
        <w:rPr>
          <w:rFonts w:hint="eastAsia" w:ascii="Times New Roman" w:hAnsi="Times New Roman"/>
          <w:highlight w:val="none"/>
          <w:lang w:val="en-US" w:eastAsia="zh-CN"/>
        </w:rPr>
        <w:t>.</w:t>
      </w:r>
    </w:p>
    <w:p w14:paraId="113D03F7">
      <w:pPr>
        <w:pStyle w:val="23"/>
        <w:numPr>
          <w:ilvl w:val="0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AUSF</w:t>
      </w:r>
      <w:r>
        <w:rPr>
          <w:rFonts w:ascii="Times New Roman" w:hAnsi="Times New Roman"/>
          <w:b/>
          <w:bCs/>
          <w:highlight w:val="none"/>
          <w:lang w:val="en-US"/>
        </w:rPr>
        <w:t xml:space="preserve"> </w:t>
      </w: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service</w:t>
      </w:r>
      <w:r>
        <w:rPr>
          <w:rFonts w:ascii="Times New Roman" w:hAnsi="Times New Roman"/>
          <w:highlight w:val="none"/>
          <w:lang w:val="en-US"/>
        </w:rPr>
        <w:t xml:space="preserve">: </w:t>
      </w:r>
    </w:p>
    <w:p w14:paraId="787F9F5B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 w:eastAsia="zh-CN"/>
        </w:rPr>
      </w:pPr>
      <w:r>
        <w:rPr>
          <w:rFonts w:hint="eastAsia" w:ascii="Times New Roman" w:hAnsi="Times New Roman"/>
          <w:highlight w:val="none"/>
          <w:lang w:val="en-US" w:eastAsia="zh-CN"/>
        </w:rPr>
        <w:t xml:space="preserve">Clarify the description of the parameter </w:t>
      </w:r>
      <w:r>
        <w:rPr>
          <w:rFonts w:hint="default" w:ascii="Times New Roman" w:hAnsi="Times New Roman"/>
          <w:highlight w:val="none"/>
          <w:lang w:val="en-US" w:eastAsia="zh-CN"/>
        </w:rPr>
        <w:t>“disasterRoamingInd”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 in the Nausf_UEAuthentication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Condition.</w:t>
      </w:r>
    </w:p>
    <w:p w14:paraId="52DE0680">
      <w:pPr>
        <w:pStyle w:val="23"/>
        <w:numPr>
          <w:ilvl w:val="0"/>
          <w:numId w:val="0"/>
        </w:numPr>
        <w:spacing w:after="120"/>
        <w:rPr>
          <w:rFonts w:hint="eastAsia" w:ascii="Times New Roman" w:hAnsi="Times New Roman"/>
          <w:lang w:val="en-US" w:eastAsia="zh-CN"/>
        </w:rPr>
      </w:pPr>
    </w:p>
    <w:p w14:paraId="3C135EA9">
      <w:pPr>
        <w:pStyle w:val="23"/>
        <w:rPr>
          <w:rFonts w:hint="default"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CT4 Potential Impacts:</w:t>
      </w:r>
    </w:p>
    <w:p w14:paraId="7AEB7056">
      <w:pPr>
        <w:pStyle w:val="23"/>
        <w:numPr>
          <w:ilvl w:val="0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AMF</w:t>
      </w:r>
      <w:r>
        <w:rPr>
          <w:rFonts w:ascii="Times New Roman" w:hAnsi="Times New Roman"/>
          <w:b/>
          <w:bCs/>
          <w:highlight w:val="none"/>
          <w:lang w:val="en-US"/>
        </w:rPr>
        <w:t xml:space="preserve"> </w:t>
      </w: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service</w:t>
      </w:r>
      <w:r>
        <w:rPr>
          <w:rFonts w:ascii="Times New Roman" w:hAnsi="Times New Roman"/>
          <w:highlight w:val="none"/>
          <w:lang w:val="en-US"/>
        </w:rPr>
        <w:t xml:space="preserve">: </w:t>
      </w:r>
    </w:p>
    <w:p w14:paraId="188831C6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 w:eastAsia="zh-CN"/>
        </w:rPr>
      </w:pPr>
      <w:r>
        <w:rPr>
          <w:rFonts w:hint="eastAsia" w:ascii="Times New Roman" w:hAnsi="Times New Roman"/>
          <w:highlight w:val="none"/>
          <w:lang w:val="en-US" w:eastAsia="zh-CN"/>
        </w:rPr>
        <w:t xml:space="preserve">Potentially update the description of the parameter </w:t>
      </w:r>
      <w:r>
        <w:rPr>
          <w:rFonts w:hint="default" w:ascii="Times New Roman" w:hAnsi="Times New Roman"/>
          <w:highlight w:val="none"/>
          <w:lang w:val="en-US" w:eastAsia="zh-CN"/>
        </w:rPr>
        <w:t>“disasterRoamingInd”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 in the Namf_Communication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</w:t>
      </w:r>
      <w:r>
        <w:rPr>
          <w:rFonts w:hint="eastAsia" w:ascii="Times New Roman" w:hAnsi="Times New Roman"/>
          <w:highlight w:val="none"/>
          <w:lang w:val="en-US" w:eastAsia="zh-CN"/>
        </w:rPr>
        <w:t>.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5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Expected Output and Time scale</w:t>
      </w:r>
    </w:p>
    <w:p w14:paraId="45BD6CAB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8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7"/>
            </w:pPr>
          </w:p>
        </w:tc>
        <w:tc>
          <w:tcPr>
            <w:tcW w:w="1134" w:type="dxa"/>
          </w:tcPr>
          <w:p w14:paraId="5F684E95">
            <w:pPr>
              <w:pStyle w:val="27"/>
            </w:pPr>
          </w:p>
        </w:tc>
        <w:tc>
          <w:tcPr>
            <w:tcW w:w="2409" w:type="dxa"/>
          </w:tcPr>
          <w:p w14:paraId="3F9BA4C9">
            <w:pPr>
              <w:pStyle w:val="27"/>
            </w:pPr>
          </w:p>
        </w:tc>
        <w:tc>
          <w:tcPr>
            <w:tcW w:w="993" w:type="dxa"/>
          </w:tcPr>
          <w:p w14:paraId="510D9A1F">
            <w:pPr>
              <w:pStyle w:val="27"/>
            </w:pPr>
          </w:p>
        </w:tc>
        <w:tc>
          <w:tcPr>
            <w:tcW w:w="1074" w:type="dxa"/>
          </w:tcPr>
          <w:p w14:paraId="11DE6EB5">
            <w:pPr>
              <w:pStyle w:val="27"/>
            </w:pPr>
          </w:p>
        </w:tc>
        <w:tc>
          <w:tcPr>
            <w:tcW w:w="2186" w:type="dxa"/>
          </w:tcPr>
          <w:p w14:paraId="1D49C842">
            <w:pPr>
              <w:pStyle w:val="27"/>
            </w:pPr>
          </w:p>
        </w:tc>
      </w:tr>
    </w:tbl>
    <w:p w14:paraId="303D6525">
      <w:pPr>
        <w:pStyle w:val="25"/>
        <w:rPr>
          <w:lang w:eastAsia="zh-CN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58660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9BFDD9"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 w14:paraId="48344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69A448"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D03680"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C785E4"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688146">
            <w:pPr>
              <w:pStyle w:val="28"/>
            </w:pPr>
            <w:r>
              <w:t>Remarks</w:t>
            </w:r>
          </w:p>
        </w:tc>
      </w:tr>
      <w:tr w14:paraId="297A4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38DC1">
            <w:pPr>
              <w:pStyle w:val="27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TS 29.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182CE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Clarify the serving PLMN ID used in the Npcf_SMPolicyControl Service in the case of Indirect Network Sharing.</w:t>
            </w:r>
          </w:p>
          <w:p w14:paraId="27AFB3A5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“the PLMN ID of the hosting operator” in the Npcf_SMPolicyControl Service.</w:t>
            </w:r>
          </w:p>
          <w:p w14:paraId="50721A3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description of the value “PLMN_CH” in the PCRT relevant for SMF.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F950">
            <w:pPr>
              <w:pStyle w:val="27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D4E85">
            <w:pPr>
              <w:pStyle w:val="27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8E9A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6083A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F2596">
            <w:pPr>
              <w:pStyle w:val="27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Add the new parameter “the PLMN ID of the hosting operator” in the Nsmf_PDUSession Service.</w:t>
            </w:r>
          </w:p>
          <w:p w14:paraId="779673A8"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Update the description of the parameter “disasterRoamingInd” in the Nsmf_PDUSession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FE505">
            <w:pPr>
              <w:pStyle w:val="27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EDB8">
            <w:pPr>
              <w:pStyle w:val="27"/>
            </w:pPr>
            <w:r>
              <w:t>CT4</w:t>
            </w:r>
          </w:p>
        </w:tc>
      </w:tr>
      <w:tr w14:paraId="358BE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C479D">
            <w:pPr>
              <w:pStyle w:val="27"/>
              <w:rPr>
                <w:rFonts w:hint="default"/>
                <w:lang w:val="en-US" w:eastAsia="zh-CN"/>
              </w:rPr>
            </w:pPr>
            <w:r>
              <w:t>TS 29.5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4B28F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“the PLMN ID of the hosting operator” in the Nudm_SubscriberDataManagement Service.</w:t>
            </w:r>
          </w:p>
          <w:p w14:paraId="27640FD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description of the parameter “disaster-roaming-ind” in the Nudm_SubscriberDataManagement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0F26A">
            <w:pPr>
              <w:pStyle w:val="27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0ACA4">
            <w:pPr>
              <w:pStyle w:val="27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1E86F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6C9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03DF">
            <w:pPr>
              <w:pStyle w:val="2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the description of the parameter “disasterRoamingInd” in the Nausf_UEAuthentication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25734">
            <w:pPr>
              <w:pStyle w:val="27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853E3">
            <w:pPr>
              <w:pStyle w:val="27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6AD2C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A9D6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38D0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Potentially update the description of the parameter “disasterRoamingInd” in the Namf_Communication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E9B3">
            <w:pPr>
              <w:pStyle w:val="27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BC40E">
            <w:pPr>
              <w:pStyle w:val="2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</w:tbl>
    <w:p w14:paraId="4547384A">
      <w:pPr>
        <w:rPr>
          <w:lang w:eastAsia="zh-CN"/>
        </w:rPr>
      </w:pPr>
    </w:p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8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  <w:bookmarkStart w:id="3" w:name="_GoBack"/>
            <w:bookmarkEnd w:id="3"/>
          </w:p>
        </w:tc>
      </w:tr>
      <w:tr w14:paraId="12E80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>
            <w:pPr>
              <w:pStyle w:val="27"/>
              <w:rPr>
                <w:lang w:eastAsia="zh-CN"/>
              </w:rPr>
            </w:pPr>
          </w:p>
        </w:tc>
      </w:tr>
      <w:tr w14:paraId="00E1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>
            <w:pPr>
              <w:pStyle w:val="27"/>
              <w:rPr>
                <w:lang w:eastAsia="zh-CN"/>
              </w:rPr>
            </w:pPr>
          </w:p>
        </w:tc>
      </w:tr>
      <w:tr w14:paraId="6B8B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>
            <w:pPr>
              <w:pStyle w:val="27"/>
              <w:rPr>
                <w:lang w:eastAsia="zh-CN"/>
              </w:rPr>
            </w:pPr>
          </w:p>
        </w:tc>
      </w:tr>
      <w:tr w14:paraId="12E3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>
            <w:pPr>
              <w:pStyle w:val="27"/>
              <w:rPr>
                <w:lang w:eastAsia="zh-CN"/>
              </w:rPr>
            </w:pPr>
          </w:p>
        </w:tc>
      </w:tr>
      <w:tr w14:paraId="53747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>
            <w:pPr>
              <w:pStyle w:val="27"/>
              <w:rPr>
                <w:lang w:eastAsia="zh-CN"/>
              </w:rPr>
            </w:pPr>
          </w:p>
        </w:tc>
      </w:tr>
      <w:tr w14:paraId="5CD79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>
            <w:pPr>
              <w:pStyle w:val="27"/>
              <w:rPr>
                <w:lang w:eastAsia="zh-CN"/>
              </w:rPr>
            </w:pPr>
          </w:p>
        </w:tc>
      </w:tr>
      <w:tr w14:paraId="7835B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>
            <w:pPr>
              <w:pStyle w:val="27"/>
              <w:rPr>
                <w:lang w:eastAsia="zh-CN"/>
              </w:rPr>
            </w:pPr>
          </w:p>
        </w:tc>
      </w:tr>
      <w:tr w14:paraId="14C48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>
            <w:pPr>
              <w:pStyle w:val="27"/>
              <w:rPr>
                <w:lang w:eastAsia="zh-CN"/>
              </w:rPr>
            </w:pP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460AC"/>
    <w:multiLevelType w:val="multilevel"/>
    <w:tmpl w:val="06B460AC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74EBE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149E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  <w:rsid w:val="020D4384"/>
    <w:rsid w:val="094E36D9"/>
    <w:rsid w:val="097C01EF"/>
    <w:rsid w:val="0D2B519E"/>
    <w:rsid w:val="11822A30"/>
    <w:rsid w:val="1EA737A7"/>
    <w:rsid w:val="20E329AE"/>
    <w:rsid w:val="2B062FD2"/>
    <w:rsid w:val="308C0C94"/>
    <w:rsid w:val="355C037C"/>
    <w:rsid w:val="41860821"/>
    <w:rsid w:val="55525B90"/>
    <w:rsid w:val="5E086030"/>
    <w:rsid w:val="64186BA5"/>
    <w:rsid w:val="67C57041"/>
    <w:rsid w:val="705A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4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批注文字 字符"/>
    <w:basedOn w:val="16"/>
    <w:link w:val="8"/>
    <w:semiHidden/>
    <w:qFormat/>
    <w:uiPriority w:val="0"/>
    <w:rPr>
      <w:rFonts w:ascii="Arial" w:hAnsi="Arial"/>
      <w:lang w:eastAsia="en-US"/>
    </w:rPr>
  </w:style>
  <w:style w:type="character" w:customStyle="1" w:styleId="34">
    <w:name w:val="批注主题 字符"/>
    <w:basedOn w:val="33"/>
    <w:link w:val="14"/>
    <w:qFormat/>
    <w:uiPriority w:val="0"/>
    <w:rPr>
      <w:rFonts w:ascii="Arial" w:hAnsi="Arial"/>
      <w:b/>
      <w:bCs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884</Words>
  <Characters>5045</Characters>
  <Lines>42</Lines>
  <Paragraphs>11</Paragraphs>
  <TotalTime>30</TotalTime>
  <ScaleCrop>false</ScaleCrop>
  <LinksUpToDate>false</LinksUpToDate>
  <CharactersWithSpaces>5918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2025-02-06T07:47:00Z</dcterms:created>
  <dc:creator>Alain Sultan</dc:creator>
  <cp:lastModifiedBy>CU-Tianqi Xing</cp:lastModifiedBy>
  <cp:lastPrinted>2001-04-23T09:30:00Z</cp:lastPrinted>
  <dcterms:modified xsi:type="dcterms:W3CDTF">2026-01-16T02:33:46Z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2052-12.8.2.21555</vt:lpwstr>
  </property>
  <property fmtid="{D5CDD505-2E9C-101B-9397-08002B2CF9AE}" pid="4" name="ICV">
    <vt:lpwstr>ED37870D20D04EB2B21C8F1975E2BD67_13</vt:lpwstr>
  </property>
</Properties>
</file>