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right" w:pos="9639"/>
        </w:tabs>
        <w:spacing w:after="0"/>
        <w:rPr>
          <w:rFonts w:hint="default"/>
          <w:b/>
          <w:i/>
          <w:sz w:val="28"/>
          <w:lang w:val="en-US"/>
        </w:rPr>
      </w:pPr>
      <w:r>
        <w:rPr>
          <w:b/>
          <w:sz w:val="24"/>
        </w:rPr>
        <w:t>3GPP TSG-SA5 Meeting #142-e</w:t>
      </w:r>
      <w:r>
        <w:rPr>
          <w:b/>
          <w:i/>
          <w:sz w:val="24"/>
        </w:rPr>
        <w:t xml:space="preserve"> </w:t>
      </w:r>
      <w:r>
        <w:rPr>
          <w:b/>
          <w:i/>
          <w:sz w:val="28"/>
        </w:rPr>
        <w:tab/>
      </w:r>
      <w:r>
        <w:rPr>
          <w:b/>
          <w:i/>
          <w:sz w:val="28"/>
        </w:rPr>
        <w:t>S5-22</w:t>
      </w:r>
      <w:r>
        <w:rPr>
          <w:rFonts w:hint="default"/>
          <w:b/>
          <w:i/>
          <w:sz w:val="28"/>
          <w:lang w:val="en-US"/>
        </w:rPr>
        <w:t>2125</w:t>
      </w:r>
    </w:p>
    <w:p>
      <w:pPr>
        <w:pStyle w:val="80"/>
        <w:outlineLvl w:val="0"/>
        <w:rPr>
          <w:b/>
          <w:bCs/>
          <w:sz w:val="24"/>
        </w:rPr>
      </w:pPr>
      <w:r>
        <w:rPr>
          <w:b/>
          <w:bCs/>
          <w:sz w:val="24"/>
        </w:rPr>
        <w:t>e-meeting, 4 - 12 April 2022</w:t>
      </w:r>
    </w:p>
    <w:p>
      <w:pPr>
        <w:keepNext/>
        <w:pBdr>
          <w:bottom w:val="single" w:color="auto" w:sz="4" w:space="1"/>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val="en-US"/>
        </w:rPr>
        <w:t>China Mobile, Huawei</w:t>
      </w:r>
    </w:p>
    <w:p>
      <w:pPr>
        <w:keepNext/>
        <w:tabs>
          <w:tab w:val="left" w:pos="2127"/>
        </w:tabs>
        <w:spacing w:after="0"/>
        <w:ind w:left="2126" w:hanging="2126"/>
        <w:outlineLvl w:val="0"/>
        <w:rPr>
          <w:rFonts w:hint="default" w:ascii="Arial" w:hAnsi="Arial"/>
          <w:b/>
          <w:lang w:val="en-US"/>
        </w:rPr>
      </w:pPr>
      <w:r>
        <w:rPr>
          <w:rFonts w:ascii="Arial" w:hAnsi="Arial" w:cs="Arial"/>
          <w:b/>
        </w:rPr>
        <w:t>Title:</w:t>
      </w:r>
      <w:r>
        <w:rPr>
          <w:rFonts w:ascii="Arial" w:hAnsi="Arial" w:cs="Arial"/>
          <w:b/>
        </w:rPr>
        <w:tab/>
      </w:r>
      <w:r>
        <w:rPr>
          <w:rFonts w:hint="eastAsia" w:ascii="Arial" w:hAnsi="Arial" w:cs="Arial"/>
          <w:b/>
        </w:rPr>
        <w:t>pCR 28.909 Add concept description for autonomous network level evaluation</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rPr>
        <w:t>approval</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b/>
        </w:rPr>
        <w:t>6.5.2</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The group is asked to discuss and approval.</w:t>
      </w:r>
    </w:p>
    <w:p>
      <w:pPr>
        <w:pStyle w:val="2"/>
      </w:pPr>
      <w:r>
        <w:t>2</w:t>
      </w:r>
      <w:r>
        <w:tab/>
      </w:r>
      <w:r>
        <w:t>References</w:t>
      </w:r>
    </w:p>
    <w:p>
      <w:pPr>
        <w:pStyle w:val="84"/>
        <w:jc w:val="both"/>
      </w:pPr>
      <w:r>
        <w:rPr>
          <w:rFonts w:hint="eastAsia"/>
          <w:lang w:eastAsia="zh-CN"/>
        </w:rPr>
        <w:t>[</w:t>
      </w:r>
      <w:r>
        <w:rPr>
          <w:lang w:eastAsia="zh-CN"/>
        </w:rPr>
        <w:t>1]</w:t>
      </w:r>
      <w:r>
        <w:rPr>
          <w:lang w:eastAsia="zh-CN"/>
        </w:rPr>
        <w:tab/>
      </w:r>
      <w:r>
        <w:t>3GPP draft TR 28.909: “Management and orchestration; Study on evaluation of autonomous network levels v0.0.0”.</w:t>
      </w:r>
    </w:p>
    <w:p>
      <w:pPr>
        <w:pStyle w:val="84"/>
        <w:jc w:val="both"/>
      </w:pPr>
      <w:r>
        <w:t>[2]</w:t>
      </w:r>
      <w:r>
        <w:tab/>
      </w:r>
      <w:r>
        <w:t>SP-211445 "New Study on evaluation of autonomous network levels"</w:t>
      </w:r>
    </w:p>
    <w:p>
      <w:pPr>
        <w:pStyle w:val="84"/>
        <w:jc w:val="both"/>
      </w:pPr>
      <w:r>
        <w:t>[3]</w:t>
      </w:r>
      <w:r>
        <w:tab/>
      </w:r>
      <w:r>
        <w:t>3GPP TS 28.100 "Management and orchestration; Levels of autonomous network"</w:t>
      </w:r>
    </w:p>
    <w:p>
      <w:pPr>
        <w:pStyle w:val="2"/>
      </w:pPr>
      <w:r>
        <w:t>3</w:t>
      </w:r>
      <w:r>
        <w:tab/>
      </w:r>
      <w:r>
        <w:t>Rationale</w:t>
      </w:r>
      <w:r>
        <w:rPr>
          <w:lang w:eastAsia="zh-CN"/>
        </w:rPr>
        <w:t xml:space="preserve"> </w:t>
      </w:r>
    </w:p>
    <w:p>
      <w:pPr>
        <w:spacing w:after="0"/>
        <w:rPr>
          <w:lang w:eastAsia="zh-CN"/>
        </w:rPr>
      </w:pPr>
      <w:r>
        <w:rPr>
          <w:lang w:eastAsia="zh-CN"/>
        </w:rPr>
        <w:t xml:space="preserve">Based on the objectives in SP-211445[2] and autonomous network level definition in TS 28.100, it proposes to add description for autonomous network level evaluation and </w:t>
      </w:r>
      <w:r>
        <w:rPr>
          <w:rStyle w:val="90"/>
          <w:rFonts w:hint="default"/>
          <w:i w:val="0"/>
          <w:color w:val="auto"/>
          <w:lang w:val="en-US"/>
        </w:rPr>
        <w:t>k</w:t>
      </w:r>
      <w:r>
        <w:rPr>
          <w:rStyle w:val="90"/>
          <w:rFonts w:hint="eastAsia"/>
          <w:i w:val="0"/>
          <w:color w:val="auto"/>
        </w:rPr>
        <w:t>ey effectiveness indicator</w:t>
      </w:r>
      <w:r>
        <w:rPr>
          <w:lang w:eastAsia="zh-CN"/>
        </w:rPr>
        <w:t>.</w:t>
      </w:r>
    </w:p>
    <w:p>
      <w:pPr>
        <w:jc w:val="both"/>
      </w:pPr>
      <w:r>
        <w:rPr>
          <w:rFonts w:hint="eastAsia" w:eastAsia="微软雅黑"/>
        </w:rPr>
        <w:t>T</w:t>
      </w:r>
      <w:r>
        <w:rPr>
          <w:rFonts w:eastAsia="微软雅黑"/>
        </w:rPr>
        <w:t xml:space="preserve">S 28.100 [3] already provide a </w:t>
      </w:r>
      <w:r>
        <w:rPr>
          <w:rFonts w:hint="default" w:eastAsia="微软雅黑"/>
          <w:lang w:val="en-US"/>
        </w:rPr>
        <w:t>f</w:t>
      </w:r>
      <w:r>
        <w:rPr>
          <w:rFonts w:hint="eastAsia" w:eastAsia="微软雅黑"/>
        </w:rPr>
        <w:t>ramework approach for evaluating autonomous network levels</w:t>
      </w:r>
      <w:r>
        <w:rPr>
          <w:rFonts w:hint="default" w:eastAsia="微软雅黑"/>
          <w:lang w:val="en-US"/>
        </w:rPr>
        <w:t xml:space="preserve"> and generic requirements for </w:t>
      </w:r>
      <w:r>
        <w:rPr>
          <w:rFonts w:hint="eastAsia" w:eastAsia="微软雅黑"/>
        </w:rPr>
        <w:t>autonomous network levels</w:t>
      </w:r>
      <w:r>
        <w:rPr>
          <w:rFonts w:eastAsia="微软雅黑"/>
        </w:rPr>
        <w:t xml:space="preserve">, which can be </w:t>
      </w:r>
      <w:r>
        <w:rPr>
          <w:rFonts w:hint="default" w:eastAsia="微软雅黑"/>
          <w:lang w:val="en-US"/>
        </w:rPr>
        <w:t>use</w:t>
      </w:r>
      <w:r>
        <w:rPr>
          <w:rFonts w:eastAsia="微软雅黑"/>
        </w:rPr>
        <w:t>d as qualitative evaluation approach</w:t>
      </w:r>
      <w:r>
        <w:rPr>
          <w:rFonts w:hint="default" w:eastAsia="微软雅黑"/>
          <w:lang w:val="en-US"/>
        </w:rPr>
        <w:t xml:space="preserve"> of </w:t>
      </w:r>
      <w:r>
        <w:rPr>
          <w:rFonts w:eastAsia="微软雅黑"/>
        </w:rPr>
        <w:t>autonomous network level</w:t>
      </w:r>
      <w:r>
        <w:rPr>
          <w:rFonts w:hint="default" w:eastAsia="微软雅黑"/>
          <w:lang w:val="en-US"/>
        </w:rPr>
        <w:t>s</w:t>
      </w:r>
      <w:r>
        <w:rPr>
          <w:rFonts w:eastAsia="微软雅黑"/>
        </w:rPr>
        <w:t xml:space="preserve">. This </w:t>
      </w:r>
      <w:r>
        <w:t xml:space="preserve">qualitative evaluation approach describes </w:t>
      </w:r>
      <w:r>
        <w:rPr>
          <w:rFonts w:eastAsiaTheme="minorEastAsia"/>
          <w:color w:val="000000"/>
        </w:rPr>
        <w:t xml:space="preserve">the level (range) of autonomy capabilities of the telecom system </w:t>
      </w:r>
      <w:r>
        <w:rPr>
          <w:rFonts w:eastAsia="微软雅黑"/>
        </w:rPr>
        <w:t>for individual scenario with certain management scope. Following aspects haven't be considered:</w:t>
      </w:r>
    </w:p>
    <w:p>
      <w:pPr>
        <w:pStyle w:val="87"/>
        <w:numPr>
          <w:ilvl w:val="0"/>
          <w:numId w:val="1"/>
        </w:numPr>
        <w:ind w:firstLineChars="0"/>
        <w:jc w:val="both"/>
        <w:rPr>
          <w:rFonts w:eastAsia="微软雅黑"/>
        </w:rPr>
      </w:pPr>
      <w:r>
        <w:t xml:space="preserve">Different telecom systems with different autonomy capabilities but belong to same autonomous network level. </w:t>
      </w:r>
    </w:p>
    <w:p>
      <w:pPr>
        <w:pStyle w:val="87"/>
        <w:numPr>
          <w:ilvl w:val="0"/>
          <w:numId w:val="1"/>
        </w:numPr>
        <w:ind w:firstLineChars="0"/>
        <w:jc w:val="both"/>
        <w:rPr>
          <w:lang w:eastAsia="zh-CN"/>
        </w:rPr>
      </w:pPr>
      <w:r>
        <w:rPr>
          <w:rFonts w:eastAsia="微软雅黑"/>
          <w:lang w:eastAsia="zh-CN"/>
        </w:rPr>
        <w:t>D</w:t>
      </w:r>
      <w:r>
        <w:t>ifferent telecom systems belonging to same autonomous network level but have different effect by introducing such autonomy capabilities. For example, telecom system A takes one day to optimize the radio network and obtain the 10% coverage performance gains, wherever, telecom system B takes one hour to optimize the radio network and obtain the 20% coverage performance gains.</w:t>
      </w:r>
    </w:p>
    <w:p>
      <w:pPr>
        <w:spacing w:after="0"/>
        <w:rPr>
          <w:lang w:eastAsia="zh-CN"/>
        </w:rPr>
      </w:pPr>
    </w:p>
    <w:p>
      <w:pPr>
        <w:pStyle w:val="2"/>
      </w:pPr>
      <w:r>
        <w:t>4</w:t>
      </w:r>
      <w:r>
        <w:tab/>
      </w:r>
      <w:r>
        <w:t>Detailed proposal</w:t>
      </w:r>
    </w:p>
    <w:p>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28.909[1].</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hint="eastAsia" w:ascii="Arial" w:hAnsi="Arial" w:cs="Arial"/>
                <w:b/>
                <w:bCs/>
                <w:sz w:val="28"/>
                <w:szCs w:val="28"/>
                <w:lang w:eastAsia="zh-CN"/>
              </w:rPr>
              <w:t xml:space="preserve"> </w:t>
            </w:r>
            <w:r>
              <w:rPr>
                <w:rFonts w:ascii="Arial" w:hAnsi="Arial" w:cs="Arial"/>
                <w:b/>
                <w:bCs/>
                <w:sz w:val="28"/>
                <w:szCs w:val="28"/>
                <w:lang w:eastAsia="zh-CN"/>
              </w:rPr>
              <w:t>Change</w:t>
            </w:r>
          </w:p>
        </w:tc>
      </w:tr>
    </w:tbl>
    <w:p>
      <w:pPr>
        <w:pStyle w:val="2"/>
      </w:pPr>
      <w:bookmarkStart w:id="0" w:name="_Toc32553"/>
      <w:r>
        <w:t>2</w:t>
      </w:r>
      <w:r>
        <w:tab/>
      </w:r>
      <w:r>
        <w:t>References</w:t>
      </w:r>
      <w:bookmarkEnd w:id="0"/>
    </w:p>
    <w:p>
      <w:r>
        <w:t>The following documents contain provisions which, through reference in this text, constitute provisions of the present document.</w:t>
      </w:r>
    </w:p>
    <w:p>
      <w:pPr>
        <w:pStyle w:val="74"/>
      </w:pPr>
      <w:r>
        <w:t>-</w:t>
      </w:r>
      <w:r>
        <w:tab/>
      </w:r>
      <w:r>
        <w:t>References are either specific (identified by date of publication, edition number, version number, etc.) or non</w:t>
      </w:r>
      <w:r>
        <w:noBreakHyphen/>
      </w:r>
      <w:r>
        <w:t>specific.</w:t>
      </w:r>
    </w:p>
    <w:p>
      <w:pPr>
        <w:pStyle w:val="74"/>
      </w:pPr>
      <w:r>
        <w:t>-</w:t>
      </w:r>
      <w:r>
        <w:tab/>
      </w:r>
      <w:r>
        <w:t>For a specific reference, subsequent revisions do not apply.</w:t>
      </w:r>
    </w:p>
    <w:p>
      <w:pPr>
        <w:pStyle w:val="74"/>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56"/>
        <w:rPr>
          <w:ins w:id="0" w:author="China Mobile" w:date="2022-03-24T09:23:37Z"/>
        </w:rPr>
      </w:pPr>
      <w:r>
        <w:t>[1]</w:t>
      </w:r>
      <w:r>
        <w:tab/>
      </w:r>
      <w:r>
        <w:t>3GPP TR 21.905: "Vocabulary for 3GPP Specifications".</w:t>
      </w:r>
    </w:p>
    <w:p>
      <w:pPr>
        <w:pStyle w:val="56"/>
        <w:rPr>
          <w:rFonts w:hint="default"/>
          <w:lang w:val="en-US"/>
        </w:rPr>
      </w:pPr>
      <w:ins w:id="1" w:author="China Mobile" w:date="2022-03-24T09:23:43Z">
        <w:r>
          <w:rPr>
            <w:rFonts w:hint="default"/>
            <w:lang w:val="en-US"/>
          </w:rPr>
          <w:t>[</w:t>
        </w:r>
      </w:ins>
      <w:ins w:id="2" w:author="China Mobile" w:date="2022-03-24T09:23:56Z">
        <w:r>
          <w:rPr>
            <w:rFonts w:hint="default"/>
            <w:lang w:val="en-US"/>
          </w:rPr>
          <w:t>X</w:t>
        </w:r>
      </w:ins>
      <w:ins w:id="3" w:author="China Mobile" w:date="2022-03-24T09:23:44Z">
        <w:r>
          <w:rPr>
            <w:rFonts w:hint="default"/>
            <w:lang w:val="en-US"/>
          </w:rPr>
          <w:t>]</w:t>
        </w:r>
      </w:ins>
      <w:ins w:id="4" w:author="China Mobile" w:date="2022-03-24T09:23:44Z">
        <w:r>
          <w:rPr>
            <w:rFonts w:hint="default"/>
            <w:lang w:val="en-US"/>
          </w:rPr>
          <w:tab/>
        </w:r>
      </w:ins>
      <w:ins w:id="5" w:author="China Mobile" w:date="2022-03-24T09:23:53Z">
        <w:r>
          <w:rPr/>
          <w:t>3GPP TS 28.100 "Management and orchestration; Levels of autonomous network"</w:t>
        </w:r>
      </w:ins>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hint="default" w:ascii="Arial" w:hAnsi="Arial" w:cs="Arial"/>
                <w:b/>
                <w:bCs/>
                <w:sz w:val="28"/>
                <w:szCs w:val="28"/>
                <w:lang w:val="en-US" w:eastAsia="zh-CN"/>
              </w:rPr>
              <w:t>2</w:t>
            </w:r>
            <w:r>
              <w:rPr>
                <w:rFonts w:hint="default" w:ascii="Arial" w:hAnsi="Arial" w:cs="Arial"/>
                <w:b/>
                <w:bCs/>
                <w:sz w:val="28"/>
                <w:szCs w:val="28"/>
                <w:vertAlign w:val="superscript"/>
                <w:lang w:val="en-US" w:eastAsia="zh-CN"/>
              </w:rPr>
              <w:t>nd</w:t>
            </w:r>
            <w:r>
              <w:rPr>
                <w:rFonts w:ascii="Arial" w:hAnsi="Arial" w:cs="Arial"/>
                <w:b/>
                <w:bCs/>
                <w:sz w:val="28"/>
                <w:szCs w:val="28"/>
                <w:lang w:eastAsia="zh-CN"/>
              </w:rPr>
              <w:t xml:space="preserve"> </w:t>
            </w:r>
            <w:r>
              <w:rPr>
                <w:rFonts w:hint="eastAsia" w:ascii="Arial" w:hAnsi="Arial" w:cs="Arial"/>
                <w:b/>
                <w:bCs/>
                <w:sz w:val="28"/>
                <w:szCs w:val="28"/>
                <w:lang w:eastAsia="zh-CN"/>
              </w:rPr>
              <w:t xml:space="preserve"> </w:t>
            </w:r>
            <w:r>
              <w:rPr>
                <w:rFonts w:ascii="Arial" w:hAnsi="Arial" w:cs="Arial"/>
                <w:b/>
                <w:bCs/>
                <w:sz w:val="28"/>
                <w:szCs w:val="28"/>
                <w:lang w:eastAsia="zh-CN"/>
              </w:rPr>
              <w:t>Change</w:t>
            </w:r>
          </w:p>
        </w:tc>
      </w:tr>
    </w:tbl>
    <w:p>
      <w:pPr>
        <w:pStyle w:val="3"/>
        <w:rPr>
          <w:ins w:id="6" w:author="China Mobile" w:date="2022-03-25T14:47:47Z"/>
        </w:rPr>
      </w:pPr>
      <w:ins w:id="7" w:author="China Mobile" w:date="2022-03-25T14:47:47Z">
        <w:r>
          <w:rPr/>
          <w:t>4.X Concept for autonomous network level evaluation</w:t>
        </w:r>
      </w:ins>
    </w:p>
    <w:p>
      <w:pPr>
        <w:pStyle w:val="4"/>
        <w:rPr>
          <w:ins w:id="8" w:author="China Mobile" w:date="2022-03-25T14:47:47Z"/>
          <w:rStyle w:val="90"/>
          <w:i w:val="0"/>
          <w:iCs w:val="0"/>
          <w:color w:val="auto"/>
          <w:lang w:eastAsia="zh-CN"/>
        </w:rPr>
      </w:pPr>
      <w:ins w:id="9" w:author="China Mobile" w:date="2022-03-25T14:47:47Z">
        <w:r>
          <w:rPr>
            <w:rStyle w:val="90"/>
            <w:rFonts w:hint="eastAsia"/>
            <w:i w:val="0"/>
            <w:iCs w:val="0"/>
            <w:color w:val="auto"/>
            <w:lang w:eastAsia="zh-CN"/>
          </w:rPr>
          <w:t>4</w:t>
        </w:r>
      </w:ins>
      <w:ins w:id="10" w:author="China Mobile" w:date="2022-03-25T14:47:47Z">
        <w:r>
          <w:rPr>
            <w:rStyle w:val="90"/>
            <w:i w:val="0"/>
            <w:iCs w:val="0"/>
            <w:color w:val="auto"/>
            <w:lang w:eastAsia="zh-CN"/>
          </w:rPr>
          <w:t>.X.1 Introduction</w:t>
        </w:r>
      </w:ins>
    </w:p>
    <w:p>
      <w:pPr>
        <w:jc w:val="both"/>
        <w:rPr>
          <w:ins w:id="11" w:author="China Mobile" w:date="2022-03-25T14:47:47Z"/>
          <w:rStyle w:val="42"/>
          <w:i w:val="0"/>
          <w:iCs w:val="0"/>
          <w:color w:val="auto"/>
          <w:lang w:eastAsia="zh-CN"/>
        </w:rPr>
      </w:pPr>
      <w:ins w:id="12" w:author="China Mobile" w:date="2022-03-25T18:32:40Z">
        <w:r>
          <w:rPr/>
          <w:t xml:space="preserve">Autonomous network level evaluation describes an approach for evaluating the autonomy capability of the autonomous network, which includes </w:t>
        </w:r>
      </w:ins>
      <w:ins w:id="13" w:author="China Mobile" w:date="2022-03-25T18:32:40Z">
        <w:r>
          <w:rPr>
            <w:rFonts w:hint="eastAsia"/>
          </w:rPr>
          <w:t>qualitative</w:t>
        </w:r>
      </w:ins>
      <w:ins w:id="14" w:author="China Mobile" w:date="2022-03-25T18:32:40Z">
        <w:r>
          <w:rPr/>
          <w:t xml:space="preserve"> description evaluation and </w:t>
        </w:r>
      </w:ins>
      <w:ins w:id="15" w:author="China Mobile" w:date="2022-03-25T18:32:40Z">
        <w:r>
          <w:rPr>
            <w:rFonts w:hint="eastAsia"/>
          </w:rPr>
          <w:t>quantitative evaluat</w:t>
        </w:r>
      </w:ins>
      <w:ins w:id="16" w:author="China Mobile" w:date="2022-03-25T18:32:40Z">
        <w:r>
          <w:rPr/>
          <w:t>ion.</w:t>
        </w:r>
      </w:ins>
    </w:p>
    <w:p>
      <w:pPr>
        <w:pStyle w:val="4"/>
        <w:rPr>
          <w:ins w:id="17" w:author="China Mobile" w:date="2022-03-25T14:47:47Z"/>
          <w:rStyle w:val="90"/>
          <w:i w:val="0"/>
          <w:iCs w:val="0"/>
          <w:color w:val="auto"/>
        </w:rPr>
      </w:pPr>
      <w:ins w:id="18" w:author="China Mobile" w:date="2022-03-25T14:47:47Z">
        <w:r>
          <w:rPr>
            <w:rStyle w:val="90"/>
            <w:i w:val="0"/>
            <w:iCs w:val="0"/>
            <w:color w:val="auto"/>
          </w:rPr>
          <w:t xml:space="preserve">4.X.1 Autonomous network level </w:t>
        </w:r>
      </w:ins>
      <w:ins w:id="19" w:author="China Mobile" w:date="2022-03-25T14:47:47Z">
        <w:r>
          <w:rPr/>
          <w:t xml:space="preserve">qualitative </w:t>
        </w:r>
      </w:ins>
      <w:ins w:id="20" w:author="China Mobile" w:date="2022-03-25T14:47:47Z">
        <w:r>
          <w:rPr>
            <w:rFonts w:hint="eastAsia"/>
            <w:lang w:eastAsia="zh-CN"/>
          </w:rPr>
          <w:t>evaluation</w:t>
        </w:r>
      </w:ins>
      <w:ins w:id="21" w:author="China Mobile" w:date="2022-03-25T14:47:47Z">
        <w:r>
          <w:rPr>
            <w:rStyle w:val="90"/>
            <w:i w:val="0"/>
            <w:iCs w:val="0"/>
            <w:color w:val="auto"/>
          </w:rPr>
          <w:t xml:space="preserve"> </w:t>
        </w:r>
      </w:ins>
    </w:p>
    <w:p>
      <w:pPr>
        <w:jc w:val="both"/>
        <w:rPr>
          <w:ins w:id="22" w:author="China Mobile" w:date="2022-03-25T18:32:54Z"/>
          <w:rFonts w:eastAsia="微软雅黑"/>
        </w:rPr>
      </w:pPr>
      <w:ins w:id="23" w:author="China Mobile" w:date="2022-03-25T18:32:54Z">
        <w:r>
          <w:rPr>
            <w:rFonts w:hint="eastAsia"/>
            <w:lang w:eastAsia="zh-CN"/>
          </w:rPr>
          <w:t>T</w:t>
        </w:r>
      </w:ins>
      <w:ins w:id="24" w:author="China Mobile" w:date="2022-03-25T18:32:54Z">
        <w:r>
          <w:rPr>
            <w:lang w:eastAsia="zh-CN"/>
          </w:rPr>
          <w:t xml:space="preserve">S 28.100 [X] </w:t>
        </w:r>
      </w:ins>
      <w:ins w:id="25" w:author="China Mobile" w:date="2022-03-25T18:32:54Z">
        <w:r>
          <w:rPr>
            <w:rFonts w:hint="eastAsia" w:eastAsiaTheme="minorEastAsia"/>
            <w:lang w:eastAsia="zh-CN"/>
          </w:rPr>
          <w:t>p</w:t>
        </w:r>
      </w:ins>
      <w:ins w:id="26" w:author="China Mobile" w:date="2022-03-25T18:32:54Z">
        <w:r>
          <w:rPr>
            <w:rFonts w:eastAsiaTheme="minorEastAsia"/>
            <w:lang w:eastAsia="zh-CN"/>
          </w:rPr>
          <w:t>rovides a</w:t>
        </w:r>
      </w:ins>
      <w:ins w:id="27" w:author="China Mobile-rev1" w:date="2022-04-06T22:47:51Z">
        <w:r>
          <w:rPr>
            <w:rFonts w:hint="default" w:eastAsiaTheme="minorEastAsia"/>
            <w:lang w:val="en-US" w:eastAsia="zh-CN"/>
          </w:rPr>
          <w:t>n</w:t>
        </w:r>
      </w:ins>
      <w:ins w:id="28" w:author="China Mobile" w:date="2022-03-25T18:32:54Z">
        <w:r>
          <w:rPr>
            <w:rFonts w:eastAsiaTheme="minorEastAsia"/>
            <w:lang w:eastAsia="zh-CN"/>
          </w:rPr>
          <w:t xml:space="preserve"> </w:t>
        </w:r>
      </w:ins>
      <w:ins w:id="29" w:author="China Mobile" w:date="2022-03-25T18:32:54Z">
        <w:r>
          <w:rPr/>
          <w:t>approach for evaluating autonomous network levels based on the qualitative description of the autonomy capability (</w:t>
        </w:r>
      </w:ins>
      <w:ins w:id="30" w:author="China Mobile" w:date="2022-03-25T18:32:54Z">
        <w:r>
          <w:rPr>
            <w:rFonts w:hint="eastAsia"/>
          </w:rPr>
          <w:t>participation of the human and teleco</w:t>
        </w:r>
      </w:ins>
      <w:ins w:id="31" w:author="China Mobile" w:date="2022-03-25T18:32:54Z">
        <w:r>
          <w:rPr/>
          <w:t>m system) for each task in the entire workflow, which is used</w:t>
        </w:r>
      </w:ins>
      <w:ins w:id="32" w:author="China Mobile" w:date="2022-03-25T18:32:54Z">
        <w:r>
          <w:rPr>
            <w:rFonts w:eastAsiaTheme="minorEastAsia"/>
            <w:lang w:eastAsia="zh-CN"/>
          </w:rPr>
          <w:t xml:space="preserve"> for evaluating the autonomy capability of telecom system </w:t>
        </w:r>
      </w:ins>
      <w:ins w:id="33" w:author="China Mobile" w:date="2022-03-25T18:32:54Z">
        <w:r>
          <w:rPr>
            <w:rFonts w:eastAsia="微软雅黑"/>
          </w:rPr>
          <w:t>for individual scenario with certain management scope</w:t>
        </w:r>
      </w:ins>
      <w:ins w:id="34" w:author="China Mobile" w:date="2022-03-25T18:32:54Z">
        <w:r>
          <w:rPr>
            <w:rFonts w:eastAsiaTheme="minorEastAsia"/>
            <w:lang w:eastAsia="zh-CN"/>
          </w:rPr>
          <w:t>.</w:t>
        </w:r>
      </w:ins>
      <w:ins w:id="35" w:author="China Mobile" w:date="2022-03-25T18:32:54Z">
        <w:r>
          <w:rPr/>
          <w:t xml:space="preserve"> Such evaluation approach is a </w:t>
        </w:r>
      </w:ins>
      <w:ins w:id="36" w:author="China Mobile" w:date="2022-03-25T18:32:54Z">
        <w:r>
          <w:rPr>
            <w:rFonts w:hint="eastAsia"/>
          </w:rPr>
          <w:t xml:space="preserve">qualitative </w:t>
        </w:r>
      </w:ins>
      <w:ins w:id="37" w:author="China Mobile" w:date="2022-03-25T18:32:54Z">
        <w:r>
          <w:rPr/>
          <w:t>evaluation</w:t>
        </w:r>
      </w:ins>
      <w:ins w:id="38" w:author="China Mobile" w:date="2022-03-25T18:32:54Z">
        <w:r>
          <w:rPr>
            <w:rFonts w:hint="eastAsia"/>
          </w:rPr>
          <w:t xml:space="preserve"> </w:t>
        </w:r>
      </w:ins>
      <w:ins w:id="39" w:author="China Mobile" w:date="2022-03-25T18:32:54Z">
        <w:r>
          <w:rPr/>
          <w:t>approach for</w:t>
        </w:r>
      </w:ins>
      <w:ins w:id="40" w:author="China Mobile" w:date="2022-03-25T18:32:54Z">
        <w:r>
          <w:rPr>
            <w:rFonts w:hint="eastAsia"/>
          </w:rPr>
          <w:t xml:space="preserve"> the autonomy capability</w:t>
        </w:r>
      </w:ins>
      <w:ins w:id="41" w:author="China Mobile" w:date="2022-03-25T18:32:54Z">
        <w:r>
          <w:rPr/>
          <w:t xml:space="preserve"> of the telecom system, and </w:t>
        </w:r>
      </w:ins>
      <w:ins w:id="42" w:author="China Mobile" w:date="2022-03-25T18:32:54Z">
        <w:r>
          <w:rPr>
            <w:rFonts w:eastAsia="微软雅黑"/>
          </w:rPr>
          <w:t xml:space="preserve">the evaluation result can be Level 1, Level 2, Level 3, Level 4 and Level 5. For example, if RAN MnF implemented the following autonomy capability for radio coverage optimization, the </w:t>
        </w:r>
      </w:ins>
      <w:ins w:id="43" w:author="China Mobile" w:date="2022-03-25T18:32:54Z">
        <w:r>
          <w:rPr>
            <w:rFonts w:hint="eastAsia"/>
          </w:rPr>
          <w:t xml:space="preserve">qualitative </w:t>
        </w:r>
      </w:ins>
      <w:ins w:id="44" w:author="China Mobile" w:date="2022-03-25T18:32:54Z">
        <w:r>
          <w:rPr/>
          <w:t>evaluation</w:t>
        </w:r>
      </w:ins>
      <w:ins w:id="45" w:author="China Mobile" w:date="2022-03-25T18:32:54Z">
        <w:r>
          <w:rPr>
            <w:rFonts w:eastAsia="微软雅黑"/>
          </w:rPr>
          <w:t xml:space="preserve"> result is level 2 (see the Figure 4.X.1-1) based on the </w:t>
        </w:r>
      </w:ins>
      <w:ins w:id="46" w:author="China Mobile" w:date="2022-03-25T18:32:54Z">
        <w:r>
          <w:rPr>
            <w:lang w:eastAsia="zh-CN"/>
          </w:rPr>
          <w:t xml:space="preserve">generic classification of autonomous network level for </w:t>
        </w:r>
      </w:ins>
      <w:ins w:id="47" w:author="China Mobile" w:date="2022-03-25T18:32:54Z">
        <w:r>
          <w:rPr>
            <w:rFonts w:eastAsiaTheme="minorEastAsia"/>
          </w:rPr>
          <w:t>network optimization in clause 7.1.2 in TS 28.100 [X].</w:t>
        </w:r>
      </w:ins>
    </w:p>
    <w:p>
      <w:pPr>
        <w:pStyle w:val="87"/>
        <w:numPr>
          <w:ilvl w:val="0"/>
          <w:numId w:val="1"/>
        </w:numPr>
        <w:ind w:firstLineChars="0"/>
        <w:jc w:val="both"/>
        <w:rPr>
          <w:ins w:id="48" w:author="China Mobile" w:date="2022-03-25T18:32:54Z"/>
          <w:rFonts w:eastAsia="微软雅黑"/>
        </w:rPr>
      </w:pPr>
      <w:ins w:id="49" w:author="China Mobile" w:date="2022-03-25T18:32:54Z">
        <w:r>
          <w:rPr>
            <w:rFonts w:eastAsia="微软雅黑"/>
          </w:rPr>
          <w:t>Task C (</w:t>
        </w:r>
      </w:ins>
      <w:ins w:id="50" w:author="China Mobile" w:date="2022-03-25T18:32:54Z">
        <w:r>
          <w:rPr>
            <w:rFonts w:eastAsiaTheme="minorEastAsia"/>
            <w:lang w:eastAsia="zh-CN"/>
          </w:rPr>
          <w:t>Coverage related information collection</w:t>
        </w:r>
      </w:ins>
      <w:ins w:id="51" w:author="China Mobile" w:date="2022-03-25T18:32:54Z">
        <w:r>
          <w:rPr>
            <w:rFonts w:eastAsia="微软雅黑"/>
          </w:rPr>
          <w:t>), Task D (</w:t>
        </w:r>
      </w:ins>
      <w:ins w:id="52" w:author="China Mobile" w:date="2022-03-25T18:32:54Z">
        <w:r>
          <w:rPr>
            <w:rFonts w:eastAsiaTheme="minorEastAsia"/>
            <w:lang w:eastAsia="zh-CN"/>
          </w:rPr>
          <w:t>Coverage issues identification</w:t>
        </w:r>
      </w:ins>
      <w:ins w:id="53" w:author="China Mobile" w:date="2022-03-25T18:32:54Z">
        <w:r>
          <w:rPr>
            <w:rFonts w:eastAsia="微软雅黑"/>
          </w:rPr>
          <w:t>), Task F (</w:t>
        </w:r>
      </w:ins>
      <w:ins w:id="54" w:author="China Mobile" w:date="2022-03-25T18:32:54Z">
        <w:r>
          <w:rPr>
            <w:rFonts w:eastAsiaTheme="minorEastAsia"/>
            <w:lang w:eastAsia="zh-CN"/>
          </w:rPr>
          <w:t>Coverage issues demarcation</w:t>
        </w:r>
      </w:ins>
      <w:ins w:id="55" w:author="China Mobile" w:date="2022-03-25T18:32:54Z">
        <w:r>
          <w:rPr>
            <w:rFonts w:eastAsia="微软雅黑"/>
          </w:rPr>
          <w:t>) and Task G (C</w:t>
        </w:r>
      </w:ins>
      <w:ins w:id="56" w:author="China Mobile" w:date="2022-03-25T18:32:54Z">
        <w:r>
          <w:rPr>
            <w:rFonts w:eastAsiaTheme="minorEastAsia"/>
            <w:lang w:eastAsia="zh-CN"/>
          </w:rPr>
          <w:t>overage issue root cause analysis</w:t>
        </w:r>
      </w:ins>
      <w:ins w:id="57" w:author="China Mobile" w:date="2022-03-25T18:32:54Z">
        <w:r>
          <w:rPr>
            <w:rFonts w:eastAsia="微软雅黑"/>
          </w:rPr>
          <w:t xml:space="preserve">) are accomplished by RAN MnF with human specified control information; </w:t>
        </w:r>
      </w:ins>
    </w:p>
    <w:p>
      <w:pPr>
        <w:pStyle w:val="87"/>
        <w:numPr>
          <w:ilvl w:val="0"/>
          <w:numId w:val="1"/>
        </w:numPr>
        <w:ind w:firstLineChars="0"/>
        <w:jc w:val="both"/>
        <w:rPr>
          <w:ins w:id="58" w:author="China Mobile" w:date="2022-03-25T18:32:54Z"/>
          <w:rFonts w:eastAsia="微软雅黑"/>
        </w:rPr>
      </w:pPr>
      <w:ins w:id="59" w:author="China Mobile" w:date="2022-03-25T18:32:54Z">
        <w:r>
          <w:rPr>
            <w:rFonts w:eastAsia="微软雅黑"/>
          </w:rPr>
          <w:t>Task J (</w:t>
        </w:r>
      </w:ins>
      <w:ins w:id="60" w:author="China Mobile" w:date="2022-03-25T18:32:54Z">
        <w:r>
          <w:rPr>
            <w:rFonts w:eastAsiaTheme="minorEastAsia"/>
            <w:lang w:eastAsia="zh-CN"/>
          </w:rPr>
          <w:t>Coverage adjustment solutions execution</w:t>
        </w:r>
      </w:ins>
      <w:ins w:id="61" w:author="China Mobile" w:date="2022-03-25T18:32:54Z">
        <w:r>
          <w:rPr>
            <w:rFonts w:eastAsia="微软雅黑"/>
          </w:rPr>
          <w:t>) is fully accomplished by RAN MnF</w:t>
        </w:r>
      </w:ins>
    </w:p>
    <w:p>
      <w:pPr>
        <w:pStyle w:val="87"/>
        <w:numPr>
          <w:ilvl w:val="0"/>
          <w:numId w:val="1"/>
        </w:numPr>
        <w:ind w:firstLineChars="0"/>
        <w:jc w:val="both"/>
        <w:rPr>
          <w:ins w:id="62" w:author="China Mobile" w:date="2022-03-25T14:47:47Z"/>
          <w:rFonts w:eastAsia="微软雅黑"/>
        </w:rPr>
      </w:pPr>
      <w:ins w:id="63" w:author="China Mobile" w:date="2022-03-25T18:32:54Z">
        <w:r>
          <w:rPr>
            <w:rFonts w:eastAsia="微软雅黑"/>
          </w:rPr>
          <w:t>Other Tasks are accomplished by Human.</w:t>
        </w:r>
      </w:ins>
    </w:p>
    <w:p>
      <w:pPr>
        <w:tabs>
          <w:tab w:val="left" w:pos="5810"/>
        </w:tabs>
        <w:jc w:val="center"/>
        <w:rPr>
          <w:ins w:id="64" w:author="China Mobile" w:date="2022-03-25T14:47:47Z"/>
          <w:rFonts w:eastAsia="微软雅黑"/>
        </w:rPr>
      </w:pPr>
      <w:ins w:id="65" w:author="China Mobile" w:date="2022-03-25T14:47:47Z">
        <w:r>
          <w:rPr>
            <w:lang w:val="en-US" w:eastAsia="zh-CN"/>
          </w:rPr>
          <w:drawing>
            <wp:inline distT="0" distB="0" distL="0" distR="0">
              <wp:extent cx="4936490" cy="23215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946435" cy="2326195"/>
                      </a:xfrm>
                      <a:prstGeom prst="rect">
                        <a:avLst/>
                      </a:prstGeom>
                    </pic:spPr>
                  </pic:pic>
                </a:graphicData>
              </a:graphic>
            </wp:inline>
          </w:drawing>
        </w:r>
      </w:ins>
    </w:p>
    <w:p>
      <w:pPr>
        <w:tabs>
          <w:tab w:val="left" w:pos="5810"/>
        </w:tabs>
        <w:jc w:val="center"/>
        <w:rPr>
          <w:ins w:id="67" w:author="China Mobile" w:date="2022-03-25T14:47:47Z"/>
          <w:rFonts w:eastAsia="微软雅黑"/>
          <w:lang w:eastAsia="zh-CN"/>
        </w:rPr>
      </w:pPr>
      <w:ins w:id="68" w:author="China Mobile" w:date="2022-03-25T14:47:47Z">
        <w:r>
          <w:rPr>
            <w:rFonts w:hint="eastAsia" w:eastAsia="微软雅黑"/>
            <w:lang w:eastAsia="zh-CN"/>
          </w:rPr>
          <w:t>F</w:t>
        </w:r>
      </w:ins>
      <w:ins w:id="69" w:author="China Mobile" w:date="2022-03-25T14:47:47Z">
        <w:r>
          <w:rPr>
            <w:rFonts w:eastAsia="微软雅黑"/>
            <w:lang w:eastAsia="zh-CN"/>
          </w:rPr>
          <w:t xml:space="preserve">igure 4.X.1-1 Example of </w:t>
        </w:r>
      </w:ins>
      <w:ins w:id="70" w:author="China Mobile" w:date="2022-03-25T14:47:47Z">
        <w:r>
          <w:rPr>
            <w:rStyle w:val="90"/>
            <w:i w:val="0"/>
            <w:iCs w:val="0"/>
            <w:color w:val="auto"/>
          </w:rPr>
          <w:t xml:space="preserve">Autonomous network level </w:t>
        </w:r>
      </w:ins>
      <w:ins w:id="71" w:author="China Mobile" w:date="2022-03-25T14:47:47Z">
        <w:bookmarkStart w:id="1" w:name="_GoBack"/>
        <w:r>
          <w:rPr/>
          <w:t xml:space="preserve">qualitative </w:t>
        </w:r>
      </w:ins>
      <w:ins w:id="72" w:author="China Mobile" w:date="2022-03-25T14:47:47Z">
        <w:r>
          <w:rPr>
            <w:rFonts w:hint="eastAsia"/>
            <w:lang w:eastAsia="zh-CN"/>
          </w:rPr>
          <w:t>evaluation</w:t>
        </w:r>
      </w:ins>
      <w:ins w:id="73" w:author="China Mobile" w:date="2022-03-25T14:47:47Z">
        <w:r>
          <w:rPr>
            <w:lang w:eastAsia="zh-CN"/>
          </w:rPr>
          <w:t xml:space="preserve"> </w:t>
        </w:r>
        <w:bookmarkEnd w:id="1"/>
        <w:r>
          <w:rPr>
            <w:lang w:eastAsia="zh-CN"/>
          </w:rPr>
          <w:t>result</w:t>
        </w:r>
      </w:ins>
    </w:p>
    <w:p>
      <w:pPr>
        <w:pStyle w:val="3"/>
        <w:rPr>
          <w:ins w:id="74" w:author="China Mobile" w:date="2022-03-25T14:47:47Z"/>
          <w:lang w:eastAsia="zh-CN"/>
        </w:rPr>
      </w:pPr>
      <w:ins w:id="75" w:author="China Mobile" w:date="2022-03-25T14:47:47Z">
        <w:r>
          <w:rPr>
            <w:rStyle w:val="90"/>
            <w:i w:val="0"/>
            <w:iCs w:val="0"/>
            <w:color w:val="auto"/>
          </w:rPr>
          <w:t xml:space="preserve">4.X.2 Autonomous network level quantitative evaluation </w:t>
        </w:r>
      </w:ins>
    </w:p>
    <w:p>
      <w:pPr>
        <w:jc w:val="both"/>
        <w:rPr>
          <w:ins w:id="76" w:author="China Mobile" w:date="2022-03-25T14:47:47Z"/>
        </w:rPr>
      </w:pPr>
      <w:ins w:id="77" w:author="China Mobile" w:date="2022-03-25T18:46:36Z">
        <w:r>
          <w:rPr>
            <w:rFonts w:hint="eastAsia"/>
          </w:rPr>
          <w:t>In order to further differentiate different telecom systems with different autonomy capabilities but belong to same autonomous network level (result of qualitative evaluation), a quantitative evaluation approach needs to be introduced. The quantitative evaluation approach is used to derive the concrete autonomous network level score (ANLS) by considering more evaluation factors. The Autonomous network level score is derived based on the autonomous network level (derived from the qualitative evaluation) and further quantitative evaluation. The quantitative evaluation can be used to evaluate the autonomy capabilities for individual scenario scenarios and/or management scope, as well as the whole telecom system for all scenarios.</w:t>
        </w:r>
      </w:ins>
      <w:ins w:id="78" w:author="China Mobile" w:date="2022-03-25T14:47:47Z">
        <w:r>
          <w:rPr/>
          <w:t xml:space="preserve"> </w:t>
        </w:r>
      </w:ins>
    </w:p>
    <w:p>
      <w:pPr>
        <w:pStyle w:val="3"/>
        <w:rPr>
          <w:ins w:id="79" w:author="China Mobile" w:date="2022-03-25T14:47:47Z"/>
          <w:rStyle w:val="90"/>
          <w:i w:val="0"/>
          <w:color w:val="auto"/>
        </w:rPr>
      </w:pPr>
      <w:ins w:id="80" w:author="China Mobile" w:date="2022-03-25T14:47:47Z">
        <w:r>
          <w:rPr>
            <w:rStyle w:val="90"/>
            <w:i w:val="0"/>
            <w:iCs w:val="0"/>
            <w:color w:val="auto"/>
          </w:rPr>
          <w:t xml:space="preserve">4.X.3 </w:t>
        </w:r>
      </w:ins>
      <w:ins w:id="81" w:author="China Mobile" w:date="2022-03-25T14:47:47Z">
        <w:r>
          <w:rPr>
            <w:rStyle w:val="90"/>
            <w:rFonts w:hint="eastAsia"/>
            <w:i w:val="0"/>
            <w:color w:val="auto"/>
          </w:rPr>
          <w:t>Key effectiveness indicator</w:t>
        </w:r>
      </w:ins>
      <w:ins w:id="82" w:author="China Mobile" w:date="2022-03-25T14:47:47Z">
        <w:r>
          <w:rPr>
            <w:rStyle w:val="90"/>
            <w:i w:val="0"/>
            <w:color w:val="auto"/>
          </w:rPr>
          <w:t xml:space="preserve"> </w:t>
        </w:r>
      </w:ins>
    </w:p>
    <w:p>
      <w:pPr>
        <w:jc w:val="both"/>
        <w:rPr>
          <w:ins w:id="83" w:author="China Mobile" w:date="2022-03-25T14:47:47Z"/>
          <w:lang w:eastAsia="zh-CN"/>
        </w:rPr>
      </w:pPr>
      <w:ins w:id="84" w:author="China Mobile" w:date="2022-03-25T18:46:53Z">
        <w:r>
          <w:rPr>
            <w:rFonts w:hint="eastAsia"/>
          </w:rPr>
          <w:t>Key effectiveness indicator (KEI) describes the effective of introducing autonomy capability into telecom system. Existing KPIs and measurements could be used to evaluate the performance of the network, but it is not sufficient to reflect the effect from autonomous management and control perspective. Key effectiveness indicators could be used to help the NOPs to understand what benefits from autonomous management and control perspective they could get from upgrading their telecom system with more autonomy capabilities.</w:t>
        </w:r>
      </w:ins>
      <w:ins w:id="85" w:author="China Mobile" w:date="2022-03-25T14:47:47Z">
        <w:r>
          <w:rPr/>
          <w:t xml:space="preserve"> </w:t>
        </w:r>
      </w:ins>
    </w:p>
    <w:p>
      <w:pPr>
        <w:jc w:val="both"/>
        <w:rPr>
          <w:lang w:eastAsia="zh-CN"/>
        </w:rPr>
      </w:pPr>
    </w:p>
    <w:p>
      <w:pPr>
        <w:jc w:val="both"/>
        <w:rPr>
          <w:lang w:eastAsia="zh-CN"/>
        </w:rPr>
      </w:pP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hint="eastAsia" w:ascii="Arial" w:hAnsi="Arial" w:cs="Arial"/>
                <w:b/>
                <w:bCs/>
                <w:sz w:val="28"/>
                <w:szCs w:val="28"/>
                <w:lang w:eastAsia="zh-CN"/>
              </w:rPr>
              <w:t>End</w:t>
            </w:r>
            <w:r>
              <w:rPr>
                <w:rFonts w:ascii="Arial" w:hAnsi="Arial" w:cs="Arial"/>
                <w:b/>
                <w:bCs/>
                <w:sz w:val="28"/>
                <w:szCs w:val="28"/>
                <w:lang w:eastAsia="zh-CN"/>
              </w:rPr>
              <w:t xml:space="preserve"> of </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pPr>
        <w:rPr>
          <w:lang w:eastAsia="zh-CN"/>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A3DB6"/>
    <w:multiLevelType w:val="multilevel"/>
    <w:tmpl w:val="5C0A3DB6"/>
    <w:lvl w:ilvl="0" w:tentative="0">
      <w:start w:val="4"/>
      <w:numFmt w:val="bullet"/>
      <w:lvlText w:val="-"/>
      <w:lvlJc w:val="left"/>
      <w:pPr>
        <w:ind w:left="644" w:hanging="360"/>
      </w:pPr>
      <w:rPr>
        <w:rFonts w:hint="default" w:ascii="Times New Roman" w:hAnsi="Times New Roman" w:eastAsia="微软雅黑" w:cs="Times New Roma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Mobile">
    <w15:presenceInfo w15:providerId="None" w15:userId="China Mobile"/>
  </w15:person>
  <w15:person w15:author="China Mobile-rev1">
    <w15:presenceInfo w15:providerId="None" w15:userId="China Mobil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29C5"/>
    <w:rsid w:val="0000785A"/>
    <w:rsid w:val="00012515"/>
    <w:rsid w:val="00013EA0"/>
    <w:rsid w:val="00016D57"/>
    <w:rsid w:val="00046389"/>
    <w:rsid w:val="00052523"/>
    <w:rsid w:val="0005577A"/>
    <w:rsid w:val="00060EC4"/>
    <w:rsid w:val="000626C9"/>
    <w:rsid w:val="00074722"/>
    <w:rsid w:val="00074D6C"/>
    <w:rsid w:val="000819D8"/>
    <w:rsid w:val="00091944"/>
    <w:rsid w:val="000934A6"/>
    <w:rsid w:val="00095FF0"/>
    <w:rsid w:val="000A2C6C"/>
    <w:rsid w:val="000A4660"/>
    <w:rsid w:val="000C56F5"/>
    <w:rsid w:val="000D1B5B"/>
    <w:rsid w:val="000D416B"/>
    <w:rsid w:val="000E5E0B"/>
    <w:rsid w:val="000F698B"/>
    <w:rsid w:val="001005FB"/>
    <w:rsid w:val="0010401F"/>
    <w:rsid w:val="00106D68"/>
    <w:rsid w:val="00112E0C"/>
    <w:rsid w:val="00112FC3"/>
    <w:rsid w:val="00142328"/>
    <w:rsid w:val="0016645A"/>
    <w:rsid w:val="00173FA3"/>
    <w:rsid w:val="00183072"/>
    <w:rsid w:val="00184B6F"/>
    <w:rsid w:val="001861E5"/>
    <w:rsid w:val="001979F9"/>
    <w:rsid w:val="001B1652"/>
    <w:rsid w:val="001C3EC8"/>
    <w:rsid w:val="001C454D"/>
    <w:rsid w:val="001C4B94"/>
    <w:rsid w:val="001D2BD4"/>
    <w:rsid w:val="001D4830"/>
    <w:rsid w:val="001D6911"/>
    <w:rsid w:val="001E30DC"/>
    <w:rsid w:val="001E5489"/>
    <w:rsid w:val="001F294D"/>
    <w:rsid w:val="001F3324"/>
    <w:rsid w:val="001F5F98"/>
    <w:rsid w:val="001F7D73"/>
    <w:rsid w:val="00201947"/>
    <w:rsid w:val="0020395B"/>
    <w:rsid w:val="002046CB"/>
    <w:rsid w:val="00204DC9"/>
    <w:rsid w:val="002062C0"/>
    <w:rsid w:val="00212A0D"/>
    <w:rsid w:val="00213B09"/>
    <w:rsid w:val="00215130"/>
    <w:rsid w:val="00217653"/>
    <w:rsid w:val="00227155"/>
    <w:rsid w:val="00230002"/>
    <w:rsid w:val="00244C9A"/>
    <w:rsid w:val="00247216"/>
    <w:rsid w:val="002810C8"/>
    <w:rsid w:val="00287AAF"/>
    <w:rsid w:val="00296D8A"/>
    <w:rsid w:val="002A1857"/>
    <w:rsid w:val="002A7C61"/>
    <w:rsid w:val="002C002F"/>
    <w:rsid w:val="002C7F38"/>
    <w:rsid w:val="002E4F7C"/>
    <w:rsid w:val="002F6432"/>
    <w:rsid w:val="0030628A"/>
    <w:rsid w:val="003106F5"/>
    <w:rsid w:val="00322A80"/>
    <w:rsid w:val="00350355"/>
    <w:rsid w:val="0035122B"/>
    <w:rsid w:val="00353451"/>
    <w:rsid w:val="00371032"/>
    <w:rsid w:val="0037162C"/>
    <w:rsid w:val="00371B44"/>
    <w:rsid w:val="00381916"/>
    <w:rsid w:val="003A0C49"/>
    <w:rsid w:val="003A7A7E"/>
    <w:rsid w:val="003B1956"/>
    <w:rsid w:val="003B4748"/>
    <w:rsid w:val="003C122B"/>
    <w:rsid w:val="003C5A97"/>
    <w:rsid w:val="003C7A04"/>
    <w:rsid w:val="003D4BBD"/>
    <w:rsid w:val="003E37AC"/>
    <w:rsid w:val="003E52A2"/>
    <w:rsid w:val="003E723F"/>
    <w:rsid w:val="003F52B2"/>
    <w:rsid w:val="0040206B"/>
    <w:rsid w:val="00410B04"/>
    <w:rsid w:val="00425367"/>
    <w:rsid w:val="00430113"/>
    <w:rsid w:val="0043775B"/>
    <w:rsid w:val="00440414"/>
    <w:rsid w:val="0045503F"/>
    <w:rsid w:val="004558E9"/>
    <w:rsid w:val="0045777E"/>
    <w:rsid w:val="00462794"/>
    <w:rsid w:val="00463EC7"/>
    <w:rsid w:val="00464675"/>
    <w:rsid w:val="00472CAB"/>
    <w:rsid w:val="004770C5"/>
    <w:rsid w:val="004838A7"/>
    <w:rsid w:val="0049780E"/>
    <w:rsid w:val="00497E1B"/>
    <w:rsid w:val="004B3753"/>
    <w:rsid w:val="004B47E0"/>
    <w:rsid w:val="004B67DD"/>
    <w:rsid w:val="004B77BA"/>
    <w:rsid w:val="004C31D2"/>
    <w:rsid w:val="004D41B4"/>
    <w:rsid w:val="004D55C2"/>
    <w:rsid w:val="004E46B6"/>
    <w:rsid w:val="004E7C66"/>
    <w:rsid w:val="00507B8D"/>
    <w:rsid w:val="00521131"/>
    <w:rsid w:val="00527C0B"/>
    <w:rsid w:val="005306D9"/>
    <w:rsid w:val="005410F6"/>
    <w:rsid w:val="00543C22"/>
    <w:rsid w:val="00557FEC"/>
    <w:rsid w:val="00561424"/>
    <w:rsid w:val="00565369"/>
    <w:rsid w:val="00566468"/>
    <w:rsid w:val="00567792"/>
    <w:rsid w:val="005729C4"/>
    <w:rsid w:val="0059227B"/>
    <w:rsid w:val="005948E3"/>
    <w:rsid w:val="005B0966"/>
    <w:rsid w:val="005B795D"/>
    <w:rsid w:val="005D23AA"/>
    <w:rsid w:val="005E1CC4"/>
    <w:rsid w:val="005E209F"/>
    <w:rsid w:val="00602FF1"/>
    <w:rsid w:val="00613820"/>
    <w:rsid w:val="00621E97"/>
    <w:rsid w:val="00641996"/>
    <w:rsid w:val="006431AF"/>
    <w:rsid w:val="0065154C"/>
    <w:rsid w:val="00652248"/>
    <w:rsid w:val="00657B80"/>
    <w:rsid w:val="00675B3C"/>
    <w:rsid w:val="00683405"/>
    <w:rsid w:val="0069495C"/>
    <w:rsid w:val="006A0E56"/>
    <w:rsid w:val="006B468B"/>
    <w:rsid w:val="006C6C10"/>
    <w:rsid w:val="006C6FDF"/>
    <w:rsid w:val="006D340A"/>
    <w:rsid w:val="006F6623"/>
    <w:rsid w:val="007127E8"/>
    <w:rsid w:val="007134F4"/>
    <w:rsid w:val="00715A1D"/>
    <w:rsid w:val="0074350C"/>
    <w:rsid w:val="007543DD"/>
    <w:rsid w:val="00760BB0"/>
    <w:rsid w:val="0076157A"/>
    <w:rsid w:val="0076668A"/>
    <w:rsid w:val="00784593"/>
    <w:rsid w:val="00785A4E"/>
    <w:rsid w:val="00786DBE"/>
    <w:rsid w:val="007A00EF"/>
    <w:rsid w:val="007B19EA"/>
    <w:rsid w:val="007C0A2D"/>
    <w:rsid w:val="007C27B0"/>
    <w:rsid w:val="007C6B6C"/>
    <w:rsid w:val="007F300B"/>
    <w:rsid w:val="008014C3"/>
    <w:rsid w:val="00802038"/>
    <w:rsid w:val="00802F9C"/>
    <w:rsid w:val="0081557E"/>
    <w:rsid w:val="00850812"/>
    <w:rsid w:val="0085532E"/>
    <w:rsid w:val="00867A20"/>
    <w:rsid w:val="008702B5"/>
    <w:rsid w:val="00876B9A"/>
    <w:rsid w:val="00882FCF"/>
    <w:rsid w:val="00883FE8"/>
    <w:rsid w:val="008870E0"/>
    <w:rsid w:val="008933BF"/>
    <w:rsid w:val="00896D2B"/>
    <w:rsid w:val="00897EEA"/>
    <w:rsid w:val="008A10C4"/>
    <w:rsid w:val="008A4A39"/>
    <w:rsid w:val="008B0248"/>
    <w:rsid w:val="008B0715"/>
    <w:rsid w:val="008F54A1"/>
    <w:rsid w:val="008F5F33"/>
    <w:rsid w:val="00903FCC"/>
    <w:rsid w:val="0091046A"/>
    <w:rsid w:val="00917A03"/>
    <w:rsid w:val="00926ABD"/>
    <w:rsid w:val="009301DF"/>
    <w:rsid w:val="0093533E"/>
    <w:rsid w:val="00936EE4"/>
    <w:rsid w:val="00937D0D"/>
    <w:rsid w:val="00944922"/>
    <w:rsid w:val="0094544E"/>
    <w:rsid w:val="0094608A"/>
    <w:rsid w:val="00946531"/>
    <w:rsid w:val="00947F4E"/>
    <w:rsid w:val="00957315"/>
    <w:rsid w:val="009600F8"/>
    <w:rsid w:val="00960660"/>
    <w:rsid w:val="009607D3"/>
    <w:rsid w:val="00966D47"/>
    <w:rsid w:val="009715EF"/>
    <w:rsid w:val="00992312"/>
    <w:rsid w:val="00994407"/>
    <w:rsid w:val="009C0DED"/>
    <w:rsid w:val="009C796D"/>
    <w:rsid w:val="009F19DF"/>
    <w:rsid w:val="00A15654"/>
    <w:rsid w:val="00A21004"/>
    <w:rsid w:val="00A25CB9"/>
    <w:rsid w:val="00A37D7F"/>
    <w:rsid w:val="00A46410"/>
    <w:rsid w:val="00A47C2B"/>
    <w:rsid w:val="00A502CB"/>
    <w:rsid w:val="00A50998"/>
    <w:rsid w:val="00A55B39"/>
    <w:rsid w:val="00A57688"/>
    <w:rsid w:val="00A57963"/>
    <w:rsid w:val="00A61F5A"/>
    <w:rsid w:val="00A65E3A"/>
    <w:rsid w:val="00A7374E"/>
    <w:rsid w:val="00A74A9D"/>
    <w:rsid w:val="00A75443"/>
    <w:rsid w:val="00A83ABB"/>
    <w:rsid w:val="00A84A94"/>
    <w:rsid w:val="00A96F7E"/>
    <w:rsid w:val="00AA6F1C"/>
    <w:rsid w:val="00AB33CB"/>
    <w:rsid w:val="00AD0CF8"/>
    <w:rsid w:val="00AD1DAA"/>
    <w:rsid w:val="00AF1E23"/>
    <w:rsid w:val="00AF7F81"/>
    <w:rsid w:val="00B01AFF"/>
    <w:rsid w:val="00B02315"/>
    <w:rsid w:val="00B05CC7"/>
    <w:rsid w:val="00B05F8E"/>
    <w:rsid w:val="00B15F06"/>
    <w:rsid w:val="00B162E5"/>
    <w:rsid w:val="00B2230E"/>
    <w:rsid w:val="00B27E39"/>
    <w:rsid w:val="00B350D8"/>
    <w:rsid w:val="00B427A4"/>
    <w:rsid w:val="00B46910"/>
    <w:rsid w:val="00B650FF"/>
    <w:rsid w:val="00B76763"/>
    <w:rsid w:val="00B7732B"/>
    <w:rsid w:val="00B879F0"/>
    <w:rsid w:val="00B929A8"/>
    <w:rsid w:val="00BA2456"/>
    <w:rsid w:val="00BA4E47"/>
    <w:rsid w:val="00BC25AA"/>
    <w:rsid w:val="00BC3174"/>
    <w:rsid w:val="00BF17A8"/>
    <w:rsid w:val="00C022E3"/>
    <w:rsid w:val="00C22D17"/>
    <w:rsid w:val="00C23357"/>
    <w:rsid w:val="00C2685D"/>
    <w:rsid w:val="00C33382"/>
    <w:rsid w:val="00C4712D"/>
    <w:rsid w:val="00C513FA"/>
    <w:rsid w:val="00C51D46"/>
    <w:rsid w:val="00C555C9"/>
    <w:rsid w:val="00C94F55"/>
    <w:rsid w:val="00CA671C"/>
    <w:rsid w:val="00CA7D62"/>
    <w:rsid w:val="00CB07A8"/>
    <w:rsid w:val="00CB6CBE"/>
    <w:rsid w:val="00CD4A57"/>
    <w:rsid w:val="00CE0A69"/>
    <w:rsid w:val="00CE2261"/>
    <w:rsid w:val="00CE58E4"/>
    <w:rsid w:val="00CF5A98"/>
    <w:rsid w:val="00D146F1"/>
    <w:rsid w:val="00D14975"/>
    <w:rsid w:val="00D159CA"/>
    <w:rsid w:val="00D330FE"/>
    <w:rsid w:val="00D33604"/>
    <w:rsid w:val="00D34FC7"/>
    <w:rsid w:val="00D37B08"/>
    <w:rsid w:val="00D406DF"/>
    <w:rsid w:val="00D437FF"/>
    <w:rsid w:val="00D5130C"/>
    <w:rsid w:val="00D561BF"/>
    <w:rsid w:val="00D62265"/>
    <w:rsid w:val="00D66BE1"/>
    <w:rsid w:val="00D838AB"/>
    <w:rsid w:val="00D83A7F"/>
    <w:rsid w:val="00D8512E"/>
    <w:rsid w:val="00D97CC8"/>
    <w:rsid w:val="00DA1E58"/>
    <w:rsid w:val="00DA5D62"/>
    <w:rsid w:val="00DB13EC"/>
    <w:rsid w:val="00DD1815"/>
    <w:rsid w:val="00DE4EF2"/>
    <w:rsid w:val="00DE7B68"/>
    <w:rsid w:val="00DE7BE4"/>
    <w:rsid w:val="00DF2C0E"/>
    <w:rsid w:val="00E04DB6"/>
    <w:rsid w:val="00E06FFB"/>
    <w:rsid w:val="00E21F7C"/>
    <w:rsid w:val="00E30155"/>
    <w:rsid w:val="00E361AB"/>
    <w:rsid w:val="00E41E62"/>
    <w:rsid w:val="00E70597"/>
    <w:rsid w:val="00E710D4"/>
    <w:rsid w:val="00E75A8D"/>
    <w:rsid w:val="00E910A6"/>
    <w:rsid w:val="00E91FE1"/>
    <w:rsid w:val="00E97E57"/>
    <w:rsid w:val="00EA5E95"/>
    <w:rsid w:val="00EC4EBF"/>
    <w:rsid w:val="00ED4954"/>
    <w:rsid w:val="00ED72FA"/>
    <w:rsid w:val="00EE0943"/>
    <w:rsid w:val="00EE2C77"/>
    <w:rsid w:val="00EE33A2"/>
    <w:rsid w:val="00EF11D1"/>
    <w:rsid w:val="00F2187D"/>
    <w:rsid w:val="00F67A1C"/>
    <w:rsid w:val="00F71F09"/>
    <w:rsid w:val="00F726D1"/>
    <w:rsid w:val="00F7746B"/>
    <w:rsid w:val="00F806EB"/>
    <w:rsid w:val="00F82C5B"/>
    <w:rsid w:val="00F83F7C"/>
    <w:rsid w:val="00F8555F"/>
    <w:rsid w:val="00FA2F0A"/>
    <w:rsid w:val="00FB5301"/>
    <w:rsid w:val="00FD0EA3"/>
    <w:rsid w:val="00FE094A"/>
    <w:rsid w:val="00FE0FCF"/>
    <w:rsid w:val="12447E63"/>
    <w:rsid w:val="1337025D"/>
    <w:rsid w:val="16BE57EB"/>
    <w:rsid w:val="33D57683"/>
    <w:rsid w:val="3EEF66FD"/>
    <w:rsid w:val="4647145B"/>
    <w:rsid w:val="53026BE0"/>
    <w:rsid w:val="54A67F8F"/>
    <w:rsid w:val="794206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86"/>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88"/>
    <w:qFormat/>
    <w:uiPriority w:val="0"/>
    <w:pPr>
      <w:pBdr>
        <w:top w:val="none" w:color="auto" w:sz="0" w:space="0"/>
      </w:pBdr>
      <w:spacing w:before="180"/>
      <w:outlineLvl w:val="1"/>
    </w:pPr>
    <w:rPr>
      <w:sz w:val="32"/>
    </w:rPr>
  </w:style>
  <w:style w:type="paragraph" w:styleId="4">
    <w:name w:val="heading 3"/>
    <w:basedOn w:val="3"/>
    <w:next w:val="1"/>
    <w:link w:val="89"/>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92"/>
    <w:semiHidden/>
    <w:qFormat/>
    <w:uiPriority w:val="0"/>
  </w:style>
  <w:style w:type="paragraph" w:styleId="29">
    <w:name w:val="List Bullet 5"/>
    <w:basedOn w:val="24"/>
    <w:qFormat/>
    <w:uiPriority w:val="0"/>
    <w:pPr>
      <w:ind w:left="1702"/>
    </w:p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85"/>
    <w:qFormat/>
    <w:uiPriority w:val="0"/>
    <w:pPr>
      <w:widowControl w:val="0"/>
    </w:pPr>
    <w:rPr>
      <w:rFonts w:ascii="Arial" w:hAnsi="Arial" w:eastAsia="宋体"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semiHidden/>
    <w:qFormat/>
    <w:uiPriority w:val="0"/>
    <w:pPr>
      <w:ind w:left="1418" w:hanging="1418"/>
    </w:pPr>
  </w:style>
  <w:style w:type="paragraph" w:styleId="38">
    <w:name w:val="index 1"/>
    <w:basedOn w:val="1"/>
    <w:next w:val="1"/>
    <w:semiHidden/>
    <w:qFormat/>
    <w:uiPriority w:val="0"/>
    <w:pPr>
      <w:keepLines/>
      <w:spacing w:after="0"/>
    </w:pPr>
  </w:style>
  <w:style w:type="paragraph" w:styleId="39">
    <w:name w:val="index 2"/>
    <w:basedOn w:val="38"/>
    <w:next w:val="1"/>
    <w:semiHidden/>
    <w:qFormat/>
    <w:uiPriority w:val="0"/>
    <w:pPr>
      <w:ind w:left="284"/>
    </w:pPr>
  </w:style>
  <w:style w:type="paragraph" w:styleId="40">
    <w:name w:val="annotation subject"/>
    <w:basedOn w:val="28"/>
    <w:next w:val="28"/>
    <w:link w:val="93"/>
    <w:qFormat/>
    <w:uiPriority w:val="0"/>
    <w:rPr>
      <w:b/>
      <w:bCs/>
    </w:rPr>
  </w:style>
  <w:style w:type="character" w:styleId="43">
    <w:name w:val="FollowedHyperlink"/>
    <w:qFormat/>
    <w:uiPriority w:val="0"/>
    <w:rPr>
      <w:color w:val="800080"/>
      <w:u w:val="single"/>
    </w:rPr>
  </w:style>
  <w:style w:type="character" w:styleId="44">
    <w:name w:val="Hyperlink"/>
    <w:qFormat/>
    <w:uiPriority w:val="0"/>
    <w:rPr>
      <w:color w:val="0000FF"/>
      <w:u w:val="single"/>
    </w:rPr>
  </w:style>
  <w:style w:type="character" w:styleId="45">
    <w:name w:val="annotation reference"/>
    <w:semiHidden/>
    <w:qFormat/>
    <w:uiPriority w:val="0"/>
    <w:rPr>
      <w:sz w:val="16"/>
    </w:rPr>
  </w:style>
  <w:style w:type="character" w:styleId="46">
    <w:name w:val="footnote reference"/>
    <w:semiHidden/>
    <w:qFormat/>
    <w:uiPriority w:val="0"/>
    <w:rPr>
      <w:b/>
      <w:position w:val="6"/>
      <w:sz w:val="16"/>
    </w:rPr>
  </w:style>
  <w:style w:type="paragraph" w:customStyle="1" w:styleId="4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49">
    <w:name w:val="TT"/>
    <w:basedOn w:val="2"/>
    <w:next w:val="1"/>
    <w:qFormat/>
    <w:uiPriority w:val="0"/>
    <w:pPr>
      <w:outlineLvl w:val="9"/>
    </w:pPr>
  </w:style>
  <w:style w:type="paragraph" w:customStyle="1" w:styleId="50">
    <w:name w:val="TAH"/>
    <w:basedOn w:val="51"/>
    <w:qFormat/>
    <w:uiPriority w:val="0"/>
    <w:rPr>
      <w:b/>
    </w:rPr>
  </w:style>
  <w:style w:type="paragraph" w:customStyle="1" w:styleId="51">
    <w:name w:val="TAC"/>
    <w:basedOn w:val="52"/>
    <w:qFormat/>
    <w:uiPriority w:val="0"/>
    <w:pPr>
      <w:jc w:val="center"/>
    </w:pPr>
  </w:style>
  <w:style w:type="paragraph" w:customStyle="1" w:styleId="52">
    <w:name w:val="TAL"/>
    <w:basedOn w:val="1"/>
    <w:qFormat/>
    <w:uiPriority w:val="0"/>
    <w:pPr>
      <w:keepNext/>
      <w:keepLines/>
      <w:spacing w:after="0"/>
    </w:pPr>
    <w:rPr>
      <w:rFonts w:ascii="Arial" w:hAnsi="Arial"/>
      <w:sz w:val="18"/>
    </w:rPr>
  </w:style>
  <w:style w:type="paragraph" w:customStyle="1" w:styleId="53">
    <w:name w:val="TF"/>
    <w:basedOn w:val="54"/>
    <w:qFormat/>
    <w:uiPriority w:val="0"/>
    <w:pPr>
      <w:keepNext w:val="0"/>
      <w:spacing w:before="0" w:after="240"/>
    </w:pPr>
  </w:style>
  <w:style w:type="paragraph" w:customStyle="1" w:styleId="54">
    <w:name w:val="TH"/>
    <w:basedOn w:val="1"/>
    <w:qFormat/>
    <w:uiPriority w:val="0"/>
    <w:pPr>
      <w:keepNext/>
      <w:keepLines/>
      <w:spacing w:before="60"/>
      <w:jc w:val="center"/>
    </w:pPr>
    <w:rPr>
      <w:rFonts w:ascii="Arial" w:hAnsi="Arial"/>
      <w:b/>
    </w:rPr>
  </w:style>
  <w:style w:type="paragraph" w:customStyle="1" w:styleId="55">
    <w:name w:val="NO"/>
    <w:basedOn w:val="1"/>
    <w:qFormat/>
    <w:uiPriority w:val="0"/>
    <w:pPr>
      <w:keepLines/>
      <w:ind w:left="1135" w:hanging="851"/>
    </w:pPr>
  </w:style>
  <w:style w:type="paragraph" w:customStyle="1" w:styleId="56">
    <w:name w:val="EX"/>
    <w:basedOn w:val="1"/>
    <w:qFormat/>
    <w:uiPriority w:val="0"/>
    <w:pPr>
      <w:keepLines/>
      <w:ind w:left="1702" w:hanging="1418"/>
    </w:pPr>
  </w:style>
  <w:style w:type="paragraph" w:customStyle="1" w:styleId="57">
    <w:name w:val="FP"/>
    <w:basedOn w:val="1"/>
    <w:qFormat/>
    <w:uiPriority w:val="0"/>
    <w:pPr>
      <w:spacing w:after="0"/>
    </w:pPr>
  </w:style>
  <w:style w:type="paragraph" w:customStyle="1" w:styleId="58">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59">
    <w:name w:val="NW"/>
    <w:basedOn w:val="55"/>
    <w:qFormat/>
    <w:uiPriority w:val="0"/>
    <w:pPr>
      <w:spacing w:after="0"/>
    </w:pPr>
  </w:style>
  <w:style w:type="paragraph" w:customStyle="1" w:styleId="60">
    <w:name w:val="EW"/>
    <w:basedOn w:val="56"/>
    <w:qFormat/>
    <w:uiPriority w:val="0"/>
    <w:pPr>
      <w:spacing w:after="0"/>
    </w:pPr>
  </w:style>
  <w:style w:type="paragraph" w:customStyle="1" w:styleId="61">
    <w:name w:val="EQ"/>
    <w:basedOn w:val="1"/>
    <w:next w:val="1"/>
    <w:qFormat/>
    <w:uiPriority w:val="0"/>
    <w:pPr>
      <w:keepLines/>
      <w:tabs>
        <w:tab w:val="center" w:pos="4536"/>
        <w:tab w:val="right" w:pos="9072"/>
      </w:tabs>
    </w:pPr>
  </w:style>
  <w:style w:type="paragraph" w:customStyle="1" w:styleId="62">
    <w:name w:val="NF"/>
    <w:basedOn w:val="55"/>
    <w:qFormat/>
    <w:uiPriority w:val="0"/>
    <w:pPr>
      <w:keepNext/>
      <w:spacing w:after="0"/>
    </w:pPr>
    <w:rPr>
      <w:rFonts w:ascii="Arial" w:hAnsi="Arial"/>
      <w:sz w:val="18"/>
    </w:r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4">
    <w:name w:val="TAR"/>
    <w:basedOn w:val="52"/>
    <w:qFormat/>
    <w:uiPriority w:val="0"/>
    <w:pPr>
      <w:jc w:val="right"/>
    </w:pPr>
  </w:style>
  <w:style w:type="paragraph" w:customStyle="1" w:styleId="65">
    <w:name w:val="TAN"/>
    <w:basedOn w:val="52"/>
    <w:qFormat/>
    <w:uiPriority w:val="0"/>
    <w:pPr>
      <w:ind w:left="851" w:hanging="851"/>
    </w:pPr>
  </w:style>
  <w:style w:type="paragraph" w:customStyle="1" w:styleId="66">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9">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0">
    <w:name w:val="ZV"/>
    <w:basedOn w:val="69"/>
    <w:qFormat/>
    <w:uiPriority w:val="0"/>
    <w:pPr>
      <w:framePr w:y="16161"/>
    </w:pPr>
  </w:style>
  <w:style w:type="character" w:customStyle="1" w:styleId="71">
    <w:name w:val="ZGSM"/>
    <w:qFormat/>
    <w:uiPriority w:val="0"/>
  </w:style>
  <w:style w:type="paragraph" w:customStyle="1" w:styleId="7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3">
    <w:name w:val="Editor's Note"/>
    <w:basedOn w:val="55"/>
    <w:qFormat/>
    <w:uiPriority w:val="0"/>
    <w:rPr>
      <w:color w:val="FF0000"/>
    </w:rPr>
  </w:style>
  <w:style w:type="paragraph" w:customStyle="1" w:styleId="74">
    <w:name w:val="B1"/>
    <w:basedOn w:val="14"/>
    <w:link w:val="91"/>
    <w:qFormat/>
    <w:uiPriority w:val="0"/>
  </w:style>
  <w:style w:type="paragraph" w:customStyle="1" w:styleId="75">
    <w:name w:val="B2"/>
    <w:basedOn w:val="13"/>
    <w:qFormat/>
    <w:uiPriority w:val="0"/>
  </w:style>
  <w:style w:type="paragraph" w:customStyle="1" w:styleId="76">
    <w:name w:val="B3"/>
    <w:basedOn w:val="12"/>
    <w:qFormat/>
    <w:uiPriority w:val="0"/>
  </w:style>
  <w:style w:type="paragraph" w:customStyle="1" w:styleId="77">
    <w:name w:val="B4"/>
    <w:basedOn w:val="36"/>
    <w:qFormat/>
    <w:uiPriority w:val="0"/>
  </w:style>
  <w:style w:type="paragraph" w:customStyle="1" w:styleId="78">
    <w:name w:val="B5"/>
    <w:basedOn w:val="35"/>
    <w:qFormat/>
    <w:uiPriority w:val="0"/>
  </w:style>
  <w:style w:type="paragraph" w:customStyle="1" w:styleId="79">
    <w:name w:val="ZTD"/>
    <w:basedOn w:val="67"/>
    <w:qFormat/>
    <w:uiPriority w:val="0"/>
    <w:pPr>
      <w:framePr w:hRule="auto" w:y="852"/>
    </w:pPr>
    <w:rPr>
      <w:i w:val="0"/>
      <w:sz w:val="40"/>
    </w:rPr>
  </w:style>
  <w:style w:type="paragraph" w:customStyle="1" w:styleId="80">
    <w:name w:val="CR Cover Page"/>
    <w:qFormat/>
    <w:uiPriority w:val="0"/>
    <w:pPr>
      <w:spacing w:after="120"/>
    </w:pPr>
    <w:rPr>
      <w:rFonts w:ascii="Arial" w:hAnsi="Arial" w:eastAsia="宋体" w:cs="Times New Roman"/>
      <w:lang w:val="en-GB" w:eastAsia="en-US" w:bidi="ar-SA"/>
    </w:rPr>
  </w:style>
  <w:style w:type="paragraph" w:customStyle="1" w:styleId="81">
    <w:name w:val="tdoc-header"/>
    <w:qFormat/>
    <w:uiPriority w:val="0"/>
    <w:rPr>
      <w:rFonts w:ascii="Arial" w:hAnsi="Arial" w:eastAsia="宋体" w:cs="Times New Roman"/>
      <w:sz w:val="24"/>
      <w:lang w:val="en-GB" w:eastAsia="en-US" w:bidi="ar-SA"/>
    </w:rPr>
  </w:style>
  <w:style w:type="paragraph" w:customStyle="1" w:styleId="82">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3">
    <w:name w:val="msoins"/>
    <w:basedOn w:val="42"/>
    <w:qFormat/>
    <w:uiPriority w:val="0"/>
  </w:style>
  <w:style w:type="paragraph" w:customStyle="1" w:styleId="84">
    <w:name w:val="Reference"/>
    <w:basedOn w:val="1"/>
    <w:qFormat/>
    <w:uiPriority w:val="0"/>
    <w:pPr>
      <w:tabs>
        <w:tab w:val="left" w:pos="851"/>
      </w:tabs>
      <w:ind w:left="851" w:hanging="851"/>
    </w:pPr>
  </w:style>
  <w:style w:type="character" w:customStyle="1" w:styleId="85">
    <w:name w:val="页眉 Char"/>
    <w:link w:val="33"/>
    <w:qFormat/>
    <w:uiPriority w:val="0"/>
    <w:rPr>
      <w:rFonts w:ascii="Arial" w:hAnsi="Arial"/>
      <w:b/>
      <w:sz w:val="18"/>
      <w:lang w:eastAsia="en-US"/>
    </w:rPr>
  </w:style>
  <w:style w:type="character" w:customStyle="1" w:styleId="86">
    <w:name w:val="标题 1 Char"/>
    <w:basedOn w:val="42"/>
    <w:link w:val="2"/>
    <w:qFormat/>
    <w:uiPriority w:val="0"/>
    <w:rPr>
      <w:rFonts w:ascii="Arial" w:hAnsi="Arial"/>
      <w:sz w:val="36"/>
      <w:lang w:eastAsia="en-US"/>
    </w:rPr>
  </w:style>
  <w:style w:type="paragraph" w:styleId="87">
    <w:name w:val="List Paragraph"/>
    <w:basedOn w:val="1"/>
    <w:qFormat/>
    <w:uiPriority w:val="34"/>
    <w:pPr>
      <w:ind w:firstLine="420" w:firstLineChars="200"/>
    </w:pPr>
  </w:style>
  <w:style w:type="character" w:customStyle="1" w:styleId="88">
    <w:name w:val="标题 2 Char"/>
    <w:basedOn w:val="42"/>
    <w:link w:val="3"/>
    <w:qFormat/>
    <w:uiPriority w:val="0"/>
    <w:rPr>
      <w:rFonts w:ascii="Arial" w:hAnsi="Arial"/>
      <w:sz w:val="32"/>
      <w:lang w:eastAsia="en-US"/>
    </w:rPr>
  </w:style>
  <w:style w:type="character" w:customStyle="1" w:styleId="89">
    <w:name w:val="标题 3 Char"/>
    <w:basedOn w:val="42"/>
    <w:link w:val="4"/>
    <w:qFormat/>
    <w:uiPriority w:val="0"/>
    <w:rPr>
      <w:rFonts w:ascii="Arial" w:hAnsi="Arial"/>
      <w:sz w:val="28"/>
      <w:lang w:eastAsia="en-US"/>
    </w:rPr>
  </w:style>
  <w:style w:type="character" w:customStyle="1" w:styleId="90">
    <w:name w:val="Subtle Emphasis"/>
    <w:basedOn w:val="42"/>
    <w:qFormat/>
    <w:uiPriority w:val="19"/>
    <w:rPr>
      <w:i/>
      <w:iCs/>
      <w:color w:val="404040" w:themeColor="text1" w:themeTint="BF"/>
      <w14:textFill>
        <w14:solidFill>
          <w14:schemeClr w14:val="tx1">
            <w14:lumMod w14:val="75000"/>
            <w14:lumOff w14:val="25000"/>
          </w14:schemeClr>
        </w14:solidFill>
      </w14:textFill>
    </w:rPr>
  </w:style>
  <w:style w:type="character" w:customStyle="1" w:styleId="91">
    <w:name w:val="B1 Char"/>
    <w:link w:val="74"/>
    <w:qFormat/>
    <w:locked/>
    <w:uiPriority w:val="0"/>
    <w:rPr>
      <w:rFonts w:ascii="Times New Roman" w:hAnsi="Times New Roman"/>
      <w:lang w:eastAsia="en-US"/>
    </w:rPr>
  </w:style>
  <w:style w:type="character" w:customStyle="1" w:styleId="92">
    <w:name w:val="批注文字 Char"/>
    <w:basedOn w:val="42"/>
    <w:link w:val="28"/>
    <w:semiHidden/>
    <w:qFormat/>
    <w:uiPriority w:val="0"/>
    <w:rPr>
      <w:rFonts w:ascii="Times New Roman" w:hAnsi="Times New Roman"/>
      <w:lang w:eastAsia="en-US"/>
    </w:rPr>
  </w:style>
  <w:style w:type="character" w:customStyle="1" w:styleId="93">
    <w:name w:val="批注主题 Char"/>
    <w:basedOn w:val="92"/>
    <w:link w:val="40"/>
    <w:qFormat/>
    <w:uiPriority w:val="0"/>
    <w:rPr>
      <w:rFonts w:ascii="Times New Roman" w:hAnsi="Times New Roman"/>
      <w:b/>
      <w:bCs/>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odelingRelations>
  <IsProjectSpace Bool="true"/>
  <IsDiagramSize Bool="true"/>
</ModelingRelation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0739C2-D87A-4EEA-8C0C-B0DD07B2E178}">
  <ds:schemaRefs/>
</ds:datastoreItem>
</file>

<file path=customXml/itemProps3.xml><?xml version="1.0" encoding="utf-8"?>
<ds:datastoreItem xmlns:ds="http://schemas.openxmlformats.org/officeDocument/2006/customXml" ds:itemID="{3B0E1DE8-C042-45E3-8FEF-6BDD5CE81145}">
  <ds:schemaRefs/>
</ds:datastoreItem>
</file>

<file path=docProps/app.xml><?xml version="1.0" encoding="utf-8"?>
<Properties xmlns="http://schemas.openxmlformats.org/officeDocument/2006/extended-properties" xmlns:vt="http://schemas.openxmlformats.org/officeDocument/2006/docPropsVTypes">
  <Template>Normal.dotm</Template>
  <Company>3GPP Support Team</Company>
  <Pages>2</Pages>
  <Words>675</Words>
  <Characters>3850</Characters>
  <Lines>32</Lines>
  <Paragraphs>9</Paragraphs>
  <TotalTime>8</TotalTime>
  <ScaleCrop>false</ScaleCrop>
  <LinksUpToDate>false</LinksUpToDate>
  <CharactersWithSpaces>4516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2021-10-26T08:01:00Z</dcterms:created>
  <dc:creator>Michael Sanders, John M Meredith</dc:creator>
  <cp:lastModifiedBy>China Mobile-rev1</cp:lastModifiedBy>
  <cp:lastPrinted>2411-12-31T23:00:00Z</cp:lastPrinted>
  <dcterms:modified xsi:type="dcterms:W3CDTF">2022-04-06T15:07:24Z</dcterms:modified>
  <dc:title>3GPP Contribution</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(2)hceBNDr68xBS0UQDWonDUtu6P6fBmrSWiHpuZcmwJ2MTM3kiVAqUereOGJBHo5l2dzrALTEM
MSZu2bsKtJ+n977r69ezSUXTAVpBKinPO2mFrRDTnyIbA4RWxP+aOrJbz+8cVhs/QhMKk3GO
UputVASTrXRSKlEl6kc9fFHEZjBPeUZhbGKCnrhY6xMaI9lElAfKObvjGwcgN8OsOiks1cg8
NlpDtnvznuMF9GIXsZ</vt:lpwstr>
  </property>
  <property fmtid="{D5CDD505-2E9C-101B-9397-08002B2CF9AE}" pid="3" name="_2015_ms_pID_7253431">
    <vt:lpwstr>XKq+n2DziHn26UoOnf2BujV/JlC2on8gb69bO1+5CIdQwMlgBpWS+q
XRwoP6WQd8CeKraUSHWOB+94fJmF+Az6tNmf/xPXm53lTl+EOyeL+CwPFLr8V/fCCDdwciH6
S2o74ijwVpWQnsbYGPNcfYSNSi8EMfllAn055As1LSlRlBZhD//69sJ8x9DWfHjyYA7r7Wff
uT9tvxpnMh536nN+</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1648028953</vt:lpwstr>
  </property>
  <property fmtid="{D5CDD505-2E9C-101B-9397-08002B2CF9AE}" pid="8" name="KSOProductBuildVer">
    <vt:lpwstr>2052-11.8.2.10912</vt:lpwstr>
  </property>
  <property fmtid="{D5CDD505-2E9C-101B-9397-08002B2CF9AE}" pid="9" name="ICV">
    <vt:lpwstr>ABCCD861EC8445408A435BD66071310F</vt:lpwstr>
  </property>
</Properties>
</file>