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47D8B" w14:textId="32CF39C2" w:rsidR="00D57CE3" w:rsidRDefault="002574DA" w:rsidP="002574DA">
      <w:pPr>
        <w:pStyle w:val="1"/>
      </w:pPr>
      <w:r>
        <w:t>FS_</w:t>
      </w:r>
      <w:r w:rsidR="003F5887">
        <w:t>NSCE</w:t>
      </w:r>
      <w:r w:rsidR="000268E6">
        <w:t xml:space="preserve"> </w:t>
      </w:r>
      <w:r w:rsidR="003F5887">
        <w:t>–</w:t>
      </w:r>
      <w:r w:rsidR="000268E6">
        <w:t xml:space="preserve"> </w:t>
      </w:r>
      <w:r>
        <w:t>SA</w:t>
      </w:r>
      <w:r w:rsidR="003F5887">
        <w:t>5</w:t>
      </w:r>
      <w:r w:rsidR="000268E6">
        <w:t xml:space="preserve"> questions for resolving the open issues – e-mail discussion…</w:t>
      </w:r>
    </w:p>
    <w:p w14:paraId="74110247" w14:textId="77777777" w:rsidR="002574DA" w:rsidRDefault="002574DA"/>
    <w:p w14:paraId="4B915441" w14:textId="63543805" w:rsidR="002574DA" w:rsidRDefault="002574DA">
      <w:r>
        <w:t xml:space="preserve">Author: </w:t>
      </w:r>
      <w:r w:rsidR="003F5887">
        <w:t xml:space="preserve">Xiaobo </w:t>
      </w:r>
      <w:proofErr w:type="gramStart"/>
      <w:r w:rsidR="003F5887">
        <w:t>Yu(</w:t>
      </w:r>
      <w:proofErr w:type="gramEnd"/>
      <w:r w:rsidR="003F5887">
        <w:t xml:space="preserve">Alibaba) - </w:t>
      </w:r>
      <w:r>
        <w:t>Rapporteur</w:t>
      </w:r>
    </w:p>
    <w:p w14:paraId="215A2233" w14:textId="77777777" w:rsidR="000268E6" w:rsidRDefault="000268E6"/>
    <w:p w14:paraId="19DEB72D" w14:textId="294C9901" w:rsidR="00F16B4C" w:rsidRDefault="00F16B4C">
      <w:r>
        <w:t>These questions and answers will be used to progress the SA</w:t>
      </w:r>
      <w:r w:rsidR="003F5887">
        <w:t>5</w:t>
      </w:r>
      <w:r>
        <w:t xml:space="preserve"> work for FS_</w:t>
      </w:r>
      <w:r w:rsidR="003F5887">
        <w:t>NSCE</w:t>
      </w:r>
      <w:r>
        <w:t>.</w:t>
      </w:r>
    </w:p>
    <w:p w14:paraId="1BD2971E" w14:textId="1D3E3767" w:rsidR="00F16B4C" w:rsidRDefault="00F16B4C"/>
    <w:p w14:paraId="786501C4" w14:textId="729FB35D" w:rsidR="00BD3624" w:rsidRDefault="00BD3624" w:rsidP="00BD3624">
      <w:pPr>
        <w:pStyle w:val="1"/>
      </w:pPr>
      <w:r w:rsidRPr="002574DA">
        <w:t>Question</w:t>
      </w:r>
      <w:r>
        <w:t xml:space="preserve"> 1: Use case for exposure</w:t>
      </w:r>
    </w:p>
    <w:p w14:paraId="5601A554" w14:textId="755D03AE" w:rsidR="00BD3624" w:rsidRDefault="00BD3624" w:rsidP="00BD3624">
      <w:r>
        <w:rPr>
          <w:rFonts w:hint="eastAsia"/>
          <w:lang w:eastAsia="zh-CN"/>
        </w:rPr>
        <w:t>D</w:t>
      </w:r>
      <w:r>
        <w:rPr>
          <w:lang w:eastAsia="zh-CN"/>
        </w:rPr>
        <w:t xml:space="preserve">uring the </w:t>
      </w:r>
      <w:r>
        <w:rPr>
          <w:rFonts w:hint="eastAsia"/>
          <w:lang w:eastAsia="zh-CN"/>
        </w:rPr>
        <w:t>SA5</w:t>
      </w:r>
      <w:r>
        <w:rPr>
          <w:lang w:eastAsia="zh-CN"/>
        </w:rPr>
        <w:t>#138</w:t>
      </w:r>
      <w:r>
        <w:rPr>
          <w:rFonts w:hint="eastAsia"/>
          <w:lang w:eastAsia="zh-CN"/>
        </w:rPr>
        <w:t>e</w:t>
      </w:r>
      <w:r>
        <w:rPr>
          <w:lang w:eastAsia="zh-CN"/>
        </w:rPr>
        <w:t xml:space="preserve"> </w:t>
      </w:r>
      <w:r>
        <w:rPr>
          <w:rFonts w:hint="eastAsia"/>
          <w:lang w:eastAsia="zh-CN"/>
        </w:rPr>
        <w:t>OAM</w:t>
      </w:r>
      <w:r>
        <w:rPr>
          <w:lang w:eastAsia="zh-CN"/>
        </w:rPr>
        <w:t xml:space="preserve"> </w:t>
      </w:r>
      <w:r>
        <w:rPr>
          <w:rFonts w:hint="eastAsia"/>
          <w:lang w:eastAsia="zh-CN"/>
        </w:rPr>
        <w:t>call</w:t>
      </w:r>
      <w:r>
        <w:rPr>
          <w:lang w:eastAsia="zh-CN"/>
        </w:rPr>
        <w:t>#3,</w:t>
      </w:r>
      <w:r w:rsidRPr="00EE0C84">
        <w:t xml:space="preserve"> </w:t>
      </w:r>
      <w:r>
        <w:t>there are different views towards the use cases for product order, business level/network level/service level information exposure. We need to converge on the use case for different level exposure.</w:t>
      </w:r>
    </w:p>
    <w:p w14:paraId="18305B5D" w14:textId="3E005069" w:rsidR="00BD3624" w:rsidRDefault="00BD3624" w:rsidP="00BD3624">
      <w:r w:rsidRPr="00EC6150">
        <w:rPr>
          <w:b/>
          <w:bCs/>
        </w:rPr>
        <w:t>Question</w:t>
      </w:r>
      <w:r>
        <w:t>: What is the use case for product order, business level/network level/service level information exposure</w:t>
      </w:r>
      <w:r w:rsidRPr="00EE0C8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7293"/>
      </w:tblGrid>
      <w:tr w:rsidR="00BD3624" w:rsidRPr="00F443B7" w14:paraId="15562A29" w14:textId="77777777" w:rsidTr="002D5FD8">
        <w:tc>
          <w:tcPr>
            <w:tcW w:w="2088" w:type="dxa"/>
            <w:shd w:val="clear" w:color="auto" w:fill="auto"/>
          </w:tcPr>
          <w:p w14:paraId="122DBC14" w14:textId="77777777" w:rsidR="00BD3624" w:rsidRPr="00F443B7" w:rsidRDefault="00BD3624" w:rsidP="002D5FD8">
            <w:pPr>
              <w:rPr>
                <w:b/>
                <w:bCs/>
              </w:rPr>
            </w:pPr>
            <w:r w:rsidRPr="00F443B7">
              <w:rPr>
                <w:b/>
                <w:bCs/>
              </w:rPr>
              <w:t>Company</w:t>
            </w:r>
          </w:p>
        </w:tc>
        <w:tc>
          <w:tcPr>
            <w:tcW w:w="7488" w:type="dxa"/>
            <w:shd w:val="clear" w:color="auto" w:fill="auto"/>
          </w:tcPr>
          <w:p w14:paraId="7F951511" w14:textId="77777777" w:rsidR="00BD3624" w:rsidRPr="00F443B7" w:rsidRDefault="00BD3624" w:rsidP="002D5FD8">
            <w:pPr>
              <w:rPr>
                <w:b/>
                <w:bCs/>
              </w:rPr>
            </w:pPr>
            <w:r w:rsidRPr="00F443B7">
              <w:rPr>
                <w:b/>
                <w:bCs/>
              </w:rPr>
              <w:t>Comments</w:t>
            </w:r>
          </w:p>
        </w:tc>
      </w:tr>
      <w:tr w:rsidR="00BD3624" w14:paraId="0F8D351A" w14:textId="77777777" w:rsidTr="002D5FD8">
        <w:tc>
          <w:tcPr>
            <w:tcW w:w="2088" w:type="dxa"/>
            <w:shd w:val="clear" w:color="auto" w:fill="auto"/>
          </w:tcPr>
          <w:p w14:paraId="259C1979" w14:textId="77777777" w:rsidR="00BD3624" w:rsidRDefault="00BD3624" w:rsidP="002D5FD8"/>
        </w:tc>
        <w:tc>
          <w:tcPr>
            <w:tcW w:w="7488" w:type="dxa"/>
            <w:shd w:val="clear" w:color="auto" w:fill="auto"/>
          </w:tcPr>
          <w:p w14:paraId="708A01BC" w14:textId="77777777" w:rsidR="00BD3624" w:rsidRDefault="00BD3624" w:rsidP="002D5FD8"/>
          <w:p w14:paraId="79716DC6" w14:textId="77777777" w:rsidR="00BD3624" w:rsidRDefault="00BD3624" w:rsidP="002D5FD8"/>
        </w:tc>
      </w:tr>
      <w:tr w:rsidR="00BD3624" w14:paraId="417383C3" w14:textId="77777777" w:rsidTr="002D5FD8">
        <w:tc>
          <w:tcPr>
            <w:tcW w:w="2088" w:type="dxa"/>
            <w:shd w:val="clear" w:color="auto" w:fill="auto"/>
          </w:tcPr>
          <w:p w14:paraId="373AD6C6" w14:textId="77777777" w:rsidR="00BD3624" w:rsidRDefault="00BD3624" w:rsidP="002D5FD8"/>
        </w:tc>
        <w:tc>
          <w:tcPr>
            <w:tcW w:w="7488" w:type="dxa"/>
            <w:shd w:val="clear" w:color="auto" w:fill="auto"/>
          </w:tcPr>
          <w:p w14:paraId="674E49D6" w14:textId="77777777" w:rsidR="00BD3624" w:rsidRDefault="00BD3624" w:rsidP="002D5FD8"/>
        </w:tc>
      </w:tr>
      <w:tr w:rsidR="00BD3624" w14:paraId="60820A6B" w14:textId="77777777" w:rsidTr="002D5FD8">
        <w:tc>
          <w:tcPr>
            <w:tcW w:w="2088" w:type="dxa"/>
            <w:shd w:val="clear" w:color="auto" w:fill="auto"/>
          </w:tcPr>
          <w:p w14:paraId="0792B4B2" w14:textId="77777777" w:rsidR="00BD3624" w:rsidRDefault="00BD3624" w:rsidP="002D5FD8"/>
        </w:tc>
        <w:tc>
          <w:tcPr>
            <w:tcW w:w="7488" w:type="dxa"/>
            <w:shd w:val="clear" w:color="auto" w:fill="auto"/>
          </w:tcPr>
          <w:p w14:paraId="222AD6E0" w14:textId="77777777" w:rsidR="00BD3624" w:rsidRDefault="00BD3624" w:rsidP="002D5FD8"/>
        </w:tc>
      </w:tr>
      <w:tr w:rsidR="00BD3624" w14:paraId="29BB3E7D" w14:textId="77777777" w:rsidTr="002D5FD8">
        <w:tc>
          <w:tcPr>
            <w:tcW w:w="2088" w:type="dxa"/>
            <w:shd w:val="clear" w:color="auto" w:fill="auto"/>
          </w:tcPr>
          <w:p w14:paraId="77D689CD" w14:textId="77777777" w:rsidR="00BD3624" w:rsidRDefault="00BD3624" w:rsidP="002D5FD8"/>
        </w:tc>
        <w:tc>
          <w:tcPr>
            <w:tcW w:w="7488" w:type="dxa"/>
            <w:shd w:val="clear" w:color="auto" w:fill="auto"/>
          </w:tcPr>
          <w:p w14:paraId="7C7182FE" w14:textId="77777777" w:rsidR="00BD3624" w:rsidRDefault="00BD3624" w:rsidP="002D5FD8"/>
        </w:tc>
      </w:tr>
      <w:tr w:rsidR="00BD3624" w14:paraId="7227496E" w14:textId="77777777" w:rsidTr="002D5FD8">
        <w:tc>
          <w:tcPr>
            <w:tcW w:w="2088" w:type="dxa"/>
            <w:shd w:val="clear" w:color="auto" w:fill="auto"/>
          </w:tcPr>
          <w:p w14:paraId="0F5910C3" w14:textId="77777777" w:rsidR="00BD3624" w:rsidRDefault="00BD3624" w:rsidP="002D5FD8"/>
        </w:tc>
        <w:tc>
          <w:tcPr>
            <w:tcW w:w="7488" w:type="dxa"/>
            <w:shd w:val="clear" w:color="auto" w:fill="auto"/>
          </w:tcPr>
          <w:p w14:paraId="66E4CA07" w14:textId="77777777" w:rsidR="00BD3624" w:rsidRDefault="00BD3624" w:rsidP="002D5FD8"/>
        </w:tc>
      </w:tr>
      <w:tr w:rsidR="00BD3624" w14:paraId="3070985B" w14:textId="77777777" w:rsidTr="002D5FD8">
        <w:tc>
          <w:tcPr>
            <w:tcW w:w="2088" w:type="dxa"/>
            <w:shd w:val="clear" w:color="auto" w:fill="auto"/>
          </w:tcPr>
          <w:p w14:paraId="6838E776" w14:textId="77777777" w:rsidR="00BD3624" w:rsidRDefault="00BD3624" w:rsidP="002D5FD8"/>
        </w:tc>
        <w:tc>
          <w:tcPr>
            <w:tcW w:w="7488" w:type="dxa"/>
            <w:shd w:val="clear" w:color="auto" w:fill="auto"/>
          </w:tcPr>
          <w:p w14:paraId="6A148649" w14:textId="77777777" w:rsidR="00BD3624" w:rsidRDefault="00BD3624" w:rsidP="002D5FD8"/>
        </w:tc>
      </w:tr>
      <w:tr w:rsidR="00BD3624" w14:paraId="2A853BFB" w14:textId="77777777" w:rsidTr="002D5FD8">
        <w:tc>
          <w:tcPr>
            <w:tcW w:w="2088" w:type="dxa"/>
            <w:shd w:val="clear" w:color="auto" w:fill="auto"/>
          </w:tcPr>
          <w:p w14:paraId="6A919BDF" w14:textId="77777777" w:rsidR="00BD3624" w:rsidRDefault="00BD3624" w:rsidP="002D5FD8"/>
        </w:tc>
        <w:tc>
          <w:tcPr>
            <w:tcW w:w="7488" w:type="dxa"/>
            <w:shd w:val="clear" w:color="auto" w:fill="auto"/>
          </w:tcPr>
          <w:p w14:paraId="6F15986B" w14:textId="77777777" w:rsidR="00BD3624" w:rsidRDefault="00BD3624" w:rsidP="002D5FD8"/>
        </w:tc>
      </w:tr>
      <w:tr w:rsidR="00BD3624" w14:paraId="5A487513" w14:textId="77777777" w:rsidTr="002D5FD8">
        <w:tc>
          <w:tcPr>
            <w:tcW w:w="2088" w:type="dxa"/>
            <w:shd w:val="clear" w:color="auto" w:fill="auto"/>
          </w:tcPr>
          <w:p w14:paraId="545AD071" w14:textId="77777777" w:rsidR="00BD3624" w:rsidRDefault="00BD3624" w:rsidP="002D5FD8"/>
        </w:tc>
        <w:tc>
          <w:tcPr>
            <w:tcW w:w="7488" w:type="dxa"/>
            <w:shd w:val="clear" w:color="auto" w:fill="auto"/>
          </w:tcPr>
          <w:p w14:paraId="3AFB6B19" w14:textId="77777777" w:rsidR="00BD3624" w:rsidRDefault="00BD3624" w:rsidP="002D5FD8"/>
        </w:tc>
      </w:tr>
      <w:tr w:rsidR="00BD3624" w14:paraId="21780B82" w14:textId="77777777" w:rsidTr="002D5FD8">
        <w:tc>
          <w:tcPr>
            <w:tcW w:w="2088" w:type="dxa"/>
            <w:shd w:val="clear" w:color="auto" w:fill="auto"/>
          </w:tcPr>
          <w:p w14:paraId="28C02F53" w14:textId="77777777" w:rsidR="00BD3624" w:rsidRDefault="00BD3624" w:rsidP="002D5FD8"/>
        </w:tc>
        <w:tc>
          <w:tcPr>
            <w:tcW w:w="7488" w:type="dxa"/>
            <w:shd w:val="clear" w:color="auto" w:fill="auto"/>
          </w:tcPr>
          <w:p w14:paraId="6FE43953" w14:textId="77777777" w:rsidR="00BD3624" w:rsidRDefault="00BD3624" w:rsidP="002D5FD8"/>
        </w:tc>
      </w:tr>
    </w:tbl>
    <w:p w14:paraId="76E03C29" w14:textId="1370F79E" w:rsidR="00BD3624" w:rsidRDefault="00BD3624"/>
    <w:p w14:paraId="6FD832A6" w14:textId="541C0ABB" w:rsidR="00BD3624" w:rsidRDefault="00BD3624"/>
    <w:p w14:paraId="52D48EA9" w14:textId="3F71C45C" w:rsidR="00BD3624" w:rsidRDefault="00BD3624"/>
    <w:p w14:paraId="0A86C488" w14:textId="77777777" w:rsidR="00BD3624" w:rsidRDefault="00BD3624"/>
    <w:p w14:paraId="775B7275" w14:textId="7F69E9E0" w:rsidR="00586E36" w:rsidRDefault="006C3CEB" w:rsidP="00735992">
      <w:pPr>
        <w:pStyle w:val="1"/>
      </w:pPr>
      <w:r w:rsidRPr="002574DA">
        <w:lastRenderedPageBreak/>
        <w:t>Question</w:t>
      </w:r>
      <w:r>
        <w:t xml:space="preserve"> </w:t>
      </w:r>
      <w:r w:rsidR="00BD3624">
        <w:t>2</w:t>
      </w:r>
      <w:r>
        <w:t xml:space="preserve">: </w:t>
      </w:r>
      <w:r w:rsidR="002D3C45">
        <w:t>What to expose</w:t>
      </w:r>
      <w:r w:rsidR="00BD3624">
        <w:t xml:space="preserve"> to vertical</w:t>
      </w:r>
    </w:p>
    <w:p w14:paraId="254BCEB0" w14:textId="3E612FF9" w:rsidR="005E4DFE" w:rsidRPr="005E4DFE" w:rsidRDefault="005E4DFE" w:rsidP="005E4DFE">
      <w:pPr>
        <w:rPr>
          <w:lang w:eastAsia="zh-CN"/>
        </w:rPr>
      </w:pPr>
      <w:r>
        <w:rPr>
          <w:rFonts w:hint="eastAsia"/>
          <w:lang w:eastAsia="zh-CN"/>
        </w:rPr>
        <w:t>D</w:t>
      </w:r>
      <w:r>
        <w:rPr>
          <w:lang w:eastAsia="zh-CN"/>
        </w:rPr>
        <w:t xml:space="preserve">uring the </w:t>
      </w:r>
      <w:r w:rsidR="00BD3624">
        <w:rPr>
          <w:rFonts w:hint="eastAsia"/>
          <w:lang w:eastAsia="zh-CN"/>
        </w:rPr>
        <w:t>SA5</w:t>
      </w:r>
      <w:r w:rsidR="00BD3624">
        <w:rPr>
          <w:lang w:eastAsia="zh-CN"/>
        </w:rPr>
        <w:t>#138</w:t>
      </w:r>
      <w:r w:rsidR="00BD3624">
        <w:rPr>
          <w:rFonts w:hint="eastAsia"/>
          <w:lang w:eastAsia="zh-CN"/>
        </w:rPr>
        <w:t>e</w:t>
      </w:r>
      <w:r w:rsidR="00BD3624">
        <w:rPr>
          <w:lang w:eastAsia="zh-CN"/>
        </w:rPr>
        <w:t xml:space="preserve"> </w:t>
      </w:r>
      <w:r w:rsidR="00BD3624">
        <w:rPr>
          <w:rFonts w:hint="eastAsia"/>
          <w:lang w:eastAsia="zh-CN"/>
        </w:rPr>
        <w:t>OAM</w:t>
      </w:r>
      <w:r w:rsidR="00BD3624">
        <w:rPr>
          <w:lang w:eastAsia="zh-CN"/>
        </w:rPr>
        <w:t xml:space="preserve"> </w:t>
      </w:r>
      <w:r w:rsidR="00BD3624">
        <w:rPr>
          <w:rFonts w:hint="eastAsia"/>
          <w:lang w:eastAsia="zh-CN"/>
        </w:rPr>
        <w:t>call</w:t>
      </w:r>
      <w:r w:rsidR="00BD3624">
        <w:rPr>
          <w:lang w:eastAsia="zh-CN"/>
        </w:rPr>
        <w:t xml:space="preserve">#3, there are different views on what can be exposed to verticals. We need to converge on what can be exposed to vertical and whether all the exposure should go through BSS. </w:t>
      </w:r>
    </w:p>
    <w:p w14:paraId="1FBB8148" w14:textId="70FA22DE" w:rsidR="00586E36" w:rsidRPr="00586E36" w:rsidRDefault="00586E36" w:rsidP="00735992">
      <w:r w:rsidRPr="00EC6150">
        <w:rPr>
          <w:b/>
          <w:bCs/>
        </w:rPr>
        <w:t>Question</w:t>
      </w:r>
      <w:r>
        <w:t>:</w:t>
      </w:r>
      <w:r w:rsidR="00736338">
        <w:t xml:space="preserve"> </w:t>
      </w:r>
      <w:r w:rsidR="005D672A">
        <w:t xml:space="preserve">What </w:t>
      </w:r>
      <w:r w:rsidR="002D3C45">
        <w:t>can be exposed to vertical</w:t>
      </w:r>
      <w:r w:rsidRPr="00EE0C84">
        <w:t>?</w:t>
      </w:r>
      <w:r w:rsidR="00BD3624">
        <w:t xml:space="preserve"> Should all the exposure go through BSS?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7294"/>
      </w:tblGrid>
      <w:tr w:rsidR="00586E36" w:rsidRPr="00F443B7" w14:paraId="169ECEB4" w14:textId="77777777" w:rsidTr="00743397">
        <w:tc>
          <w:tcPr>
            <w:tcW w:w="2088" w:type="dxa"/>
            <w:shd w:val="clear" w:color="auto" w:fill="auto"/>
          </w:tcPr>
          <w:p w14:paraId="375FF027" w14:textId="77777777" w:rsidR="00586E36" w:rsidRPr="00F443B7" w:rsidRDefault="00586E36" w:rsidP="00743397">
            <w:pPr>
              <w:rPr>
                <w:b/>
                <w:bCs/>
              </w:rPr>
            </w:pPr>
            <w:r w:rsidRPr="00F443B7">
              <w:rPr>
                <w:b/>
                <w:bCs/>
              </w:rPr>
              <w:t>Company</w:t>
            </w:r>
          </w:p>
        </w:tc>
        <w:tc>
          <w:tcPr>
            <w:tcW w:w="7488" w:type="dxa"/>
            <w:shd w:val="clear" w:color="auto" w:fill="auto"/>
          </w:tcPr>
          <w:p w14:paraId="768CE7A0" w14:textId="77777777" w:rsidR="00586E36" w:rsidRPr="00F443B7" w:rsidRDefault="00586E36" w:rsidP="00743397">
            <w:pPr>
              <w:rPr>
                <w:b/>
                <w:bCs/>
              </w:rPr>
            </w:pPr>
            <w:r w:rsidRPr="00F443B7">
              <w:rPr>
                <w:b/>
                <w:bCs/>
              </w:rPr>
              <w:t>Comments</w:t>
            </w:r>
          </w:p>
        </w:tc>
      </w:tr>
      <w:tr w:rsidR="00586E36" w14:paraId="68ED22E5" w14:textId="77777777" w:rsidTr="00743397">
        <w:tc>
          <w:tcPr>
            <w:tcW w:w="2088" w:type="dxa"/>
            <w:shd w:val="clear" w:color="auto" w:fill="auto"/>
          </w:tcPr>
          <w:p w14:paraId="656C8051" w14:textId="76EA5F9C" w:rsidR="00586E36" w:rsidRDefault="007D6068" w:rsidP="00743397">
            <w:r>
              <w:rPr>
                <w:rFonts w:hint="eastAsia"/>
                <w:lang w:eastAsia="zh-CN"/>
              </w:rPr>
              <w:t>TEF</w:t>
            </w:r>
          </w:p>
        </w:tc>
        <w:tc>
          <w:tcPr>
            <w:tcW w:w="7488" w:type="dxa"/>
            <w:shd w:val="clear" w:color="auto" w:fill="auto"/>
          </w:tcPr>
          <w:p w14:paraId="0E8394B8" w14:textId="58171F3B" w:rsidR="00C70D40" w:rsidRDefault="007D6068" w:rsidP="00C3533B">
            <w:pPr>
              <w:spacing w:after="0" w:line="240" w:lineRule="auto"/>
              <w:rPr>
                <w:lang w:eastAsia="zh-CN"/>
              </w:rPr>
            </w:pPr>
            <w:r w:rsidRPr="007D6068">
              <w:rPr>
                <w:rFonts w:hint="eastAsia"/>
                <w:lang w:eastAsia="zh-CN"/>
              </w:rPr>
              <w:t>A</w:t>
            </w:r>
            <w:r w:rsidRPr="007D6068">
              <w:rPr>
                <w:lang w:eastAsia="zh-CN"/>
              </w:rPr>
              <w:t>ll interactions with external customers (</w:t>
            </w:r>
            <w:proofErr w:type="gramStart"/>
            <w:r w:rsidRPr="007D6068">
              <w:rPr>
                <w:lang w:eastAsia="zh-CN"/>
              </w:rPr>
              <w:t>e.g.</w:t>
            </w:r>
            <w:proofErr w:type="gramEnd"/>
            <w:r w:rsidRPr="007D6068">
              <w:rPr>
                <w:lang w:eastAsia="zh-CN"/>
              </w:rPr>
              <w:t xml:space="preserve"> vertical) shall necessary go through BSS.</w:t>
            </w:r>
            <w:r>
              <w:rPr>
                <w:lang w:eastAsia="zh-CN"/>
              </w:rPr>
              <w:t xml:space="preserve"> Can live with EMGF being hosted by BSS. In this case, EGMF behaves likes </w:t>
            </w:r>
            <w:proofErr w:type="gramStart"/>
            <w:r>
              <w:rPr>
                <w:lang w:eastAsia="zh-CN"/>
              </w:rPr>
              <w:t>a</w:t>
            </w:r>
            <w:proofErr w:type="gramEnd"/>
            <w:r>
              <w:rPr>
                <w:lang w:eastAsia="zh-CN"/>
              </w:rPr>
              <w:t xml:space="preserve"> API GW.</w:t>
            </w:r>
            <w:r w:rsidR="00C3533B">
              <w:rPr>
                <w:rFonts w:hint="eastAsia"/>
                <w:lang w:eastAsia="zh-CN"/>
              </w:rPr>
              <w:t xml:space="preserve"> </w:t>
            </w:r>
            <w:r w:rsidR="00C3533B">
              <w:rPr>
                <w:lang w:eastAsia="zh-CN"/>
              </w:rPr>
              <w:t xml:space="preserve"> Can live with EGMF, as a </w:t>
            </w:r>
            <w:proofErr w:type="spellStart"/>
            <w:r w:rsidR="00C3533B">
              <w:rPr>
                <w:lang w:eastAsia="zh-CN"/>
              </w:rPr>
              <w:t>MnS</w:t>
            </w:r>
            <w:proofErr w:type="spellEnd"/>
            <w:r w:rsidR="00C3533B">
              <w:rPr>
                <w:lang w:eastAsia="zh-CN"/>
              </w:rPr>
              <w:t xml:space="preserve"> producer in OSS, being consumed by BSS application which has API with external consumer.</w:t>
            </w:r>
          </w:p>
        </w:tc>
      </w:tr>
      <w:tr w:rsidR="00586E36" w14:paraId="263B41C9" w14:textId="77777777" w:rsidTr="00743397">
        <w:tc>
          <w:tcPr>
            <w:tcW w:w="2088" w:type="dxa"/>
            <w:shd w:val="clear" w:color="auto" w:fill="auto"/>
          </w:tcPr>
          <w:p w14:paraId="6C60930A" w14:textId="158E7231" w:rsidR="00586E36" w:rsidRDefault="000C599A" w:rsidP="00743397">
            <w:pPr>
              <w:rPr>
                <w:lang w:eastAsia="zh-CN"/>
              </w:rPr>
            </w:pPr>
            <w:r>
              <w:rPr>
                <w:rFonts w:hint="eastAsia"/>
                <w:lang w:eastAsia="zh-CN"/>
              </w:rPr>
              <w:t>S</w:t>
            </w:r>
            <w:r>
              <w:rPr>
                <w:lang w:eastAsia="zh-CN"/>
              </w:rPr>
              <w:t>amsung</w:t>
            </w:r>
          </w:p>
        </w:tc>
        <w:tc>
          <w:tcPr>
            <w:tcW w:w="7488" w:type="dxa"/>
            <w:shd w:val="clear" w:color="auto" w:fill="auto"/>
          </w:tcPr>
          <w:p w14:paraId="4FF5DD65" w14:textId="29C345B0" w:rsidR="00586E36" w:rsidRDefault="0052786C" w:rsidP="00743397">
            <w:r>
              <w:t xml:space="preserve">Can live with direct </w:t>
            </w:r>
            <w:proofErr w:type="spellStart"/>
            <w:r>
              <w:t>eMnS</w:t>
            </w:r>
            <w:proofErr w:type="spellEnd"/>
            <w:r>
              <w:t xml:space="preserve"> access without going through BSS.</w:t>
            </w:r>
          </w:p>
        </w:tc>
      </w:tr>
      <w:tr w:rsidR="00586E36" w14:paraId="6DD82D1E" w14:textId="77777777" w:rsidTr="00743397">
        <w:tc>
          <w:tcPr>
            <w:tcW w:w="2088" w:type="dxa"/>
            <w:shd w:val="clear" w:color="auto" w:fill="auto"/>
          </w:tcPr>
          <w:p w14:paraId="4A578A8B" w14:textId="606D52CD" w:rsidR="00586E36" w:rsidRDefault="000C599A" w:rsidP="00743397">
            <w:pPr>
              <w:rPr>
                <w:lang w:eastAsia="zh-CN"/>
              </w:rPr>
            </w:pPr>
            <w:r>
              <w:rPr>
                <w:rFonts w:hint="eastAsia"/>
                <w:lang w:eastAsia="zh-CN"/>
              </w:rPr>
              <w:t>D</w:t>
            </w:r>
            <w:r>
              <w:rPr>
                <w:lang w:eastAsia="zh-CN"/>
              </w:rPr>
              <w:t>T</w:t>
            </w:r>
          </w:p>
        </w:tc>
        <w:tc>
          <w:tcPr>
            <w:tcW w:w="7488" w:type="dxa"/>
            <w:shd w:val="clear" w:color="auto" w:fill="auto"/>
          </w:tcPr>
          <w:p w14:paraId="1B6ADE20" w14:textId="2D1C43AA" w:rsidR="00586E36" w:rsidRDefault="0052786C" w:rsidP="00743397">
            <w:r>
              <w:rPr>
                <w:rFonts w:hint="eastAsia"/>
              </w:rPr>
              <w:t>C</w:t>
            </w:r>
            <w:r>
              <w:t xml:space="preserve">an live with direct </w:t>
            </w:r>
            <w:proofErr w:type="spellStart"/>
            <w:r>
              <w:t>eMns</w:t>
            </w:r>
            <w:proofErr w:type="spellEnd"/>
            <w:r>
              <w:t xml:space="preserve"> access without going through BSS.</w:t>
            </w:r>
          </w:p>
        </w:tc>
      </w:tr>
      <w:tr w:rsidR="00586E36" w14:paraId="05B8AAAE" w14:textId="77777777" w:rsidTr="00743397">
        <w:tc>
          <w:tcPr>
            <w:tcW w:w="2088" w:type="dxa"/>
            <w:shd w:val="clear" w:color="auto" w:fill="auto"/>
          </w:tcPr>
          <w:p w14:paraId="1947BA48" w14:textId="05D2387A" w:rsidR="00586E36" w:rsidRDefault="000C599A" w:rsidP="00743397">
            <w:pPr>
              <w:rPr>
                <w:lang w:eastAsia="zh-CN"/>
              </w:rPr>
            </w:pPr>
            <w:r>
              <w:rPr>
                <w:rFonts w:hint="eastAsia"/>
                <w:lang w:eastAsia="zh-CN"/>
              </w:rPr>
              <w:t>O</w:t>
            </w:r>
            <w:r>
              <w:rPr>
                <w:lang w:eastAsia="zh-CN"/>
              </w:rPr>
              <w:t>range</w:t>
            </w:r>
          </w:p>
        </w:tc>
        <w:tc>
          <w:tcPr>
            <w:tcW w:w="7488" w:type="dxa"/>
            <w:shd w:val="clear" w:color="auto" w:fill="auto"/>
          </w:tcPr>
          <w:p w14:paraId="6FC222A9" w14:textId="4E707CC9" w:rsidR="00586E36" w:rsidRDefault="0052786C" w:rsidP="00743397">
            <w:r>
              <w:rPr>
                <w:rFonts w:hint="eastAsia"/>
              </w:rPr>
              <w:t>S</w:t>
            </w:r>
            <w:r>
              <w:t>ame view with TEF</w:t>
            </w:r>
          </w:p>
        </w:tc>
      </w:tr>
      <w:tr w:rsidR="00586E36" w14:paraId="7AE2EFAD" w14:textId="77777777" w:rsidTr="00743397">
        <w:tc>
          <w:tcPr>
            <w:tcW w:w="2088" w:type="dxa"/>
            <w:shd w:val="clear" w:color="auto" w:fill="auto"/>
          </w:tcPr>
          <w:p w14:paraId="18787D4D" w14:textId="0414EEC7" w:rsidR="00586E36" w:rsidRDefault="009C02B2" w:rsidP="00743397">
            <w:r>
              <w:rPr>
                <w:rFonts w:hint="eastAsia"/>
              </w:rPr>
              <w:t>A</w:t>
            </w:r>
            <w:r>
              <w:t>libaba</w:t>
            </w:r>
          </w:p>
        </w:tc>
        <w:tc>
          <w:tcPr>
            <w:tcW w:w="7488" w:type="dxa"/>
            <w:shd w:val="clear" w:color="auto" w:fill="auto"/>
          </w:tcPr>
          <w:p w14:paraId="616BAD44" w14:textId="5DFB44F0" w:rsidR="00586E36" w:rsidRDefault="009C02B2" w:rsidP="00743397">
            <w:r>
              <w:rPr>
                <w:rFonts w:hint="eastAsia"/>
              </w:rPr>
              <w:t>C</w:t>
            </w:r>
            <w:r>
              <w:t>an live with both ways</w:t>
            </w:r>
          </w:p>
        </w:tc>
      </w:tr>
      <w:tr w:rsidR="00586E36" w14:paraId="243C063D" w14:textId="77777777" w:rsidTr="00743397">
        <w:tc>
          <w:tcPr>
            <w:tcW w:w="2088" w:type="dxa"/>
            <w:shd w:val="clear" w:color="auto" w:fill="auto"/>
          </w:tcPr>
          <w:p w14:paraId="6F11C837" w14:textId="77777777" w:rsidR="00586E36" w:rsidRDefault="00586E36" w:rsidP="00743397"/>
        </w:tc>
        <w:tc>
          <w:tcPr>
            <w:tcW w:w="7488" w:type="dxa"/>
            <w:shd w:val="clear" w:color="auto" w:fill="auto"/>
          </w:tcPr>
          <w:p w14:paraId="183AD64D" w14:textId="77777777" w:rsidR="00586E36" w:rsidRDefault="00586E36" w:rsidP="00743397"/>
        </w:tc>
      </w:tr>
      <w:tr w:rsidR="00586E36" w14:paraId="66811A0B" w14:textId="77777777" w:rsidTr="00743397">
        <w:tc>
          <w:tcPr>
            <w:tcW w:w="2088" w:type="dxa"/>
            <w:shd w:val="clear" w:color="auto" w:fill="auto"/>
          </w:tcPr>
          <w:p w14:paraId="2DC829D4" w14:textId="77777777" w:rsidR="00586E36" w:rsidRDefault="00586E36" w:rsidP="00743397"/>
        </w:tc>
        <w:tc>
          <w:tcPr>
            <w:tcW w:w="7488" w:type="dxa"/>
            <w:shd w:val="clear" w:color="auto" w:fill="auto"/>
          </w:tcPr>
          <w:p w14:paraId="72F9716B" w14:textId="77777777" w:rsidR="00586E36" w:rsidRDefault="00586E36" w:rsidP="00743397"/>
        </w:tc>
      </w:tr>
      <w:tr w:rsidR="00586E36" w14:paraId="74671CB8" w14:textId="77777777" w:rsidTr="00743397">
        <w:tc>
          <w:tcPr>
            <w:tcW w:w="2088" w:type="dxa"/>
            <w:shd w:val="clear" w:color="auto" w:fill="auto"/>
          </w:tcPr>
          <w:p w14:paraId="01D101B9" w14:textId="77777777" w:rsidR="00586E36" w:rsidRDefault="00586E36" w:rsidP="00743397"/>
        </w:tc>
        <w:tc>
          <w:tcPr>
            <w:tcW w:w="7488" w:type="dxa"/>
            <w:shd w:val="clear" w:color="auto" w:fill="auto"/>
          </w:tcPr>
          <w:p w14:paraId="4A3BD4FF" w14:textId="77777777" w:rsidR="00586E36" w:rsidRDefault="00586E36" w:rsidP="00743397"/>
        </w:tc>
      </w:tr>
      <w:tr w:rsidR="00586E36" w14:paraId="65FC4497" w14:textId="77777777" w:rsidTr="00743397">
        <w:tc>
          <w:tcPr>
            <w:tcW w:w="2088" w:type="dxa"/>
            <w:shd w:val="clear" w:color="auto" w:fill="auto"/>
          </w:tcPr>
          <w:p w14:paraId="32C5A6C5" w14:textId="77777777" w:rsidR="00586E36" w:rsidRDefault="00586E36" w:rsidP="00743397"/>
        </w:tc>
        <w:tc>
          <w:tcPr>
            <w:tcW w:w="7488" w:type="dxa"/>
            <w:shd w:val="clear" w:color="auto" w:fill="auto"/>
          </w:tcPr>
          <w:p w14:paraId="639BAB02" w14:textId="77777777" w:rsidR="00586E36" w:rsidRDefault="00586E36" w:rsidP="00743397"/>
        </w:tc>
      </w:tr>
    </w:tbl>
    <w:p w14:paraId="73507D3B" w14:textId="5C39F11A" w:rsidR="00B46B11" w:rsidRDefault="00C2759E" w:rsidP="00735992">
      <w:r>
        <w:t>Way forward:</w:t>
      </w:r>
    </w:p>
    <w:p w14:paraId="6750619E" w14:textId="131772DD" w:rsidR="00C2759E" w:rsidRDefault="00C2759E" w:rsidP="00735992">
      <w:r>
        <w:rPr>
          <w:rFonts w:hint="eastAsia"/>
        </w:rPr>
        <w:t>W</w:t>
      </w:r>
      <w:r>
        <w:t xml:space="preserve">hat </w:t>
      </w:r>
      <w:proofErr w:type="gramStart"/>
      <w:r>
        <w:t>is</w:t>
      </w:r>
      <w:proofErr w:type="gramEnd"/>
      <w:r>
        <w:t xml:space="preserve"> the use cases where </w:t>
      </w:r>
      <w:proofErr w:type="spellStart"/>
      <w:r>
        <w:t>eMnS</w:t>
      </w:r>
      <w:proofErr w:type="spellEnd"/>
      <w:r>
        <w:t xml:space="preserve"> access can be done without going through BSS?</w:t>
      </w:r>
    </w:p>
    <w:p w14:paraId="540FC1DE" w14:textId="77777777" w:rsidR="00C2759E" w:rsidRPr="00B46B11" w:rsidRDefault="00C2759E" w:rsidP="00735992"/>
    <w:p w14:paraId="7D69BE16" w14:textId="11033375" w:rsidR="009A60B5" w:rsidRDefault="009A60B5" w:rsidP="009A60B5">
      <w:pPr>
        <w:pStyle w:val="1"/>
      </w:pPr>
      <w:r w:rsidRPr="002574DA">
        <w:t>Question</w:t>
      </w:r>
      <w:r>
        <w:t xml:space="preserve"> </w:t>
      </w:r>
      <w:r w:rsidR="00875607">
        <w:t>3</w:t>
      </w:r>
      <w:r>
        <w:t xml:space="preserve">: </w:t>
      </w:r>
      <w:r w:rsidR="00E14021">
        <w:t>EGMF</w:t>
      </w:r>
    </w:p>
    <w:p w14:paraId="5CAE3A71" w14:textId="3BFA0F3B" w:rsidR="009A60B5" w:rsidRDefault="00875607" w:rsidP="009A60B5">
      <w:r>
        <w:t xml:space="preserve">There </w:t>
      </w:r>
      <w:proofErr w:type="gramStart"/>
      <w:r>
        <w:t>are</w:t>
      </w:r>
      <w:proofErr w:type="gramEnd"/>
      <w:r>
        <w:t xml:space="preserve"> different view on the meaning of EGMF and its related scope</w:t>
      </w:r>
      <w:r w:rsidR="00951DA3">
        <w:t>.</w:t>
      </w:r>
      <w:r>
        <w:t xml:space="preserve"> Further, the relation with other functions also </w:t>
      </w:r>
      <w:proofErr w:type="gramStart"/>
      <w:r>
        <w:t>need</w:t>
      </w:r>
      <w:proofErr w:type="gramEnd"/>
      <w:r>
        <w:t xml:space="preserve"> to be identified.</w:t>
      </w:r>
    </w:p>
    <w:p w14:paraId="2304E2FC" w14:textId="0E0E315F" w:rsidR="009A60B5" w:rsidRDefault="009A60B5" w:rsidP="009A60B5">
      <w:r w:rsidRPr="00EC6150">
        <w:rPr>
          <w:b/>
          <w:bCs/>
        </w:rPr>
        <w:t>Question</w:t>
      </w:r>
      <w:r>
        <w:t xml:space="preserve">: </w:t>
      </w:r>
      <w:r w:rsidRPr="00EE0C84">
        <w:t xml:space="preserve">What </w:t>
      </w:r>
      <w:r w:rsidR="00E14021">
        <w:t>is the meaning of EGMF and what is the scope of EGMF</w:t>
      </w:r>
      <w:r w:rsidRPr="00EE0C84">
        <w:t>?</w:t>
      </w:r>
      <w:r w:rsidR="00E14021">
        <w:t xml:space="preserve"> And what </w:t>
      </w:r>
      <w:r w:rsidR="00875607">
        <w:t>is the relation with other functions (</w:t>
      </w:r>
      <w:proofErr w:type="gramStart"/>
      <w:r w:rsidR="00875607">
        <w:t>e.g.</w:t>
      </w:r>
      <w:proofErr w:type="gramEnd"/>
      <w:r w:rsidR="00875607">
        <w:t xml:space="preserve"> access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297"/>
      </w:tblGrid>
      <w:tr w:rsidR="009A60B5" w:rsidRPr="00F443B7" w14:paraId="4E6577F4" w14:textId="77777777" w:rsidTr="00743397">
        <w:tc>
          <w:tcPr>
            <w:tcW w:w="2088" w:type="dxa"/>
            <w:shd w:val="clear" w:color="auto" w:fill="auto"/>
          </w:tcPr>
          <w:p w14:paraId="0D84A089" w14:textId="77777777" w:rsidR="009A60B5" w:rsidRPr="00F443B7" w:rsidRDefault="009A60B5" w:rsidP="00743397">
            <w:pPr>
              <w:rPr>
                <w:b/>
                <w:bCs/>
              </w:rPr>
            </w:pPr>
            <w:r w:rsidRPr="00F443B7">
              <w:rPr>
                <w:b/>
                <w:bCs/>
              </w:rPr>
              <w:t>Company</w:t>
            </w:r>
          </w:p>
        </w:tc>
        <w:tc>
          <w:tcPr>
            <w:tcW w:w="7488" w:type="dxa"/>
            <w:shd w:val="clear" w:color="auto" w:fill="auto"/>
          </w:tcPr>
          <w:p w14:paraId="340F6A15" w14:textId="77777777" w:rsidR="009A60B5" w:rsidRPr="00F443B7" w:rsidRDefault="009A60B5" w:rsidP="00743397">
            <w:pPr>
              <w:rPr>
                <w:b/>
                <w:bCs/>
              </w:rPr>
            </w:pPr>
            <w:r w:rsidRPr="00F443B7">
              <w:rPr>
                <w:b/>
                <w:bCs/>
              </w:rPr>
              <w:t>Comments</w:t>
            </w:r>
          </w:p>
        </w:tc>
      </w:tr>
      <w:tr w:rsidR="009A60B5" w14:paraId="5E5AB931" w14:textId="77777777" w:rsidTr="00743397">
        <w:tc>
          <w:tcPr>
            <w:tcW w:w="2088" w:type="dxa"/>
            <w:shd w:val="clear" w:color="auto" w:fill="auto"/>
          </w:tcPr>
          <w:p w14:paraId="25B79AB1" w14:textId="77FE995F" w:rsidR="009A60B5" w:rsidRDefault="00E731B8" w:rsidP="00743397">
            <w:pPr>
              <w:rPr>
                <w:lang w:eastAsia="zh-CN"/>
              </w:rPr>
            </w:pPr>
            <w:r>
              <w:rPr>
                <w:rFonts w:hint="eastAsia"/>
                <w:lang w:eastAsia="zh-CN"/>
              </w:rPr>
              <w:t>H</w:t>
            </w:r>
            <w:r>
              <w:rPr>
                <w:lang w:eastAsia="zh-CN"/>
              </w:rPr>
              <w:t>uawei</w:t>
            </w:r>
          </w:p>
        </w:tc>
        <w:tc>
          <w:tcPr>
            <w:tcW w:w="7488" w:type="dxa"/>
            <w:shd w:val="clear" w:color="auto" w:fill="auto"/>
          </w:tcPr>
          <w:p w14:paraId="0FB643FB" w14:textId="795BA24F" w:rsidR="00060C24" w:rsidRDefault="00E731B8" w:rsidP="00743397">
            <w:pPr>
              <w:rPr>
                <w:lang w:eastAsia="zh-CN"/>
              </w:rPr>
            </w:pPr>
            <w:r>
              <w:rPr>
                <w:rFonts w:hint="eastAsia"/>
                <w:lang w:eastAsia="zh-CN"/>
              </w:rPr>
              <w:t>E</w:t>
            </w:r>
            <w:r>
              <w:rPr>
                <w:lang w:eastAsia="zh-CN"/>
              </w:rPr>
              <w:t xml:space="preserve">GMF can provide </w:t>
            </w:r>
            <w:proofErr w:type="spellStart"/>
            <w:r>
              <w:rPr>
                <w:lang w:eastAsia="zh-CN"/>
              </w:rPr>
              <w:t>eMnS</w:t>
            </w:r>
            <w:proofErr w:type="spellEnd"/>
            <w:r>
              <w:rPr>
                <w:lang w:eastAsia="zh-CN"/>
              </w:rPr>
              <w:t xml:space="preserve"> for communication service (</w:t>
            </w:r>
            <w:proofErr w:type="gramStart"/>
            <w:r>
              <w:rPr>
                <w:lang w:eastAsia="zh-CN"/>
              </w:rPr>
              <w:t>e.g.</w:t>
            </w:r>
            <w:proofErr w:type="gramEnd"/>
            <w:r>
              <w:rPr>
                <w:lang w:eastAsia="zh-CN"/>
              </w:rPr>
              <w:t xml:space="preserve"> communication service level alarm/performance information supervision) and network and network slice (e.g. network and network slice level alarm/performance information supervision) and also </w:t>
            </w:r>
            <w:proofErr w:type="spellStart"/>
            <w:r>
              <w:rPr>
                <w:lang w:eastAsia="zh-CN"/>
              </w:rPr>
              <w:t>SubNetwork</w:t>
            </w:r>
            <w:proofErr w:type="spellEnd"/>
            <w:r>
              <w:rPr>
                <w:lang w:eastAsia="zh-CN"/>
              </w:rPr>
              <w:t xml:space="preserve"> and network slice subnet (e.g. </w:t>
            </w:r>
            <w:r>
              <w:rPr>
                <w:lang w:eastAsia="zh-CN"/>
              </w:rPr>
              <w:lastRenderedPageBreak/>
              <w:t>Subnetwork and network slice subnet level alarm/performance information supervision)</w:t>
            </w:r>
          </w:p>
        </w:tc>
      </w:tr>
      <w:tr w:rsidR="009A60B5" w14:paraId="20FAD95A" w14:textId="77777777" w:rsidTr="00743397">
        <w:tc>
          <w:tcPr>
            <w:tcW w:w="2088" w:type="dxa"/>
            <w:shd w:val="clear" w:color="auto" w:fill="auto"/>
          </w:tcPr>
          <w:p w14:paraId="597F71CE" w14:textId="3CF9A01C" w:rsidR="009A60B5" w:rsidRDefault="00E731B8" w:rsidP="00743397">
            <w:pPr>
              <w:rPr>
                <w:lang w:eastAsia="zh-CN"/>
              </w:rPr>
            </w:pPr>
            <w:r>
              <w:rPr>
                <w:rFonts w:hint="eastAsia"/>
                <w:lang w:eastAsia="zh-CN"/>
              </w:rPr>
              <w:lastRenderedPageBreak/>
              <w:t>S</w:t>
            </w:r>
            <w:r>
              <w:rPr>
                <w:lang w:eastAsia="zh-CN"/>
              </w:rPr>
              <w:t>amsung</w:t>
            </w:r>
          </w:p>
        </w:tc>
        <w:tc>
          <w:tcPr>
            <w:tcW w:w="7488" w:type="dxa"/>
            <w:shd w:val="clear" w:color="auto" w:fill="auto"/>
          </w:tcPr>
          <w:p w14:paraId="093DBFFC" w14:textId="2A007B6C" w:rsidR="009A60B5" w:rsidRPr="008830CC" w:rsidRDefault="001E33FD" w:rsidP="008830CC">
            <w:pPr>
              <w:spacing w:after="0" w:line="240" w:lineRule="auto"/>
              <w:rPr>
                <w:sz w:val="24"/>
                <w:szCs w:val="24"/>
                <w:lang w:eastAsia="zh-CN"/>
              </w:rPr>
            </w:pPr>
            <w:r>
              <w:rPr>
                <w:rFonts w:hint="eastAsia"/>
                <w:lang w:eastAsia="zh-CN"/>
              </w:rPr>
              <w:t>E</w:t>
            </w:r>
            <w:r>
              <w:rPr>
                <w:lang w:eastAsia="zh-CN"/>
              </w:rPr>
              <w:t xml:space="preserve">MGF only </w:t>
            </w:r>
            <w:r w:rsidR="008830CC">
              <w:rPr>
                <w:lang w:eastAsia="zh-CN"/>
              </w:rPr>
              <w:t>builds</w:t>
            </w:r>
            <w:r w:rsidRPr="001E33FD">
              <w:rPr>
                <w:lang w:eastAsia="zh-CN"/>
              </w:rPr>
              <w:t xml:space="preserve"> the access authorization logic for our </w:t>
            </w:r>
            <w:proofErr w:type="spellStart"/>
            <w:r w:rsidRPr="001E33FD">
              <w:rPr>
                <w:lang w:eastAsia="zh-CN"/>
              </w:rPr>
              <w:t>MnS</w:t>
            </w:r>
            <w:proofErr w:type="spellEnd"/>
            <w:r>
              <w:rPr>
                <w:lang w:eastAsia="zh-CN"/>
              </w:rPr>
              <w:t xml:space="preserve">. Verticals can directly access the </w:t>
            </w:r>
            <w:proofErr w:type="spellStart"/>
            <w:r>
              <w:rPr>
                <w:lang w:eastAsia="zh-CN"/>
              </w:rPr>
              <w:t>eMns</w:t>
            </w:r>
            <w:proofErr w:type="spellEnd"/>
            <w:r>
              <w:rPr>
                <w:lang w:eastAsia="zh-CN"/>
              </w:rPr>
              <w:t xml:space="preserve"> from proper </w:t>
            </w:r>
            <w:proofErr w:type="spellStart"/>
            <w:r>
              <w:rPr>
                <w:lang w:eastAsia="zh-CN"/>
              </w:rPr>
              <w:t>eMnS</w:t>
            </w:r>
            <w:proofErr w:type="spellEnd"/>
            <w:r>
              <w:rPr>
                <w:lang w:eastAsia="zh-CN"/>
              </w:rPr>
              <w:t xml:space="preserve"> producer (not EGMF)</w:t>
            </w:r>
          </w:p>
        </w:tc>
      </w:tr>
      <w:tr w:rsidR="009A60B5" w14:paraId="52AB5BE4" w14:textId="77777777" w:rsidTr="00743397">
        <w:tc>
          <w:tcPr>
            <w:tcW w:w="2088" w:type="dxa"/>
            <w:shd w:val="clear" w:color="auto" w:fill="auto"/>
          </w:tcPr>
          <w:p w14:paraId="52710B04" w14:textId="7451B77F" w:rsidR="009A60B5" w:rsidRDefault="008830CC" w:rsidP="00743397">
            <w:pPr>
              <w:rPr>
                <w:lang w:eastAsia="zh-CN"/>
              </w:rPr>
            </w:pPr>
            <w:r>
              <w:rPr>
                <w:rFonts w:hint="eastAsia"/>
                <w:lang w:eastAsia="zh-CN"/>
              </w:rPr>
              <w:t>T</w:t>
            </w:r>
            <w:r>
              <w:rPr>
                <w:lang w:eastAsia="zh-CN"/>
              </w:rPr>
              <w:t>EF</w:t>
            </w:r>
          </w:p>
        </w:tc>
        <w:tc>
          <w:tcPr>
            <w:tcW w:w="7488" w:type="dxa"/>
            <w:shd w:val="clear" w:color="auto" w:fill="auto"/>
          </w:tcPr>
          <w:p w14:paraId="4A0B01C7" w14:textId="77777777" w:rsidR="009A60B5" w:rsidRDefault="008830CC" w:rsidP="00743397">
            <w:pPr>
              <w:rPr>
                <w:lang w:eastAsia="zh-CN"/>
              </w:rPr>
            </w:pPr>
            <w:r>
              <w:rPr>
                <w:rFonts w:hint="eastAsia"/>
                <w:lang w:eastAsia="zh-CN"/>
              </w:rPr>
              <w:t>E</w:t>
            </w:r>
            <w:r>
              <w:rPr>
                <w:lang w:eastAsia="zh-CN"/>
              </w:rPr>
              <w:t xml:space="preserve">MGF </w:t>
            </w:r>
            <w:proofErr w:type="spellStart"/>
            <w:r>
              <w:rPr>
                <w:lang w:eastAsia="zh-CN"/>
              </w:rPr>
              <w:t>can not</w:t>
            </w:r>
            <w:proofErr w:type="spellEnd"/>
            <w:r>
              <w:rPr>
                <w:lang w:eastAsia="zh-CN"/>
              </w:rPr>
              <w:t xml:space="preserve"> directly be consumed by </w:t>
            </w:r>
            <w:r>
              <w:rPr>
                <w:rFonts w:hint="eastAsia"/>
                <w:lang w:eastAsia="zh-CN"/>
              </w:rPr>
              <w:t>external</w:t>
            </w:r>
            <w:r>
              <w:rPr>
                <w:lang w:eastAsia="zh-CN"/>
              </w:rPr>
              <w:t xml:space="preserve"> </w:t>
            </w:r>
            <w:r>
              <w:rPr>
                <w:rFonts w:hint="eastAsia"/>
                <w:lang w:eastAsia="zh-CN"/>
              </w:rPr>
              <w:t>customer</w:t>
            </w:r>
            <w:r w:rsidR="005704C5">
              <w:rPr>
                <w:lang w:eastAsia="zh-CN"/>
              </w:rPr>
              <w:t xml:space="preserve"> if located at service management layer within OSS</w:t>
            </w:r>
            <w:r w:rsidR="00CA3D8F">
              <w:rPr>
                <w:lang w:eastAsia="zh-CN"/>
              </w:rPr>
              <w:t>. Instead, high-level service API (through BSS?) should be used.</w:t>
            </w:r>
            <w:r w:rsidR="005704C5">
              <w:rPr>
                <w:lang w:eastAsia="zh-CN"/>
              </w:rPr>
              <w:t xml:space="preserve"> </w:t>
            </w:r>
          </w:p>
          <w:p w14:paraId="55C07091" w14:textId="7704689F" w:rsidR="000010CA" w:rsidRDefault="000010CA" w:rsidP="00743397">
            <w:pPr>
              <w:rPr>
                <w:lang w:eastAsia="zh-CN"/>
              </w:rPr>
            </w:pPr>
            <w:r>
              <w:rPr>
                <w:lang w:eastAsia="zh-CN"/>
              </w:rPr>
              <w:t xml:space="preserve">Can live with EMGF being hosted by BSS. In this case, EGMF behaves likes </w:t>
            </w:r>
            <w:proofErr w:type="gramStart"/>
            <w:r>
              <w:rPr>
                <w:lang w:eastAsia="zh-CN"/>
              </w:rPr>
              <w:t>a</w:t>
            </w:r>
            <w:proofErr w:type="gramEnd"/>
            <w:r>
              <w:rPr>
                <w:lang w:eastAsia="zh-CN"/>
              </w:rPr>
              <w:t xml:space="preserve"> API GW.</w:t>
            </w:r>
            <w:r>
              <w:rPr>
                <w:rFonts w:hint="eastAsia"/>
                <w:lang w:eastAsia="zh-CN"/>
              </w:rPr>
              <w:t xml:space="preserve"> </w:t>
            </w:r>
            <w:r>
              <w:rPr>
                <w:lang w:eastAsia="zh-CN"/>
              </w:rPr>
              <w:t xml:space="preserve"> Can live with EGMF, as a </w:t>
            </w:r>
            <w:proofErr w:type="spellStart"/>
            <w:r>
              <w:rPr>
                <w:lang w:eastAsia="zh-CN"/>
              </w:rPr>
              <w:t>MnS</w:t>
            </w:r>
            <w:proofErr w:type="spellEnd"/>
            <w:r>
              <w:rPr>
                <w:lang w:eastAsia="zh-CN"/>
              </w:rPr>
              <w:t xml:space="preserve"> producer in OSS, being consumed by BSS application which has API with external consumer.</w:t>
            </w:r>
          </w:p>
        </w:tc>
      </w:tr>
      <w:tr w:rsidR="009A60B5" w14:paraId="6EDA7170" w14:textId="77777777" w:rsidTr="00743397">
        <w:tc>
          <w:tcPr>
            <w:tcW w:w="2088" w:type="dxa"/>
            <w:shd w:val="clear" w:color="auto" w:fill="auto"/>
          </w:tcPr>
          <w:p w14:paraId="12F12547" w14:textId="3DA400AB" w:rsidR="009A60B5" w:rsidRDefault="000010CA" w:rsidP="00743397">
            <w:pPr>
              <w:rPr>
                <w:lang w:eastAsia="zh-CN"/>
              </w:rPr>
            </w:pPr>
            <w:r>
              <w:rPr>
                <w:rFonts w:hint="eastAsia"/>
                <w:lang w:eastAsia="zh-CN"/>
              </w:rPr>
              <w:t>O</w:t>
            </w:r>
            <w:r>
              <w:rPr>
                <w:lang w:eastAsia="zh-CN"/>
              </w:rPr>
              <w:t>range</w:t>
            </w:r>
          </w:p>
        </w:tc>
        <w:tc>
          <w:tcPr>
            <w:tcW w:w="7488" w:type="dxa"/>
            <w:shd w:val="clear" w:color="auto" w:fill="auto"/>
          </w:tcPr>
          <w:p w14:paraId="482FDA67" w14:textId="0AF3D8C3" w:rsidR="009A60B5" w:rsidRDefault="000010CA" w:rsidP="00743397">
            <w:pPr>
              <w:rPr>
                <w:lang w:eastAsia="zh-CN"/>
              </w:rPr>
            </w:pPr>
            <w:r>
              <w:rPr>
                <w:rFonts w:hint="eastAsia"/>
                <w:lang w:eastAsia="zh-CN"/>
              </w:rPr>
              <w:t>S</w:t>
            </w:r>
            <w:r>
              <w:rPr>
                <w:lang w:eastAsia="zh-CN"/>
              </w:rPr>
              <w:t>ame view with TEF</w:t>
            </w:r>
          </w:p>
        </w:tc>
      </w:tr>
      <w:tr w:rsidR="009A60B5" w14:paraId="30190933" w14:textId="77777777" w:rsidTr="00743397">
        <w:tc>
          <w:tcPr>
            <w:tcW w:w="2088" w:type="dxa"/>
            <w:shd w:val="clear" w:color="auto" w:fill="auto"/>
          </w:tcPr>
          <w:p w14:paraId="4D3ED597" w14:textId="77E87395" w:rsidR="009A60B5" w:rsidRDefault="006500D9" w:rsidP="00743397">
            <w:pPr>
              <w:rPr>
                <w:lang w:eastAsia="zh-CN"/>
              </w:rPr>
            </w:pPr>
            <w:r>
              <w:rPr>
                <w:rFonts w:hint="eastAsia"/>
                <w:lang w:eastAsia="zh-CN"/>
              </w:rPr>
              <w:t>A</w:t>
            </w:r>
            <w:r>
              <w:rPr>
                <w:lang w:eastAsia="zh-CN"/>
              </w:rPr>
              <w:t>libaba</w:t>
            </w:r>
          </w:p>
        </w:tc>
        <w:tc>
          <w:tcPr>
            <w:tcW w:w="7488" w:type="dxa"/>
            <w:shd w:val="clear" w:color="auto" w:fill="auto"/>
          </w:tcPr>
          <w:p w14:paraId="7E94DE17" w14:textId="749D44C0" w:rsidR="009A60B5" w:rsidRDefault="006500D9" w:rsidP="00743397">
            <w:r>
              <w:rPr>
                <w:rFonts w:hint="eastAsia"/>
              </w:rPr>
              <w:t>P</w:t>
            </w:r>
            <w:r>
              <w:t xml:space="preserve">refer EGMF being hosted by OSS. Can provide </w:t>
            </w:r>
            <w:proofErr w:type="spellStart"/>
            <w:r>
              <w:t>eMnS</w:t>
            </w:r>
            <w:proofErr w:type="spellEnd"/>
            <w:r>
              <w:t xml:space="preserve"> and also access control functionality</w:t>
            </w:r>
            <w:r w:rsidR="00AB03D2">
              <w:t>. No sure what needs to be standardize if EGMF is hosted by BSS.</w:t>
            </w:r>
          </w:p>
        </w:tc>
      </w:tr>
      <w:tr w:rsidR="009A60B5" w14:paraId="0C28089C" w14:textId="77777777" w:rsidTr="00743397">
        <w:tc>
          <w:tcPr>
            <w:tcW w:w="2088" w:type="dxa"/>
            <w:shd w:val="clear" w:color="auto" w:fill="auto"/>
          </w:tcPr>
          <w:p w14:paraId="4B82B248" w14:textId="77777777" w:rsidR="009A60B5" w:rsidRDefault="009A60B5" w:rsidP="00743397"/>
        </w:tc>
        <w:tc>
          <w:tcPr>
            <w:tcW w:w="7488" w:type="dxa"/>
            <w:shd w:val="clear" w:color="auto" w:fill="auto"/>
          </w:tcPr>
          <w:p w14:paraId="6FFE5C4E" w14:textId="77777777" w:rsidR="009A60B5" w:rsidRDefault="009A60B5" w:rsidP="00743397"/>
        </w:tc>
      </w:tr>
      <w:tr w:rsidR="009A60B5" w14:paraId="67FAAE40" w14:textId="77777777" w:rsidTr="00743397">
        <w:tc>
          <w:tcPr>
            <w:tcW w:w="2088" w:type="dxa"/>
            <w:shd w:val="clear" w:color="auto" w:fill="auto"/>
          </w:tcPr>
          <w:p w14:paraId="76DF0E47" w14:textId="77777777" w:rsidR="009A60B5" w:rsidRDefault="009A60B5" w:rsidP="00743397"/>
        </w:tc>
        <w:tc>
          <w:tcPr>
            <w:tcW w:w="7488" w:type="dxa"/>
            <w:shd w:val="clear" w:color="auto" w:fill="auto"/>
          </w:tcPr>
          <w:p w14:paraId="6633B02D" w14:textId="77777777" w:rsidR="009A60B5" w:rsidRDefault="009A60B5" w:rsidP="00743397"/>
        </w:tc>
      </w:tr>
      <w:tr w:rsidR="009A60B5" w14:paraId="23768B8C" w14:textId="77777777" w:rsidTr="00743397">
        <w:tc>
          <w:tcPr>
            <w:tcW w:w="2088" w:type="dxa"/>
            <w:shd w:val="clear" w:color="auto" w:fill="auto"/>
          </w:tcPr>
          <w:p w14:paraId="16FBA96A" w14:textId="77777777" w:rsidR="009A60B5" w:rsidRDefault="009A60B5" w:rsidP="00743397"/>
        </w:tc>
        <w:tc>
          <w:tcPr>
            <w:tcW w:w="7488" w:type="dxa"/>
            <w:shd w:val="clear" w:color="auto" w:fill="auto"/>
          </w:tcPr>
          <w:p w14:paraId="4F9F0B05" w14:textId="77777777" w:rsidR="009A60B5" w:rsidRDefault="009A60B5" w:rsidP="00743397"/>
        </w:tc>
      </w:tr>
      <w:tr w:rsidR="009A60B5" w14:paraId="200EA366" w14:textId="77777777" w:rsidTr="00743397">
        <w:tc>
          <w:tcPr>
            <w:tcW w:w="2088" w:type="dxa"/>
            <w:shd w:val="clear" w:color="auto" w:fill="auto"/>
          </w:tcPr>
          <w:p w14:paraId="15D42D57" w14:textId="77777777" w:rsidR="009A60B5" w:rsidRDefault="009A60B5" w:rsidP="00743397"/>
        </w:tc>
        <w:tc>
          <w:tcPr>
            <w:tcW w:w="7488" w:type="dxa"/>
            <w:shd w:val="clear" w:color="auto" w:fill="auto"/>
          </w:tcPr>
          <w:p w14:paraId="07DC0DEB" w14:textId="77777777" w:rsidR="009A60B5" w:rsidRDefault="009A60B5" w:rsidP="00743397"/>
        </w:tc>
      </w:tr>
    </w:tbl>
    <w:p w14:paraId="6C9F4E47" w14:textId="62FE315F" w:rsidR="009A60B5" w:rsidRDefault="00CF0EAD" w:rsidP="009A60B5">
      <w:pPr>
        <w:rPr>
          <w:lang w:eastAsia="zh-CN"/>
        </w:rPr>
      </w:pPr>
      <w:r>
        <w:rPr>
          <w:rFonts w:hint="eastAsia"/>
          <w:lang w:eastAsia="zh-CN"/>
        </w:rPr>
        <w:t>Way</w:t>
      </w:r>
      <w:r>
        <w:rPr>
          <w:lang w:eastAsia="zh-CN"/>
        </w:rPr>
        <w:t xml:space="preserve"> forward</w:t>
      </w:r>
      <w:r w:rsidR="00770C54">
        <w:rPr>
          <w:lang w:eastAsia="zh-CN"/>
        </w:rPr>
        <w:t>:</w:t>
      </w:r>
      <w:r w:rsidR="00607829">
        <w:rPr>
          <w:lang w:eastAsia="zh-CN"/>
        </w:rPr>
        <w:t xml:space="preserve"> </w:t>
      </w:r>
    </w:p>
    <w:p w14:paraId="4CB90631" w14:textId="26B93CD7" w:rsidR="00607829" w:rsidRDefault="00607829" w:rsidP="009A60B5">
      <w:pPr>
        <w:rPr>
          <w:lang w:eastAsia="zh-CN"/>
        </w:rPr>
      </w:pPr>
      <w:r>
        <w:rPr>
          <w:rFonts w:hint="eastAsia"/>
          <w:lang w:eastAsia="zh-CN"/>
        </w:rPr>
        <w:t>W</w:t>
      </w:r>
      <w:r>
        <w:rPr>
          <w:lang w:eastAsia="zh-CN"/>
        </w:rPr>
        <w:t xml:space="preserve">hether to decide where the EMGF </w:t>
      </w:r>
      <w:proofErr w:type="gramStart"/>
      <w:r>
        <w:rPr>
          <w:lang w:eastAsia="zh-CN"/>
        </w:rPr>
        <w:t>locates(</w:t>
      </w:r>
      <w:proofErr w:type="gramEnd"/>
      <w:r>
        <w:rPr>
          <w:lang w:eastAsia="zh-CN"/>
        </w:rPr>
        <w:t>e.g. in OSS or BSS) ?</w:t>
      </w:r>
      <w:r w:rsidR="00576D19">
        <w:rPr>
          <w:lang w:eastAsia="zh-CN"/>
        </w:rPr>
        <w:t xml:space="preserve"> </w:t>
      </w:r>
    </w:p>
    <w:p w14:paraId="08F15E1E" w14:textId="73CA0B51" w:rsidR="002574DA" w:rsidRDefault="002574DA" w:rsidP="002574DA"/>
    <w:p w14:paraId="7534E383" w14:textId="63459839" w:rsidR="009C02B2" w:rsidRDefault="009C02B2" w:rsidP="009C02B2">
      <w:pPr>
        <w:pStyle w:val="1"/>
      </w:pPr>
      <w:r w:rsidRPr="002574DA">
        <w:t>Question</w:t>
      </w:r>
      <w:r>
        <w:t xml:space="preserve"> </w:t>
      </w:r>
      <w:r w:rsidR="007764DC">
        <w:t>4</w:t>
      </w:r>
      <w:r>
        <w:t>: Exposure IoC</w:t>
      </w:r>
    </w:p>
    <w:p w14:paraId="090905D7" w14:textId="6206AD73" w:rsidR="009C02B2" w:rsidRDefault="009C02B2" w:rsidP="009C02B2">
      <w:r>
        <w:t xml:space="preserve">There </w:t>
      </w:r>
      <w:proofErr w:type="gramStart"/>
      <w:r>
        <w:t>are</w:t>
      </w:r>
      <w:proofErr w:type="gramEnd"/>
      <w:r>
        <w:t xml:space="preserve"> different view on the whether exposure IoC need to be studied in SA5.</w:t>
      </w:r>
    </w:p>
    <w:p w14:paraId="3A31B64A" w14:textId="7CE51202" w:rsidR="009C02B2" w:rsidRDefault="009C02B2" w:rsidP="009C02B2">
      <w:r w:rsidRPr="00EC6150">
        <w:rPr>
          <w:b/>
          <w:bCs/>
        </w:rPr>
        <w:t>Question</w:t>
      </w:r>
      <w:r>
        <w:t>: Whether exposure IoC</w:t>
      </w:r>
      <w:r w:rsidR="0000479D">
        <w:t xml:space="preserve"> or at least the template of exposure IoC </w:t>
      </w:r>
      <w:r>
        <w:t>needs to be studied in SA5?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7294"/>
      </w:tblGrid>
      <w:tr w:rsidR="009C02B2" w:rsidRPr="00F443B7" w14:paraId="2A3F017B" w14:textId="77777777" w:rsidTr="00A33864">
        <w:tc>
          <w:tcPr>
            <w:tcW w:w="2088" w:type="dxa"/>
            <w:shd w:val="clear" w:color="auto" w:fill="auto"/>
          </w:tcPr>
          <w:p w14:paraId="202AFCAB" w14:textId="77777777" w:rsidR="009C02B2" w:rsidRPr="00F443B7" w:rsidRDefault="009C02B2" w:rsidP="00A33864">
            <w:pPr>
              <w:rPr>
                <w:b/>
                <w:bCs/>
              </w:rPr>
            </w:pPr>
            <w:r w:rsidRPr="00F443B7">
              <w:rPr>
                <w:b/>
                <w:bCs/>
              </w:rPr>
              <w:t>Company</w:t>
            </w:r>
          </w:p>
        </w:tc>
        <w:tc>
          <w:tcPr>
            <w:tcW w:w="7488" w:type="dxa"/>
            <w:shd w:val="clear" w:color="auto" w:fill="auto"/>
          </w:tcPr>
          <w:p w14:paraId="2C2BE00C" w14:textId="77777777" w:rsidR="009C02B2" w:rsidRPr="00F443B7" w:rsidRDefault="009C02B2" w:rsidP="00A33864">
            <w:pPr>
              <w:rPr>
                <w:b/>
                <w:bCs/>
              </w:rPr>
            </w:pPr>
            <w:r w:rsidRPr="00F443B7">
              <w:rPr>
                <w:b/>
                <w:bCs/>
              </w:rPr>
              <w:t>Comments</w:t>
            </w:r>
          </w:p>
        </w:tc>
      </w:tr>
      <w:tr w:rsidR="009C02B2" w14:paraId="168175D3" w14:textId="77777777" w:rsidTr="00A33864">
        <w:tc>
          <w:tcPr>
            <w:tcW w:w="2088" w:type="dxa"/>
            <w:shd w:val="clear" w:color="auto" w:fill="auto"/>
          </w:tcPr>
          <w:p w14:paraId="4E288C59" w14:textId="7DB208F5" w:rsidR="009C02B2" w:rsidRDefault="0000479D" w:rsidP="00A33864">
            <w:pPr>
              <w:rPr>
                <w:lang w:eastAsia="zh-CN"/>
              </w:rPr>
            </w:pPr>
            <w:r>
              <w:rPr>
                <w:rFonts w:hint="eastAsia"/>
                <w:lang w:eastAsia="zh-CN"/>
              </w:rPr>
              <w:t>T</w:t>
            </w:r>
            <w:r>
              <w:rPr>
                <w:lang w:eastAsia="zh-CN"/>
              </w:rPr>
              <w:t>EF</w:t>
            </w:r>
          </w:p>
        </w:tc>
        <w:tc>
          <w:tcPr>
            <w:tcW w:w="7488" w:type="dxa"/>
            <w:shd w:val="clear" w:color="auto" w:fill="auto"/>
          </w:tcPr>
          <w:p w14:paraId="049D02CF" w14:textId="14358E0C" w:rsidR="009C02B2" w:rsidRDefault="0000479D" w:rsidP="00A33864">
            <w:pPr>
              <w:rPr>
                <w:lang w:eastAsia="zh-CN"/>
              </w:rPr>
            </w:pPr>
            <w:r>
              <w:rPr>
                <w:rFonts w:hint="eastAsia"/>
                <w:lang w:eastAsia="zh-CN"/>
              </w:rPr>
              <w:t>O</w:t>
            </w:r>
            <w:r>
              <w:rPr>
                <w:lang w:eastAsia="zh-CN"/>
              </w:rPr>
              <w:t>ut of the scope of SA5</w:t>
            </w:r>
          </w:p>
        </w:tc>
      </w:tr>
      <w:tr w:rsidR="009C02B2" w14:paraId="1367C993" w14:textId="77777777" w:rsidTr="00A33864">
        <w:tc>
          <w:tcPr>
            <w:tcW w:w="2088" w:type="dxa"/>
            <w:shd w:val="clear" w:color="auto" w:fill="auto"/>
          </w:tcPr>
          <w:p w14:paraId="7F91E316" w14:textId="7BD6B841" w:rsidR="009C02B2" w:rsidRDefault="0000479D" w:rsidP="00A33864">
            <w:pPr>
              <w:rPr>
                <w:lang w:eastAsia="zh-CN"/>
              </w:rPr>
            </w:pPr>
            <w:r>
              <w:rPr>
                <w:rFonts w:hint="eastAsia"/>
                <w:lang w:eastAsia="zh-CN"/>
              </w:rPr>
              <w:t>A</w:t>
            </w:r>
            <w:r>
              <w:rPr>
                <w:lang w:eastAsia="zh-CN"/>
              </w:rPr>
              <w:t>libaba</w:t>
            </w:r>
          </w:p>
        </w:tc>
        <w:tc>
          <w:tcPr>
            <w:tcW w:w="7488" w:type="dxa"/>
            <w:shd w:val="clear" w:color="auto" w:fill="auto"/>
          </w:tcPr>
          <w:p w14:paraId="1AC1AF1E" w14:textId="7476EDF8" w:rsidR="009C02B2" w:rsidRPr="00100990" w:rsidRDefault="00D35BC0" w:rsidP="00A33864">
            <w:pPr>
              <w:spacing w:after="0" w:line="240" w:lineRule="auto"/>
              <w:rPr>
                <w:lang w:eastAsia="zh-CN"/>
              </w:rPr>
            </w:pPr>
            <w:r w:rsidRPr="00100990">
              <w:rPr>
                <w:rFonts w:hint="eastAsia"/>
                <w:lang w:eastAsia="zh-CN"/>
              </w:rPr>
              <w:t>I</w:t>
            </w:r>
            <w:r w:rsidRPr="00100990">
              <w:rPr>
                <w:lang w:eastAsia="zh-CN"/>
              </w:rPr>
              <w:t xml:space="preserve">n the scope of SA5. </w:t>
            </w:r>
            <w:r w:rsidR="00121B49" w:rsidRPr="00100990">
              <w:rPr>
                <w:lang w:eastAsia="zh-CN"/>
              </w:rPr>
              <w:t xml:space="preserve">The </w:t>
            </w:r>
            <w:proofErr w:type="spellStart"/>
            <w:r w:rsidR="00121B49" w:rsidRPr="00100990">
              <w:rPr>
                <w:lang w:eastAsia="zh-CN"/>
              </w:rPr>
              <w:t>eMnS</w:t>
            </w:r>
            <w:proofErr w:type="spellEnd"/>
            <w:r w:rsidR="00121B49" w:rsidRPr="00100990">
              <w:rPr>
                <w:lang w:eastAsia="zh-CN"/>
              </w:rPr>
              <w:t xml:space="preserve"> regarding exposure IoC is </w:t>
            </w:r>
            <w:proofErr w:type="gramStart"/>
            <w:r w:rsidR="00121B49" w:rsidRPr="00100990">
              <w:rPr>
                <w:lang w:eastAsia="zh-CN"/>
              </w:rPr>
              <w:t>exposed  at</w:t>
            </w:r>
            <w:proofErr w:type="gramEnd"/>
            <w:r w:rsidR="00121B49" w:rsidRPr="00100990">
              <w:rPr>
                <w:lang w:eastAsia="zh-CN"/>
              </w:rPr>
              <w:t xml:space="preserve"> service management layer within OSS. Therefore, it </w:t>
            </w:r>
            <w:proofErr w:type="gramStart"/>
            <w:r w:rsidR="00121B49" w:rsidRPr="00100990">
              <w:rPr>
                <w:lang w:eastAsia="zh-CN"/>
              </w:rPr>
              <w:t>need</w:t>
            </w:r>
            <w:proofErr w:type="gramEnd"/>
            <w:r w:rsidR="00121B49" w:rsidRPr="00100990">
              <w:rPr>
                <w:lang w:eastAsia="zh-CN"/>
              </w:rPr>
              <w:t xml:space="preserve"> to be studied.</w:t>
            </w:r>
          </w:p>
        </w:tc>
      </w:tr>
      <w:tr w:rsidR="009C02B2" w14:paraId="07A52EBE" w14:textId="77777777" w:rsidTr="00A33864">
        <w:tc>
          <w:tcPr>
            <w:tcW w:w="2088" w:type="dxa"/>
            <w:shd w:val="clear" w:color="auto" w:fill="auto"/>
          </w:tcPr>
          <w:p w14:paraId="0FACBE4F" w14:textId="1C7F0A07" w:rsidR="009C02B2" w:rsidRDefault="009C02B2" w:rsidP="00A33864">
            <w:pPr>
              <w:rPr>
                <w:lang w:eastAsia="zh-CN"/>
              </w:rPr>
            </w:pPr>
          </w:p>
        </w:tc>
        <w:tc>
          <w:tcPr>
            <w:tcW w:w="7488" w:type="dxa"/>
            <w:shd w:val="clear" w:color="auto" w:fill="auto"/>
          </w:tcPr>
          <w:p w14:paraId="710D8F20" w14:textId="06FABCED" w:rsidR="00121B49" w:rsidRDefault="00121B49" w:rsidP="00121B49">
            <w:pPr>
              <w:rPr>
                <w:lang w:eastAsia="zh-CN"/>
              </w:rPr>
            </w:pPr>
          </w:p>
          <w:p w14:paraId="3038A1D5" w14:textId="6A0A17AB" w:rsidR="009C02B2" w:rsidRDefault="009C02B2" w:rsidP="00A33864">
            <w:pPr>
              <w:rPr>
                <w:lang w:eastAsia="zh-CN"/>
              </w:rPr>
            </w:pPr>
          </w:p>
        </w:tc>
      </w:tr>
      <w:tr w:rsidR="009C02B2" w14:paraId="72C9D1F9" w14:textId="77777777" w:rsidTr="00A33864">
        <w:tc>
          <w:tcPr>
            <w:tcW w:w="2088" w:type="dxa"/>
            <w:shd w:val="clear" w:color="auto" w:fill="auto"/>
          </w:tcPr>
          <w:p w14:paraId="66FED1A3" w14:textId="5DBBAADE" w:rsidR="009C02B2" w:rsidRDefault="009C02B2" w:rsidP="00A33864">
            <w:pPr>
              <w:rPr>
                <w:lang w:eastAsia="zh-CN"/>
              </w:rPr>
            </w:pPr>
          </w:p>
        </w:tc>
        <w:tc>
          <w:tcPr>
            <w:tcW w:w="7488" w:type="dxa"/>
            <w:shd w:val="clear" w:color="auto" w:fill="auto"/>
          </w:tcPr>
          <w:p w14:paraId="58BD5745" w14:textId="7732ADAD" w:rsidR="009C02B2" w:rsidRDefault="009C02B2" w:rsidP="00A33864">
            <w:pPr>
              <w:rPr>
                <w:lang w:eastAsia="zh-CN"/>
              </w:rPr>
            </w:pPr>
          </w:p>
        </w:tc>
      </w:tr>
      <w:tr w:rsidR="009C02B2" w14:paraId="36CBB76D" w14:textId="77777777" w:rsidTr="00A33864">
        <w:tc>
          <w:tcPr>
            <w:tcW w:w="2088" w:type="dxa"/>
            <w:shd w:val="clear" w:color="auto" w:fill="auto"/>
          </w:tcPr>
          <w:p w14:paraId="43892A7A" w14:textId="77777777" w:rsidR="009C02B2" w:rsidRDefault="009C02B2" w:rsidP="00A33864">
            <w:pPr>
              <w:rPr>
                <w:lang w:eastAsia="zh-CN"/>
              </w:rPr>
            </w:pPr>
          </w:p>
        </w:tc>
        <w:tc>
          <w:tcPr>
            <w:tcW w:w="7488" w:type="dxa"/>
            <w:shd w:val="clear" w:color="auto" w:fill="auto"/>
          </w:tcPr>
          <w:p w14:paraId="002F6F41" w14:textId="77777777" w:rsidR="009C02B2" w:rsidRDefault="009C02B2" w:rsidP="00A33864"/>
        </w:tc>
      </w:tr>
      <w:tr w:rsidR="009C02B2" w14:paraId="2115FCF4" w14:textId="77777777" w:rsidTr="00A33864">
        <w:tc>
          <w:tcPr>
            <w:tcW w:w="2088" w:type="dxa"/>
            <w:shd w:val="clear" w:color="auto" w:fill="auto"/>
          </w:tcPr>
          <w:p w14:paraId="4048ADE3" w14:textId="77777777" w:rsidR="009C02B2" w:rsidRDefault="009C02B2" w:rsidP="00A33864"/>
        </w:tc>
        <w:tc>
          <w:tcPr>
            <w:tcW w:w="7488" w:type="dxa"/>
            <w:shd w:val="clear" w:color="auto" w:fill="auto"/>
          </w:tcPr>
          <w:p w14:paraId="3F43A4CC" w14:textId="77777777" w:rsidR="009C02B2" w:rsidRDefault="009C02B2" w:rsidP="00A33864"/>
        </w:tc>
      </w:tr>
      <w:tr w:rsidR="009C02B2" w14:paraId="00ED8B3D" w14:textId="77777777" w:rsidTr="00A33864">
        <w:tc>
          <w:tcPr>
            <w:tcW w:w="2088" w:type="dxa"/>
            <w:shd w:val="clear" w:color="auto" w:fill="auto"/>
          </w:tcPr>
          <w:p w14:paraId="6395E41F" w14:textId="77777777" w:rsidR="009C02B2" w:rsidRDefault="009C02B2" w:rsidP="00A33864"/>
        </w:tc>
        <w:tc>
          <w:tcPr>
            <w:tcW w:w="7488" w:type="dxa"/>
            <w:shd w:val="clear" w:color="auto" w:fill="auto"/>
          </w:tcPr>
          <w:p w14:paraId="085D5E0B" w14:textId="77777777" w:rsidR="009C02B2" w:rsidRDefault="009C02B2" w:rsidP="00A33864"/>
        </w:tc>
      </w:tr>
      <w:tr w:rsidR="009C02B2" w14:paraId="28EF7C4D" w14:textId="77777777" w:rsidTr="00A33864">
        <w:tc>
          <w:tcPr>
            <w:tcW w:w="2088" w:type="dxa"/>
            <w:shd w:val="clear" w:color="auto" w:fill="auto"/>
          </w:tcPr>
          <w:p w14:paraId="34036253" w14:textId="77777777" w:rsidR="009C02B2" w:rsidRDefault="009C02B2" w:rsidP="00A33864"/>
        </w:tc>
        <w:tc>
          <w:tcPr>
            <w:tcW w:w="7488" w:type="dxa"/>
            <w:shd w:val="clear" w:color="auto" w:fill="auto"/>
          </w:tcPr>
          <w:p w14:paraId="00DFE8B8" w14:textId="77777777" w:rsidR="009C02B2" w:rsidRDefault="009C02B2" w:rsidP="00A33864"/>
        </w:tc>
      </w:tr>
      <w:tr w:rsidR="009C02B2" w14:paraId="1828F696" w14:textId="77777777" w:rsidTr="00A33864">
        <w:tc>
          <w:tcPr>
            <w:tcW w:w="2088" w:type="dxa"/>
            <w:shd w:val="clear" w:color="auto" w:fill="auto"/>
          </w:tcPr>
          <w:p w14:paraId="06806092" w14:textId="77777777" w:rsidR="009C02B2" w:rsidRDefault="009C02B2" w:rsidP="00A33864"/>
        </w:tc>
        <w:tc>
          <w:tcPr>
            <w:tcW w:w="7488" w:type="dxa"/>
            <w:shd w:val="clear" w:color="auto" w:fill="auto"/>
          </w:tcPr>
          <w:p w14:paraId="0605660F" w14:textId="77777777" w:rsidR="009C02B2" w:rsidRDefault="009C02B2" w:rsidP="00A33864"/>
        </w:tc>
      </w:tr>
    </w:tbl>
    <w:p w14:paraId="73932B0B" w14:textId="195F8EFC" w:rsidR="009C02B2" w:rsidRDefault="009C02B2" w:rsidP="007764DC">
      <w:pPr>
        <w:rPr>
          <w:lang w:eastAsia="zh-CN"/>
        </w:rPr>
      </w:pPr>
      <w:r>
        <w:rPr>
          <w:lang w:eastAsia="zh-CN"/>
        </w:rPr>
        <w:t xml:space="preserve"> </w:t>
      </w:r>
    </w:p>
    <w:p w14:paraId="22B870D2" w14:textId="77777777" w:rsidR="009C02B2" w:rsidRDefault="009C02B2" w:rsidP="002574DA"/>
    <w:p w14:paraId="2EB44A24" w14:textId="77777777" w:rsidR="002574DA" w:rsidRDefault="002574DA" w:rsidP="00243488">
      <w:pPr>
        <w:pStyle w:val="1"/>
        <w:numPr>
          <w:ilvl w:val="0"/>
          <w:numId w:val="12"/>
        </w:numPr>
      </w:pPr>
      <w:r>
        <w:t>Proposed Conclusions</w:t>
      </w:r>
    </w:p>
    <w:p w14:paraId="558D051E" w14:textId="3ECAD1B5" w:rsidR="002574DA" w:rsidRPr="002574DA" w:rsidRDefault="002574DA" w:rsidP="002574DA">
      <w:r>
        <w:t xml:space="preserve">The proposed conclusions will be used to </w:t>
      </w:r>
      <w:r w:rsidR="00875607">
        <w:t>identify the gaps for network exposure</w:t>
      </w:r>
      <w:r>
        <w:t>.</w:t>
      </w:r>
    </w:p>
    <w:p w14:paraId="1E0A3906" w14:textId="77777777" w:rsidR="002574DA" w:rsidRPr="002574DA" w:rsidRDefault="002574DA" w:rsidP="002574DA">
      <w:r>
        <w:t xml:space="preserve">&lt;conclusion </w:t>
      </w:r>
      <w:r w:rsidR="008160AB">
        <w:t>X</w:t>
      </w:r>
      <w:r>
        <w:t>&gt;</w:t>
      </w:r>
    </w:p>
    <w:p w14:paraId="093A6EF4" w14:textId="77777777" w:rsidR="002574DA" w:rsidRPr="002574DA" w:rsidRDefault="002574DA" w:rsidP="002574DA">
      <w:r>
        <w:t xml:space="preserve">&lt;conclusion </w:t>
      </w:r>
      <w:r w:rsidR="008160AB">
        <w:t>X</w:t>
      </w:r>
      <w:r>
        <w:t>&gt;</w:t>
      </w:r>
    </w:p>
    <w:p w14:paraId="21BF3CF7" w14:textId="77777777" w:rsidR="002574DA" w:rsidRPr="002574DA" w:rsidRDefault="002574DA" w:rsidP="002574DA">
      <w:r>
        <w:t xml:space="preserve">&lt;conclusion </w:t>
      </w:r>
      <w:r w:rsidR="008160AB">
        <w:t>X</w:t>
      </w:r>
      <w:r>
        <w:t>&gt;</w:t>
      </w:r>
    </w:p>
    <w:p w14:paraId="40929DA8" w14:textId="77777777" w:rsidR="002574DA" w:rsidRPr="002574DA" w:rsidRDefault="002574DA" w:rsidP="002574DA">
      <w:r>
        <w:t xml:space="preserve">&lt;conclusion </w:t>
      </w:r>
      <w:r w:rsidR="008160AB">
        <w:t>X</w:t>
      </w:r>
      <w:r>
        <w:t>&gt;</w:t>
      </w:r>
    </w:p>
    <w:p w14:paraId="53B70C46" w14:textId="77777777" w:rsidR="002574DA" w:rsidRPr="002574DA" w:rsidRDefault="002574DA" w:rsidP="002574DA">
      <w:r>
        <w:t xml:space="preserve">&lt;conclusion </w:t>
      </w:r>
      <w:r w:rsidR="008160AB">
        <w:t>X</w:t>
      </w:r>
      <w:r>
        <w:t>&gt;</w:t>
      </w:r>
    </w:p>
    <w:p w14:paraId="305EB5E4" w14:textId="77777777" w:rsidR="002574DA" w:rsidRDefault="002574DA"/>
    <w:p w14:paraId="3C74CB36" w14:textId="77777777" w:rsidR="002574DA" w:rsidRDefault="002574DA"/>
    <w:sectPr w:rsidR="002574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ADFCE" w14:textId="77777777" w:rsidR="00D74D92" w:rsidRDefault="00D74D92" w:rsidP="005A6D8E">
      <w:pPr>
        <w:spacing w:after="0" w:line="240" w:lineRule="auto"/>
      </w:pPr>
      <w:r>
        <w:separator/>
      </w:r>
    </w:p>
  </w:endnote>
  <w:endnote w:type="continuationSeparator" w:id="0">
    <w:p w14:paraId="0F846D35" w14:textId="77777777" w:rsidR="00D74D92" w:rsidRDefault="00D74D92" w:rsidP="005A6D8E">
      <w:pPr>
        <w:spacing w:after="0" w:line="240" w:lineRule="auto"/>
      </w:pPr>
      <w:r>
        <w:continuationSeparator/>
      </w:r>
    </w:p>
  </w:endnote>
  <w:endnote w:type="continuationNotice" w:id="1">
    <w:p w14:paraId="4A364C4D" w14:textId="77777777" w:rsidR="00D74D92" w:rsidRDefault="00D74D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48E46" w14:textId="77777777" w:rsidR="00D74D92" w:rsidRDefault="00D74D92" w:rsidP="005A6D8E">
      <w:pPr>
        <w:spacing w:after="0" w:line="240" w:lineRule="auto"/>
      </w:pPr>
      <w:r>
        <w:separator/>
      </w:r>
    </w:p>
  </w:footnote>
  <w:footnote w:type="continuationSeparator" w:id="0">
    <w:p w14:paraId="4ECDEDA7" w14:textId="77777777" w:rsidR="00D74D92" w:rsidRDefault="00D74D92" w:rsidP="005A6D8E">
      <w:pPr>
        <w:spacing w:after="0" w:line="240" w:lineRule="auto"/>
      </w:pPr>
      <w:r>
        <w:continuationSeparator/>
      </w:r>
    </w:p>
  </w:footnote>
  <w:footnote w:type="continuationNotice" w:id="1">
    <w:p w14:paraId="520CDEEC" w14:textId="77777777" w:rsidR="00D74D92" w:rsidRDefault="00D74D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4546"/>
    <w:multiLevelType w:val="hybridMultilevel"/>
    <w:tmpl w:val="03B8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338C0"/>
    <w:multiLevelType w:val="hybridMultilevel"/>
    <w:tmpl w:val="0A083732"/>
    <w:lvl w:ilvl="0" w:tplc="E9CE0BC0">
      <w:start w:val="1"/>
      <w:numFmt w:val="lowerLetter"/>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A30CF"/>
    <w:multiLevelType w:val="hybridMultilevel"/>
    <w:tmpl w:val="03B8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6118D"/>
    <w:multiLevelType w:val="hybridMultilevel"/>
    <w:tmpl w:val="3E7CA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0342"/>
    <w:multiLevelType w:val="hybridMultilevel"/>
    <w:tmpl w:val="03B8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E1706"/>
    <w:multiLevelType w:val="hybridMultilevel"/>
    <w:tmpl w:val="DB027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13003"/>
    <w:multiLevelType w:val="hybridMultilevel"/>
    <w:tmpl w:val="E500D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D5FDC"/>
    <w:multiLevelType w:val="hybridMultilevel"/>
    <w:tmpl w:val="03B8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9176E"/>
    <w:multiLevelType w:val="hybridMultilevel"/>
    <w:tmpl w:val="03B8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D20F5"/>
    <w:multiLevelType w:val="hybridMultilevel"/>
    <w:tmpl w:val="03B8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FF5D04"/>
    <w:multiLevelType w:val="hybridMultilevel"/>
    <w:tmpl w:val="D96E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B6661"/>
    <w:multiLevelType w:val="hybridMultilevel"/>
    <w:tmpl w:val="DB027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164F2"/>
    <w:multiLevelType w:val="hybridMultilevel"/>
    <w:tmpl w:val="DB027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007149"/>
    <w:multiLevelType w:val="hybridMultilevel"/>
    <w:tmpl w:val="12DCD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3"/>
  </w:num>
  <w:num w:numId="4">
    <w:abstractNumId w:val="4"/>
  </w:num>
  <w:num w:numId="5">
    <w:abstractNumId w:val="8"/>
  </w:num>
  <w:num w:numId="6">
    <w:abstractNumId w:val="0"/>
  </w:num>
  <w:num w:numId="7">
    <w:abstractNumId w:val="2"/>
  </w:num>
  <w:num w:numId="8">
    <w:abstractNumId w:val="7"/>
  </w:num>
  <w:num w:numId="9">
    <w:abstractNumId w:val="6"/>
  </w:num>
  <w:num w:numId="10">
    <w:abstractNumId w:val="13"/>
  </w:num>
  <w:num w:numId="11">
    <w:abstractNumId w:val="9"/>
  </w:num>
  <w:num w:numId="12">
    <w:abstractNumId w:val="12"/>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5F"/>
    <w:rsid w:val="000010CA"/>
    <w:rsid w:val="0000479D"/>
    <w:rsid w:val="00025033"/>
    <w:rsid w:val="000268E6"/>
    <w:rsid w:val="000561CC"/>
    <w:rsid w:val="00060C24"/>
    <w:rsid w:val="00070348"/>
    <w:rsid w:val="000737D6"/>
    <w:rsid w:val="00091315"/>
    <w:rsid w:val="00096E3C"/>
    <w:rsid w:val="000A634B"/>
    <w:rsid w:val="000B1202"/>
    <w:rsid w:val="000B3012"/>
    <w:rsid w:val="000B5160"/>
    <w:rsid w:val="000C599A"/>
    <w:rsid w:val="000D379A"/>
    <w:rsid w:val="000E5156"/>
    <w:rsid w:val="000F10DC"/>
    <w:rsid w:val="000F21A7"/>
    <w:rsid w:val="000F7325"/>
    <w:rsid w:val="00100990"/>
    <w:rsid w:val="00115B6C"/>
    <w:rsid w:val="00120C7E"/>
    <w:rsid w:val="00121B49"/>
    <w:rsid w:val="00123C48"/>
    <w:rsid w:val="00147E01"/>
    <w:rsid w:val="00165161"/>
    <w:rsid w:val="00165C77"/>
    <w:rsid w:val="00171369"/>
    <w:rsid w:val="001763BA"/>
    <w:rsid w:val="00184C04"/>
    <w:rsid w:val="001916A2"/>
    <w:rsid w:val="00195AAD"/>
    <w:rsid w:val="001A057C"/>
    <w:rsid w:val="001C0E2A"/>
    <w:rsid w:val="001D2A77"/>
    <w:rsid w:val="001E0BF8"/>
    <w:rsid w:val="001E33FD"/>
    <w:rsid w:val="001E5330"/>
    <w:rsid w:val="002225FB"/>
    <w:rsid w:val="00233617"/>
    <w:rsid w:val="00243488"/>
    <w:rsid w:val="00245B5F"/>
    <w:rsid w:val="0024759D"/>
    <w:rsid w:val="00251975"/>
    <w:rsid w:val="002574DA"/>
    <w:rsid w:val="0026357D"/>
    <w:rsid w:val="0027004A"/>
    <w:rsid w:val="0028334A"/>
    <w:rsid w:val="002837A6"/>
    <w:rsid w:val="002A6065"/>
    <w:rsid w:val="002C39C0"/>
    <w:rsid w:val="002C4947"/>
    <w:rsid w:val="002D3C45"/>
    <w:rsid w:val="002D62D9"/>
    <w:rsid w:val="002E6214"/>
    <w:rsid w:val="003105EE"/>
    <w:rsid w:val="00325753"/>
    <w:rsid w:val="003322BB"/>
    <w:rsid w:val="00381403"/>
    <w:rsid w:val="00386D81"/>
    <w:rsid w:val="003977D2"/>
    <w:rsid w:val="003A02A5"/>
    <w:rsid w:val="003A7CE9"/>
    <w:rsid w:val="003D5E0D"/>
    <w:rsid w:val="003F5887"/>
    <w:rsid w:val="0040115C"/>
    <w:rsid w:val="00410924"/>
    <w:rsid w:val="004170A2"/>
    <w:rsid w:val="00427C84"/>
    <w:rsid w:val="00450245"/>
    <w:rsid w:val="0045499D"/>
    <w:rsid w:val="00466D74"/>
    <w:rsid w:val="004917D6"/>
    <w:rsid w:val="004B1BF3"/>
    <w:rsid w:val="004B1CA1"/>
    <w:rsid w:val="004B3108"/>
    <w:rsid w:val="004E78A6"/>
    <w:rsid w:val="0051783C"/>
    <w:rsid w:val="00527733"/>
    <w:rsid w:val="0052786C"/>
    <w:rsid w:val="00547D19"/>
    <w:rsid w:val="00551A51"/>
    <w:rsid w:val="005704C5"/>
    <w:rsid w:val="005746A7"/>
    <w:rsid w:val="00574B42"/>
    <w:rsid w:val="00576D19"/>
    <w:rsid w:val="00586E36"/>
    <w:rsid w:val="00591068"/>
    <w:rsid w:val="005A11A9"/>
    <w:rsid w:val="005A6D8E"/>
    <w:rsid w:val="005B7297"/>
    <w:rsid w:val="005C4719"/>
    <w:rsid w:val="005D42E3"/>
    <w:rsid w:val="005D672A"/>
    <w:rsid w:val="005E4DFE"/>
    <w:rsid w:val="005F3980"/>
    <w:rsid w:val="00607829"/>
    <w:rsid w:val="00610721"/>
    <w:rsid w:val="00612B01"/>
    <w:rsid w:val="00620E13"/>
    <w:rsid w:val="00621D03"/>
    <w:rsid w:val="00623AAD"/>
    <w:rsid w:val="006311DB"/>
    <w:rsid w:val="00631B37"/>
    <w:rsid w:val="0063307B"/>
    <w:rsid w:val="00633666"/>
    <w:rsid w:val="00640242"/>
    <w:rsid w:val="006443B7"/>
    <w:rsid w:val="006500D9"/>
    <w:rsid w:val="00683F90"/>
    <w:rsid w:val="006840B5"/>
    <w:rsid w:val="00695EA7"/>
    <w:rsid w:val="006C23B5"/>
    <w:rsid w:val="006C3CEB"/>
    <w:rsid w:val="006E1586"/>
    <w:rsid w:val="006E1AEF"/>
    <w:rsid w:val="006F4145"/>
    <w:rsid w:val="00712971"/>
    <w:rsid w:val="0072425E"/>
    <w:rsid w:val="00735992"/>
    <w:rsid w:val="00736338"/>
    <w:rsid w:val="00743397"/>
    <w:rsid w:val="00744003"/>
    <w:rsid w:val="0075357E"/>
    <w:rsid w:val="00753ADA"/>
    <w:rsid w:val="007633B5"/>
    <w:rsid w:val="00770C54"/>
    <w:rsid w:val="007764DC"/>
    <w:rsid w:val="007766D2"/>
    <w:rsid w:val="00783981"/>
    <w:rsid w:val="00791FBB"/>
    <w:rsid w:val="00793A32"/>
    <w:rsid w:val="00795578"/>
    <w:rsid w:val="00796D7C"/>
    <w:rsid w:val="007A2F38"/>
    <w:rsid w:val="007A5E5A"/>
    <w:rsid w:val="007B7508"/>
    <w:rsid w:val="007C2B6A"/>
    <w:rsid w:val="007D6068"/>
    <w:rsid w:val="007E0B9A"/>
    <w:rsid w:val="007E0BC7"/>
    <w:rsid w:val="007E2980"/>
    <w:rsid w:val="007E7F11"/>
    <w:rsid w:val="00815A4E"/>
    <w:rsid w:val="008160AB"/>
    <w:rsid w:val="00821E4D"/>
    <w:rsid w:val="00826FD7"/>
    <w:rsid w:val="008540C1"/>
    <w:rsid w:val="00860654"/>
    <w:rsid w:val="00875607"/>
    <w:rsid w:val="008768AD"/>
    <w:rsid w:val="008830CC"/>
    <w:rsid w:val="008846D5"/>
    <w:rsid w:val="00885C95"/>
    <w:rsid w:val="00887FAF"/>
    <w:rsid w:val="00896046"/>
    <w:rsid w:val="008B7D02"/>
    <w:rsid w:val="008C64DC"/>
    <w:rsid w:val="008E0A84"/>
    <w:rsid w:val="0091012B"/>
    <w:rsid w:val="00926782"/>
    <w:rsid w:val="00942398"/>
    <w:rsid w:val="00951DA3"/>
    <w:rsid w:val="00963E56"/>
    <w:rsid w:val="00970832"/>
    <w:rsid w:val="00977C06"/>
    <w:rsid w:val="00987215"/>
    <w:rsid w:val="00987F74"/>
    <w:rsid w:val="00994B40"/>
    <w:rsid w:val="0099780E"/>
    <w:rsid w:val="009A2715"/>
    <w:rsid w:val="009A60B5"/>
    <w:rsid w:val="009B0B32"/>
    <w:rsid w:val="009C02B2"/>
    <w:rsid w:val="009C6862"/>
    <w:rsid w:val="009C6BE8"/>
    <w:rsid w:val="009D28D7"/>
    <w:rsid w:val="009E4A1D"/>
    <w:rsid w:val="009E5C0E"/>
    <w:rsid w:val="009F0B3D"/>
    <w:rsid w:val="009F400B"/>
    <w:rsid w:val="00A010EC"/>
    <w:rsid w:val="00A05EDC"/>
    <w:rsid w:val="00A17751"/>
    <w:rsid w:val="00A20CEA"/>
    <w:rsid w:val="00A23AF2"/>
    <w:rsid w:val="00A50A85"/>
    <w:rsid w:val="00A67AC4"/>
    <w:rsid w:val="00A747A8"/>
    <w:rsid w:val="00AA1F0F"/>
    <w:rsid w:val="00AA5698"/>
    <w:rsid w:val="00AA654D"/>
    <w:rsid w:val="00AB03D2"/>
    <w:rsid w:val="00AB4B18"/>
    <w:rsid w:val="00AB52A7"/>
    <w:rsid w:val="00AB67BC"/>
    <w:rsid w:val="00AC6177"/>
    <w:rsid w:val="00AD56B3"/>
    <w:rsid w:val="00AE4FA7"/>
    <w:rsid w:val="00AF3C94"/>
    <w:rsid w:val="00B007CD"/>
    <w:rsid w:val="00B114C6"/>
    <w:rsid w:val="00B20DB2"/>
    <w:rsid w:val="00B46B11"/>
    <w:rsid w:val="00B62498"/>
    <w:rsid w:val="00B62773"/>
    <w:rsid w:val="00B978E6"/>
    <w:rsid w:val="00BB01D8"/>
    <w:rsid w:val="00BC3D09"/>
    <w:rsid w:val="00BC41C1"/>
    <w:rsid w:val="00BD1C1C"/>
    <w:rsid w:val="00BD3624"/>
    <w:rsid w:val="00BE0877"/>
    <w:rsid w:val="00C0744E"/>
    <w:rsid w:val="00C10F43"/>
    <w:rsid w:val="00C2759E"/>
    <w:rsid w:val="00C278B3"/>
    <w:rsid w:val="00C3533B"/>
    <w:rsid w:val="00C448DF"/>
    <w:rsid w:val="00C64496"/>
    <w:rsid w:val="00C70D40"/>
    <w:rsid w:val="00C7676E"/>
    <w:rsid w:val="00C941A0"/>
    <w:rsid w:val="00C95864"/>
    <w:rsid w:val="00CA3D8F"/>
    <w:rsid w:val="00CA548E"/>
    <w:rsid w:val="00CB2CB4"/>
    <w:rsid w:val="00CC2890"/>
    <w:rsid w:val="00CD270D"/>
    <w:rsid w:val="00CD5313"/>
    <w:rsid w:val="00CF0EAD"/>
    <w:rsid w:val="00CF36FB"/>
    <w:rsid w:val="00CF5F14"/>
    <w:rsid w:val="00CF76A1"/>
    <w:rsid w:val="00D01063"/>
    <w:rsid w:val="00D1160E"/>
    <w:rsid w:val="00D27DE3"/>
    <w:rsid w:val="00D359E8"/>
    <w:rsid w:val="00D35BC0"/>
    <w:rsid w:val="00D540C5"/>
    <w:rsid w:val="00D57CE3"/>
    <w:rsid w:val="00D74D92"/>
    <w:rsid w:val="00D81DF7"/>
    <w:rsid w:val="00DA280B"/>
    <w:rsid w:val="00DC2E9F"/>
    <w:rsid w:val="00DE716D"/>
    <w:rsid w:val="00DF7675"/>
    <w:rsid w:val="00E0351B"/>
    <w:rsid w:val="00E11356"/>
    <w:rsid w:val="00E11750"/>
    <w:rsid w:val="00E14021"/>
    <w:rsid w:val="00E400FA"/>
    <w:rsid w:val="00E5070B"/>
    <w:rsid w:val="00E515A5"/>
    <w:rsid w:val="00E570F4"/>
    <w:rsid w:val="00E731B8"/>
    <w:rsid w:val="00E77933"/>
    <w:rsid w:val="00E853B0"/>
    <w:rsid w:val="00E87C10"/>
    <w:rsid w:val="00E9231D"/>
    <w:rsid w:val="00EA21A0"/>
    <w:rsid w:val="00EC6150"/>
    <w:rsid w:val="00ED1671"/>
    <w:rsid w:val="00ED582A"/>
    <w:rsid w:val="00F16B4C"/>
    <w:rsid w:val="00F2414B"/>
    <w:rsid w:val="00F443B7"/>
    <w:rsid w:val="00F573F4"/>
    <w:rsid w:val="00F621D6"/>
    <w:rsid w:val="00F66A46"/>
    <w:rsid w:val="00F70E16"/>
    <w:rsid w:val="00F71DE8"/>
    <w:rsid w:val="00F7216E"/>
    <w:rsid w:val="00F91E78"/>
    <w:rsid w:val="00F93FE5"/>
    <w:rsid w:val="00FC4B56"/>
    <w:rsid w:val="00FD56F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17468"/>
  <w15:chartTrackingRefBased/>
  <w15:docId w15:val="{83D441E6-A4C6-492A-887E-1AE4A8A5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paragraph" w:styleId="1">
    <w:name w:val="heading 1"/>
    <w:basedOn w:val="a"/>
    <w:next w:val="a"/>
    <w:link w:val="10"/>
    <w:uiPriority w:val="9"/>
    <w:qFormat/>
    <w:rsid w:val="002574DA"/>
    <w:pPr>
      <w:keepNext/>
      <w:spacing w:before="240" w:after="60"/>
      <w:outlineLvl w:val="0"/>
    </w:pPr>
    <w:rPr>
      <w:rFonts w:ascii="Calibri Light" w:eastAsia="Times New Roman"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2574DA"/>
    <w:rPr>
      <w:rFonts w:ascii="Calibri Light" w:eastAsia="Times New Roman" w:hAnsi="Calibri Light" w:cs="Times New Roman"/>
      <w:b/>
      <w:bCs/>
      <w:kern w:val="32"/>
      <w:sz w:val="32"/>
      <w:szCs w:val="32"/>
    </w:rPr>
  </w:style>
  <w:style w:type="table" w:styleId="a3">
    <w:name w:val="Table Grid"/>
    <w:basedOn w:val="a1"/>
    <w:uiPriority w:val="39"/>
    <w:rsid w:val="00257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
    <w:link w:val="NOChar"/>
    <w:qFormat/>
    <w:rsid w:val="009F0B3D"/>
    <w:pPr>
      <w:keepLines/>
      <w:spacing w:after="180" w:line="240" w:lineRule="auto"/>
      <w:ind w:left="1135" w:hanging="851"/>
      <w:jc w:val="both"/>
    </w:pPr>
    <w:rPr>
      <w:rFonts w:ascii="Times New Roman" w:eastAsia="Malgun Gothic" w:hAnsi="Times New Roman"/>
      <w:sz w:val="20"/>
      <w:szCs w:val="20"/>
      <w:lang w:val="x-none"/>
    </w:rPr>
  </w:style>
  <w:style w:type="character" w:customStyle="1" w:styleId="NOChar">
    <w:name w:val="NO Char"/>
    <w:link w:val="NO"/>
    <w:rsid w:val="009F0B3D"/>
    <w:rPr>
      <w:rFonts w:ascii="Times New Roman" w:eastAsia="Malgun Gothic" w:hAnsi="Times New Roman"/>
      <w:lang w:val="x-none"/>
    </w:rPr>
  </w:style>
  <w:style w:type="paragraph" w:styleId="a4">
    <w:name w:val="Balloon Text"/>
    <w:basedOn w:val="a"/>
    <w:link w:val="a5"/>
    <w:uiPriority w:val="99"/>
    <w:semiHidden/>
    <w:unhideWhenUsed/>
    <w:rsid w:val="0063307B"/>
    <w:pPr>
      <w:spacing w:after="0" w:line="240" w:lineRule="auto"/>
    </w:pPr>
    <w:rPr>
      <w:rFonts w:ascii="Segoe UI" w:hAnsi="Segoe UI" w:cs="Segoe UI"/>
      <w:sz w:val="18"/>
      <w:szCs w:val="18"/>
    </w:rPr>
  </w:style>
  <w:style w:type="character" w:customStyle="1" w:styleId="a5">
    <w:name w:val="批注框文本 字符"/>
    <w:link w:val="a4"/>
    <w:uiPriority w:val="99"/>
    <w:semiHidden/>
    <w:rsid w:val="0063307B"/>
    <w:rPr>
      <w:rFonts w:ascii="Segoe UI" w:hAnsi="Segoe UI" w:cs="Segoe UI"/>
      <w:sz w:val="18"/>
      <w:szCs w:val="18"/>
    </w:rPr>
  </w:style>
  <w:style w:type="character" w:styleId="a6">
    <w:name w:val="Hyperlink"/>
    <w:basedOn w:val="a0"/>
    <w:uiPriority w:val="99"/>
    <w:unhideWhenUsed/>
    <w:rsid w:val="00243488"/>
    <w:rPr>
      <w:color w:val="0563C1" w:themeColor="hyperlink"/>
      <w:u w:val="single"/>
    </w:rPr>
  </w:style>
  <w:style w:type="character" w:styleId="a7">
    <w:name w:val="Unresolved Mention"/>
    <w:basedOn w:val="a0"/>
    <w:uiPriority w:val="99"/>
    <w:semiHidden/>
    <w:unhideWhenUsed/>
    <w:rsid w:val="00243488"/>
    <w:rPr>
      <w:color w:val="605E5C"/>
      <w:shd w:val="clear" w:color="auto" w:fill="E1DFDD"/>
    </w:rPr>
  </w:style>
  <w:style w:type="character" w:styleId="a8">
    <w:name w:val="annotation reference"/>
    <w:uiPriority w:val="99"/>
    <w:semiHidden/>
    <w:unhideWhenUsed/>
    <w:rsid w:val="002C39C0"/>
    <w:rPr>
      <w:sz w:val="16"/>
      <w:szCs w:val="16"/>
    </w:rPr>
  </w:style>
  <w:style w:type="paragraph" w:styleId="a9">
    <w:name w:val="annotation text"/>
    <w:basedOn w:val="a"/>
    <w:link w:val="aa"/>
    <w:uiPriority w:val="99"/>
    <w:semiHidden/>
    <w:unhideWhenUsed/>
    <w:rsid w:val="002C39C0"/>
    <w:rPr>
      <w:sz w:val="20"/>
      <w:szCs w:val="20"/>
      <w:lang w:val="sv-SE" w:eastAsia="sv-SE"/>
    </w:rPr>
  </w:style>
  <w:style w:type="character" w:customStyle="1" w:styleId="aa">
    <w:name w:val="批注文字 字符"/>
    <w:basedOn w:val="a0"/>
    <w:link w:val="a9"/>
    <w:uiPriority w:val="99"/>
    <w:semiHidden/>
    <w:rsid w:val="002C39C0"/>
  </w:style>
  <w:style w:type="paragraph" w:styleId="ab">
    <w:name w:val="header"/>
    <w:basedOn w:val="a"/>
    <w:link w:val="ac"/>
    <w:uiPriority w:val="99"/>
    <w:semiHidden/>
    <w:unhideWhenUsed/>
    <w:rsid w:val="0024759D"/>
    <w:pPr>
      <w:tabs>
        <w:tab w:val="center" w:pos="4513"/>
        <w:tab w:val="right" w:pos="9026"/>
      </w:tabs>
      <w:spacing w:after="0" w:line="240" w:lineRule="auto"/>
    </w:pPr>
  </w:style>
  <w:style w:type="character" w:customStyle="1" w:styleId="ac">
    <w:name w:val="页眉 字符"/>
    <w:basedOn w:val="a0"/>
    <w:link w:val="ab"/>
    <w:uiPriority w:val="99"/>
    <w:semiHidden/>
    <w:rsid w:val="0024759D"/>
    <w:rPr>
      <w:sz w:val="22"/>
      <w:szCs w:val="22"/>
      <w:lang w:val="en-US" w:eastAsia="en-US"/>
    </w:rPr>
  </w:style>
  <w:style w:type="paragraph" w:styleId="ad">
    <w:name w:val="footer"/>
    <w:basedOn w:val="a"/>
    <w:link w:val="ae"/>
    <w:uiPriority w:val="99"/>
    <w:semiHidden/>
    <w:unhideWhenUsed/>
    <w:rsid w:val="0024759D"/>
    <w:pPr>
      <w:tabs>
        <w:tab w:val="center" w:pos="4513"/>
        <w:tab w:val="right" w:pos="9026"/>
      </w:tabs>
      <w:spacing w:after="0" w:line="240" w:lineRule="auto"/>
    </w:pPr>
  </w:style>
  <w:style w:type="character" w:customStyle="1" w:styleId="ae">
    <w:name w:val="页脚 字符"/>
    <w:basedOn w:val="a0"/>
    <w:link w:val="ad"/>
    <w:uiPriority w:val="99"/>
    <w:semiHidden/>
    <w:rsid w:val="0024759D"/>
    <w:rPr>
      <w:sz w:val="22"/>
      <w:szCs w:val="22"/>
      <w:lang w:val="en-US" w:eastAsia="en-US"/>
    </w:rPr>
  </w:style>
  <w:style w:type="paragraph" w:styleId="af">
    <w:name w:val="annotation subject"/>
    <w:basedOn w:val="a9"/>
    <w:next w:val="a9"/>
    <w:link w:val="af0"/>
    <w:uiPriority w:val="99"/>
    <w:semiHidden/>
    <w:unhideWhenUsed/>
    <w:rsid w:val="00C7676E"/>
    <w:rPr>
      <w:b/>
      <w:bCs/>
      <w:sz w:val="22"/>
      <w:szCs w:val="22"/>
      <w:lang w:val="en-US" w:eastAsia="en-US"/>
    </w:rPr>
  </w:style>
  <w:style w:type="character" w:customStyle="1" w:styleId="af0">
    <w:name w:val="批注主题 字符"/>
    <w:basedOn w:val="aa"/>
    <w:link w:val="af"/>
    <w:uiPriority w:val="99"/>
    <w:semiHidden/>
    <w:rsid w:val="00C7676E"/>
    <w:rPr>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2253">
      <w:bodyDiv w:val="1"/>
      <w:marLeft w:val="0"/>
      <w:marRight w:val="0"/>
      <w:marTop w:val="0"/>
      <w:marBottom w:val="0"/>
      <w:divBdr>
        <w:top w:val="none" w:sz="0" w:space="0" w:color="auto"/>
        <w:left w:val="none" w:sz="0" w:space="0" w:color="auto"/>
        <w:bottom w:val="none" w:sz="0" w:space="0" w:color="auto"/>
        <w:right w:val="none" w:sz="0" w:space="0" w:color="auto"/>
      </w:divBdr>
      <w:divsChild>
        <w:div w:id="1032461918">
          <w:marLeft w:val="0"/>
          <w:marRight w:val="0"/>
          <w:marTop w:val="0"/>
          <w:marBottom w:val="0"/>
          <w:divBdr>
            <w:top w:val="none" w:sz="0" w:space="0" w:color="auto"/>
            <w:left w:val="none" w:sz="0" w:space="0" w:color="auto"/>
            <w:bottom w:val="none" w:sz="0" w:space="0" w:color="auto"/>
            <w:right w:val="none" w:sz="0" w:space="0" w:color="auto"/>
          </w:divBdr>
        </w:div>
      </w:divsChild>
    </w:div>
    <w:div w:id="172108170">
      <w:bodyDiv w:val="1"/>
      <w:marLeft w:val="0"/>
      <w:marRight w:val="0"/>
      <w:marTop w:val="0"/>
      <w:marBottom w:val="0"/>
      <w:divBdr>
        <w:top w:val="none" w:sz="0" w:space="0" w:color="auto"/>
        <w:left w:val="none" w:sz="0" w:space="0" w:color="auto"/>
        <w:bottom w:val="none" w:sz="0" w:space="0" w:color="auto"/>
        <w:right w:val="none" w:sz="0" w:space="0" w:color="auto"/>
      </w:divBdr>
    </w:div>
    <w:div w:id="242615539">
      <w:bodyDiv w:val="1"/>
      <w:marLeft w:val="0"/>
      <w:marRight w:val="0"/>
      <w:marTop w:val="0"/>
      <w:marBottom w:val="0"/>
      <w:divBdr>
        <w:top w:val="none" w:sz="0" w:space="0" w:color="auto"/>
        <w:left w:val="none" w:sz="0" w:space="0" w:color="auto"/>
        <w:bottom w:val="none" w:sz="0" w:space="0" w:color="auto"/>
        <w:right w:val="none" w:sz="0" w:space="0" w:color="auto"/>
      </w:divBdr>
    </w:div>
    <w:div w:id="1347444295">
      <w:bodyDiv w:val="1"/>
      <w:marLeft w:val="0"/>
      <w:marRight w:val="0"/>
      <w:marTop w:val="0"/>
      <w:marBottom w:val="0"/>
      <w:divBdr>
        <w:top w:val="none" w:sz="0" w:space="0" w:color="auto"/>
        <w:left w:val="none" w:sz="0" w:space="0" w:color="auto"/>
        <w:bottom w:val="none" w:sz="0" w:space="0" w:color="auto"/>
        <w:right w:val="none" w:sz="0" w:space="0" w:color="auto"/>
      </w:divBdr>
    </w:div>
    <w:div w:id="19346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40b6c57cf7b45b8f349b6410d85820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a1405e4e4adcc105ad15c0e5971b16d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00729-0A56-4DE2-BA23-EB55099F96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988ACA-402D-430F-B18E-8EED1FCF930C}">
  <ds:schemaRefs>
    <ds:schemaRef ds:uri="http://schemas.microsoft.com/sharepoint/v3/contenttype/forms"/>
  </ds:schemaRefs>
</ds:datastoreItem>
</file>

<file path=customXml/itemProps3.xml><?xml version="1.0" encoding="utf-8"?>
<ds:datastoreItem xmlns:ds="http://schemas.openxmlformats.org/officeDocument/2006/customXml" ds:itemID="{FACD1A8C-10D0-42E7-8993-9764AF42D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Links>
    <vt:vector size="12" baseType="variant">
      <vt:variant>
        <vt:i4>196691</vt:i4>
      </vt:variant>
      <vt:variant>
        <vt:i4>3</vt:i4>
      </vt:variant>
      <vt:variant>
        <vt:i4>0</vt:i4>
      </vt:variant>
      <vt:variant>
        <vt:i4>5</vt:i4>
      </vt:variant>
      <vt:variant>
        <vt:lpwstr>http://www.3gpp.org/ftp/TSG_SA/WG1_Serv/TSGS1_89e_ElectronicMeeting/Docs/S1-201087.zip</vt:lpwstr>
      </vt:variant>
      <vt:variant>
        <vt:lpwstr/>
      </vt:variant>
      <vt:variant>
        <vt:i4>196691</vt:i4>
      </vt:variant>
      <vt:variant>
        <vt:i4>0</vt:i4>
      </vt:variant>
      <vt:variant>
        <vt:i4>0</vt:i4>
      </vt:variant>
      <vt:variant>
        <vt:i4>5</vt:i4>
      </vt:variant>
      <vt:variant>
        <vt:lpwstr>http://www.3gpp.org/ftp/TSG_SA/WG1_Serv/TSGS1_89e_ElectronicMeeting/Docs/S1-201087.zip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QC137E-01</dc:creator>
  <cp:keywords/>
  <dc:description/>
  <cp:lastModifiedBy>xb_r02</cp:lastModifiedBy>
  <cp:revision>50</cp:revision>
  <dcterms:created xsi:type="dcterms:W3CDTF">2020-03-30T15:05:00Z</dcterms:created>
  <dcterms:modified xsi:type="dcterms:W3CDTF">2021-08-27T12:45:00Z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