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36938B" w14:textId="439E2509" w:rsidR="00047DCC" w:rsidRDefault="00047DCC" w:rsidP="00047DCC">
      <w:pPr>
        <w:pStyle w:val="CRCoverPage"/>
        <w:tabs>
          <w:tab w:val="right" w:pos="9639"/>
        </w:tabs>
        <w:spacing w:after="0"/>
        <w:rPr>
          <w:b/>
          <w:i/>
          <w:noProof/>
          <w:sz w:val="28"/>
        </w:rPr>
      </w:pPr>
      <w:r>
        <w:rPr>
          <w:b/>
          <w:noProof/>
          <w:sz w:val="24"/>
        </w:rPr>
        <w:t>3GPP TSG-SA WG4 Meeting #127</w:t>
      </w:r>
      <w:r>
        <w:rPr>
          <w:b/>
          <w:i/>
          <w:noProof/>
          <w:sz w:val="28"/>
        </w:rPr>
        <w:tab/>
      </w:r>
      <w:r w:rsidR="00E72C68">
        <w:rPr>
          <w:b/>
          <w:iCs/>
          <w:noProof/>
          <w:sz w:val="28"/>
        </w:rPr>
        <w:t>S4-240255</w:t>
      </w:r>
      <w:r w:rsidR="00B9151E" w:rsidRPr="00B9151E">
        <w:rPr>
          <w:b/>
          <w:i/>
          <w:noProof/>
          <w:sz w:val="28"/>
        </w:rPr>
        <w:t xml:space="preserve"> </w:t>
      </w:r>
    </w:p>
    <w:p w14:paraId="3FC720E0" w14:textId="77777777" w:rsidR="00047DCC" w:rsidRDefault="00047DCC" w:rsidP="00047DCC">
      <w:pPr>
        <w:pStyle w:val="CRCoverPage"/>
        <w:outlineLvl w:val="0"/>
        <w:rPr>
          <w:b/>
          <w:noProof/>
          <w:sz w:val="24"/>
        </w:rPr>
      </w:pPr>
      <w:r>
        <w:rPr>
          <w:b/>
          <w:noProof/>
          <w:sz w:val="24"/>
        </w:rPr>
        <w:t>Sophia-Antipolis, France, 29 January - 2 February 2024</w:t>
      </w:r>
    </w:p>
    <w:p w14:paraId="7146E855" w14:textId="77777777" w:rsidR="00DD40D2" w:rsidRPr="007B5456" w:rsidRDefault="00DD40D2">
      <w:pPr>
        <w:spacing w:after="120"/>
        <w:ind w:left="1985" w:hanging="1985"/>
        <w:rPr>
          <w:rFonts w:ascii="Arial" w:hAnsi="Arial" w:cs="Arial"/>
          <w:bCs/>
        </w:rPr>
      </w:pPr>
    </w:p>
    <w:p w14:paraId="484BE995" w14:textId="12E8064F"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E72C68">
        <w:rPr>
          <w:rFonts w:ascii="Arial" w:hAnsi="Arial" w:cs="Arial"/>
          <w:b/>
          <w:bCs/>
        </w:rPr>
        <w:t>Huawei, Hisilicon</w:t>
      </w:r>
    </w:p>
    <w:p w14:paraId="234CD7C4" w14:textId="62604E3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E72C68">
        <w:rPr>
          <w:rFonts w:ascii="Arial" w:hAnsi="Arial" w:cs="Arial"/>
          <w:b/>
          <w:bCs/>
        </w:rPr>
        <w:t>Discussion and Information on redundant encoding and packaging of live segmented media</w:t>
      </w:r>
    </w:p>
    <w:p w14:paraId="55FE3D7D" w14:textId="7133480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E72C68">
        <w:rPr>
          <w:rFonts w:ascii="Arial" w:hAnsi="Arial" w:cs="Arial"/>
          <w:b/>
          <w:bCs/>
        </w:rPr>
        <w:t>8.10</w:t>
      </w:r>
    </w:p>
    <w:p w14:paraId="1589C299" w14:textId="72338DFF"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B9151E">
        <w:rPr>
          <w:rFonts w:ascii="Arial" w:hAnsi="Arial" w:cs="Arial"/>
          <w:b/>
          <w:bCs/>
        </w:rPr>
        <w:t>discussion and agreement.</w:t>
      </w:r>
    </w:p>
    <w:p w14:paraId="60FB276B" w14:textId="77777777" w:rsidR="00236D1F" w:rsidRDefault="00236D1F">
      <w:pPr>
        <w:pBdr>
          <w:bottom w:val="single" w:sz="4" w:space="1" w:color="auto"/>
        </w:pBdr>
        <w:rPr>
          <w:rFonts w:ascii="Arial" w:hAnsi="Arial" w:cs="Arial"/>
          <w:b/>
          <w:bCs/>
        </w:rPr>
      </w:pPr>
    </w:p>
    <w:p w14:paraId="1E242AC9" w14:textId="77777777" w:rsidR="00236D1F" w:rsidRDefault="00236D1F">
      <w:pPr>
        <w:rPr>
          <w:rFonts w:ascii="Arial" w:hAnsi="Arial" w:cs="Arial"/>
          <w:b/>
          <w:bCs/>
        </w:rPr>
      </w:pPr>
    </w:p>
    <w:p w14:paraId="7349B4C2" w14:textId="1C52D042" w:rsidR="00C54E61" w:rsidRDefault="00E72C68" w:rsidP="00E72C68">
      <w:pPr>
        <w:pStyle w:val="Heading1"/>
      </w:pPr>
      <w:r>
        <w:t xml:space="preserve">References </w:t>
      </w:r>
    </w:p>
    <w:p w14:paraId="4274F7CA" w14:textId="77777777" w:rsidR="00E72C68" w:rsidRDefault="00E72C68">
      <w:pPr>
        <w:rPr>
          <w:rFonts w:ascii="Arial" w:hAnsi="Arial" w:cs="Arial"/>
          <w:b/>
          <w:bCs/>
        </w:rPr>
      </w:pPr>
    </w:p>
    <w:p w14:paraId="300C3F95" w14:textId="6AEC5EAC" w:rsidR="00E72C68" w:rsidRDefault="00E72C68">
      <w:pPr>
        <w:rPr>
          <w:rFonts w:ascii="Arial" w:hAnsi="Arial" w:cs="Arial"/>
          <w:b/>
          <w:bCs/>
        </w:rPr>
      </w:pPr>
      <w:r w:rsidRPr="00E72C68">
        <w:rPr>
          <w:rFonts w:ascii="Arial" w:hAnsi="Arial" w:cs="Arial"/>
          <w:bCs/>
        </w:rPr>
        <w:t>[1]</w:t>
      </w:r>
      <w:r>
        <w:rPr>
          <w:rFonts w:ascii="Arial" w:hAnsi="Arial" w:cs="Arial"/>
          <w:b/>
          <w:bCs/>
        </w:rPr>
        <w:t xml:space="preserve"> </w:t>
      </w:r>
      <w:r w:rsidRPr="00E72C68">
        <w:rPr>
          <w:rFonts w:ascii="Arial" w:hAnsi="Arial" w:cs="Arial"/>
          <w:bCs/>
        </w:rPr>
        <w:t xml:space="preserve"> </w:t>
      </w:r>
      <w:r>
        <w:rPr>
          <w:rFonts w:ascii="Arial" w:hAnsi="Arial" w:cs="Arial"/>
          <w:bCs/>
        </w:rPr>
        <w:t xml:space="preserve"> </w:t>
      </w:r>
      <w:r w:rsidRPr="00E72C68">
        <w:rPr>
          <w:rFonts w:ascii="Arial" w:hAnsi="Arial" w:cs="Arial"/>
          <w:bCs/>
        </w:rPr>
        <w:t xml:space="preserve">First ever workshop on encoder synchronization </w:t>
      </w:r>
      <w:hyperlink r:id="rId8" w:history="1">
        <w:r w:rsidRPr="00676904">
          <w:rPr>
            <w:rStyle w:val="Hyperlink"/>
            <w:rFonts w:ascii="Arial" w:hAnsi="Arial" w:cs="Arial"/>
            <w:b/>
            <w:bCs/>
          </w:rPr>
          <w:t>https://sites.google.com/view/encodersyncworkshop/home</w:t>
        </w:r>
      </w:hyperlink>
    </w:p>
    <w:p w14:paraId="7A5AFFC1" w14:textId="01E5E0C4" w:rsidR="00E72C68" w:rsidRPr="00E72C68" w:rsidRDefault="00E72C68" w:rsidP="00E72C68">
      <w:pPr>
        <w:rPr>
          <w:rFonts w:ascii="Arial" w:hAnsi="Arial" w:cs="Arial"/>
          <w:bCs/>
        </w:rPr>
      </w:pPr>
      <w:r w:rsidRPr="00E72C68">
        <w:rPr>
          <w:rFonts w:ascii="Arial" w:hAnsi="Arial" w:cs="Arial"/>
          <w:bCs/>
        </w:rPr>
        <w:t>[2]</w:t>
      </w:r>
      <w:r>
        <w:rPr>
          <w:rFonts w:ascii="Arial" w:hAnsi="Arial" w:cs="Arial"/>
          <w:b/>
          <w:bCs/>
        </w:rPr>
        <w:t xml:space="preserve">   </w:t>
      </w:r>
      <w:r w:rsidRPr="00E72C68">
        <w:rPr>
          <w:rFonts w:ascii="Arial" w:hAnsi="Arial" w:cs="Arial"/>
          <w:bCs/>
        </w:rPr>
        <w:t>Redundant Encoding and Packaging</w:t>
      </w:r>
      <w:r>
        <w:rPr>
          <w:rFonts w:ascii="Arial" w:hAnsi="Arial" w:cs="Arial"/>
          <w:bCs/>
        </w:rPr>
        <w:t xml:space="preserve"> </w:t>
      </w:r>
      <w:r w:rsidRPr="00E72C68">
        <w:rPr>
          <w:rFonts w:ascii="Arial" w:hAnsi="Arial" w:cs="Arial"/>
          <w:bCs/>
        </w:rPr>
        <w:t>(REaP)</w:t>
      </w:r>
      <w:r w:rsidRPr="00E72C68">
        <w:rPr>
          <w:rFonts w:ascii="Arial" w:hAnsi="Arial" w:cs="Arial"/>
          <w:bCs/>
        </w:rPr>
        <w:t xml:space="preserve"> </w:t>
      </w:r>
      <w:r w:rsidRPr="00E72C68">
        <w:rPr>
          <w:rFonts w:ascii="Arial" w:hAnsi="Arial" w:cs="Arial"/>
          <w:bCs/>
        </w:rPr>
        <w:t>Workshop</w:t>
      </w:r>
    </w:p>
    <w:p w14:paraId="299C952E" w14:textId="70CDDBA1" w:rsidR="00E72C68" w:rsidRDefault="00E72C68" w:rsidP="00E72C68">
      <w:pPr>
        <w:rPr>
          <w:rFonts w:ascii="Arial" w:hAnsi="Arial" w:cs="Arial"/>
          <w:bCs/>
        </w:rPr>
      </w:pPr>
      <w:hyperlink r:id="rId9" w:history="1">
        <w:r w:rsidRPr="00676904">
          <w:rPr>
            <w:rStyle w:val="Hyperlink"/>
            <w:rFonts w:ascii="Arial" w:hAnsi="Arial" w:cs="Arial"/>
            <w:bCs/>
          </w:rPr>
          <w:t>https://sites.google.com/view/encoder-sync-workshop2023</w:t>
        </w:r>
      </w:hyperlink>
    </w:p>
    <w:p w14:paraId="52EE34FB" w14:textId="2E36A85E" w:rsidR="00E72C68" w:rsidRDefault="00E72C68" w:rsidP="00E72C68">
      <w:pPr>
        <w:rPr>
          <w:rFonts w:ascii="Arial" w:hAnsi="Arial" w:cs="Arial"/>
          <w:bCs/>
        </w:rPr>
      </w:pPr>
      <w:r>
        <w:rPr>
          <w:rFonts w:ascii="Arial" w:hAnsi="Arial" w:cs="Arial"/>
          <w:bCs/>
        </w:rPr>
        <w:t>[3]   Encoder and Packager Synchronization call for proposals</w:t>
      </w:r>
    </w:p>
    <w:p w14:paraId="044D4039" w14:textId="683FAE12" w:rsidR="00E72C68" w:rsidRDefault="00E72C68" w:rsidP="00E72C68">
      <w:pPr>
        <w:rPr>
          <w:rFonts w:ascii="Arial" w:hAnsi="Arial" w:cs="Arial"/>
          <w:bCs/>
        </w:rPr>
      </w:pPr>
      <w:hyperlink r:id="rId10" w:history="1">
        <w:r w:rsidRPr="00676904">
          <w:rPr>
            <w:rStyle w:val="Hyperlink"/>
            <w:rFonts w:ascii="Arial" w:hAnsi="Arial" w:cs="Arial"/>
            <w:bCs/>
          </w:rPr>
          <w:t>https://www.mpeg.org/wp-content/uploads/mpeg_meetings/137_OnLine/w21298.zip</w:t>
        </w:r>
      </w:hyperlink>
    </w:p>
    <w:p w14:paraId="08F8D16B" w14:textId="65811DCC" w:rsidR="00E72C68" w:rsidRDefault="00E72C68" w:rsidP="00E72C68">
      <w:pPr>
        <w:rPr>
          <w:rFonts w:ascii="Arial" w:hAnsi="Arial" w:cs="Arial"/>
          <w:bCs/>
        </w:rPr>
      </w:pPr>
      <w:r>
        <w:rPr>
          <w:rFonts w:ascii="Arial" w:hAnsi="Arial" w:cs="Arial"/>
          <w:bCs/>
        </w:rPr>
        <w:t xml:space="preserve">[4]   </w:t>
      </w:r>
      <w:r w:rsidRPr="00E72C68">
        <w:rPr>
          <w:rFonts w:ascii="Arial" w:hAnsi="Arial" w:cs="Arial"/>
          <w:bCs/>
        </w:rPr>
        <w:t>Use Cases and Requirements for Encoder and Packager synchronization</w:t>
      </w:r>
    </w:p>
    <w:p w14:paraId="48440F0A" w14:textId="1DDFB79A" w:rsidR="00E72C68" w:rsidRDefault="00F712CA" w:rsidP="00E72C68">
      <w:pPr>
        <w:rPr>
          <w:rFonts w:ascii="Arial" w:hAnsi="Arial" w:cs="Arial"/>
          <w:bCs/>
        </w:rPr>
      </w:pPr>
      <w:hyperlink r:id="rId11" w:history="1">
        <w:r w:rsidRPr="00676904">
          <w:rPr>
            <w:rStyle w:val="Hyperlink"/>
            <w:rFonts w:ascii="Arial" w:hAnsi="Arial" w:cs="Arial"/>
            <w:bCs/>
          </w:rPr>
          <w:t>https://www.mpeg.org/wp-content/uploads/mpeg_meetings/137_OnLine/w21299.zip</w:t>
        </w:r>
      </w:hyperlink>
    </w:p>
    <w:p w14:paraId="71F896E0" w14:textId="1D24626B" w:rsidR="00F712CA" w:rsidRDefault="00F712CA" w:rsidP="00E72C68">
      <w:pPr>
        <w:rPr>
          <w:rFonts w:ascii="Arial" w:hAnsi="Arial" w:cs="Arial"/>
          <w:bCs/>
        </w:rPr>
      </w:pPr>
      <w:r>
        <w:rPr>
          <w:rFonts w:ascii="Arial" w:hAnsi="Arial" w:cs="Arial"/>
          <w:bCs/>
        </w:rPr>
        <w:t xml:space="preserve">[5]   </w:t>
      </w:r>
      <w:r w:rsidRPr="00F712CA">
        <w:rPr>
          <w:rFonts w:ascii="Arial" w:hAnsi="Arial" w:cs="Arial"/>
          <w:bCs/>
        </w:rPr>
        <w:t xml:space="preserve">Rufael Mekuria, Mohamad Raad, and Ali C. Begen. 2023. Redundant Encoding and Packaging for Segmented Live Media. In Proceedings of the 2nd Mile-High Video Conference (MHV '23). Association for Computing Machinery, New York, NY, USA, 133–134. </w:t>
      </w:r>
      <w:hyperlink r:id="rId12" w:history="1">
        <w:r w:rsidRPr="00676904">
          <w:rPr>
            <w:rStyle w:val="Hyperlink"/>
            <w:rFonts w:ascii="Arial" w:hAnsi="Arial" w:cs="Arial"/>
            <w:bCs/>
          </w:rPr>
          <w:t>https://doi.org/10.1145/3588444.3591029</w:t>
        </w:r>
      </w:hyperlink>
    </w:p>
    <w:p w14:paraId="37CB56BE" w14:textId="77777777" w:rsidR="00F712CA" w:rsidRPr="00F712CA" w:rsidRDefault="00F712CA" w:rsidP="00F712CA">
      <w:pPr>
        <w:rPr>
          <w:rFonts w:ascii="Arial" w:hAnsi="Arial" w:cs="Arial"/>
          <w:bCs/>
        </w:rPr>
      </w:pPr>
      <w:r>
        <w:rPr>
          <w:rFonts w:ascii="Arial" w:hAnsi="Arial" w:cs="Arial"/>
          <w:bCs/>
        </w:rPr>
        <w:t xml:space="preserve">[6] ISO/IEC DIS 23009-9 </w:t>
      </w:r>
      <w:r w:rsidRPr="00F712CA">
        <w:rPr>
          <w:rFonts w:ascii="Arial" w:hAnsi="Arial" w:cs="Arial"/>
          <w:bCs/>
        </w:rPr>
        <w:t>Dynamic adaptive streaming over HTTP (DASH)</w:t>
      </w:r>
    </w:p>
    <w:p w14:paraId="12498141" w14:textId="0ECB7B19" w:rsidR="00F712CA" w:rsidRDefault="00F712CA" w:rsidP="00F712CA">
      <w:pPr>
        <w:rPr>
          <w:rFonts w:ascii="Arial" w:hAnsi="Arial" w:cs="Arial"/>
          <w:bCs/>
        </w:rPr>
      </w:pPr>
      <w:r w:rsidRPr="00F712CA">
        <w:rPr>
          <w:rFonts w:ascii="Arial" w:hAnsi="Arial" w:cs="Arial"/>
          <w:bCs/>
        </w:rPr>
        <w:t>Part 9: Redundant encoding and packaging for segmented live media (REaP)</w:t>
      </w:r>
    </w:p>
    <w:p w14:paraId="4641F4DC" w14:textId="4FB3C220" w:rsidR="00F712CA" w:rsidRPr="00E72C68" w:rsidRDefault="00F712CA" w:rsidP="00F712CA">
      <w:pPr>
        <w:rPr>
          <w:rFonts w:ascii="Arial" w:hAnsi="Arial" w:cs="Arial"/>
          <w:bCs/>
        </w:rPr>
      </w:pPr>
      <w:r>
        <w:rPr>
          <w:rFonts w:ascii="Arial" w:hAnsi="Arial" w:cs="Arial"/>
          <w:bCs/>
        </w:rPr>
        <w:t xml:space="preserve">[7]  </w:t>
      </w:r>
      <w:r w:rsidRPr="00F712CA">
        <w:rPr>
          <w:rFonts w:ascii="Arial" w:hAnsi="Arial" w:cs="Arial"/>
          <w:bCs/>
        </w:rPr>
        <w:t>Roberto Ramos-Chavez, Rufael Mekuria, Espen Braastad, and Arjen Wagenaar. 2023. Framework for Authoring and Delivery of Targeted Media Presentations using a Smart Edge Proxy Cache. In Proceedings of the 2nd Mile-High Video Conference (MHV '23). Association for Computing Machinery, New York, NY, USA, 59–65. https://doi.org/10.1145/3588444.3591005</w:t>
      </w:r>
    </w:p>
    <w:p w14:paraId="6A46CC8E" w14:textId="53CCBEA7" w:rsidR="00E72C68" w:rsidRDefault="00C54E61" w:rsidP="00E72C68">
      <w:pPr>
        <w:keepNext/>
        <w:keepLines/>
        <w:numPr>
          <w:ilvl w:val="0"/>
          <w:numId w:val="4"/>
        </w:numPr>
        <w:overflowPunct w:val="0"/>
        <w:adjustRightInd w:val="0"/>
        <w:spacing w:before="240" w:after="180"/>
        <w:textAlignment w:val="baseline"/>
        <w:outlineLvl w:val="0"/>
        <w:rPr>
          <w:rFonts w:ascii="Arial" w:hAnsi="Arial"/>
          <w:sz w:val="28"/>
          <w:lang w:eastAsia="en-GB"/>
        </w:rPr>
      </w:pPr>
      <w:r w:rsidRPr="003519B0">
        <w:rPr>
          <w:rFonts w:ascii="Arial" w:hAnsi="Arial"/>
          <w:sz w:val="28"/>
          <w:lang w:eastAsia="en-GB"/>
        </w:rPr>
        <w:t>Introduction</w:t>
      </w:r>
    </w:p>
    <w:p w14:paraId="70BAE72E" w14:textId="30AB1D53" w:rsidR="00E72C68" w:rsidRPr="00E72C68" w:rsidRDefault="00E72C68" w:rsidP="00E72C68">
      <w:pPr>
        <w:rPr>
          <w:lang w:eastAsia="en-GB"/>
        </w:rPr>
      </w:pPr>
      <w:r>
        <w:rPr>
          <w:lang w:eastAsia="en-GB"/>
        </w:rPr>
        <w:t>This paper presents information about dual</w:t>
      </w:r>
      <w:r w:rsidR="00F712CA">
        <w:rPr>
          <w:lang w:eastAsia="en-GB"/>
        </w:rPr>
        <w:t>/redundant encoding,</w:t>
      </w:r>
      <w:r>
        <w:rPr>
          <w:lang w:eastAsia="en-GB"/>
        </w:rPr>
        <w:t xml:space="preserve"> packaging </w:t>
      </w:r>
      <w:r w:rsidR="00F712CA">
        <w:rPr>
          <w:lang w:eastAsia="en-GB"/>
        </w:rPr>
        <w:t xml:space="preserve">and origination </w:t>
      </w:r>
      <w:r>
        <w:rPr>
          <w:lang w:eastAsia="en-GB"/>
        </w:rPr>
        <w:t>in streaming media distribution. In particular it provides information about MPEG-DASH part 9 redundant encoding and packaging for live segmented media</w:t>
      </w:r>
      <w:r w:rsidR="00F712CA">
        <w:rPr>
          <w:lang w:eastAsia="en-GB"/>
        </w:rPr>
        <w:t xml:space="preserve"> [6] at DIS stage of MPEG</w:t>
      </w:r>
      <w:r>
        <w:rPr>
          <w:lang w:eastAsia="en-GB"/>
        </w:rPr>
        <w:t>.</w:t>
      </w:r>
    </w:p>
    <w:p w14:paraId="0E756903" w14:textId="539C6DBE" w:rsidR="003450CC" w:rsidRPr="00553FE7" w:rsidRDefault="00E72C68" w:rsidP="00553FE7">
      <w:pPr>
        <w:keepNext/>
        <w:keepLines/>
        <w:numPr>
          <w:ilvl w:val="0"/>
          <w:numId w:val="4"/>
        </w:numPr>
        <w:overflowPunct w:val="0"/>
        <w:adjustRightInd w:val="0"/>
        <w:spacing w:before="240" w:after="180"/>
        <w:textAlignment w:val="baseline"/>
        <w:outlineLvl w:val="0"/>
        <w:rPr>
          <w:rFonts w:ascii="Arial" w:hAnsi="Arial"/>
          <w:sz w:val="28"/>
          <w:lang w:eastAsia="en-GB"/>
        </w:rPr>
      </w:pPr>
      <w:r>
        <w:rPr>
          <w:rFonts w:ascii="Arial" w:hAnsi="Arial"/>
          <w:sz w:val="28"/>
          <w:lang w:eastAsia="en-GB"/>
        </w:rPr>
        <w:t xml:space="preserve">Standardization for distributed live segmented media </w:t>
      </w:r>
    </w:p>
    <w:p w14:paraId="63B42128" w14:textId="062136AB" w:rsidR="00551F5E" w:rsidRDefault="00E72C68" w:rsidP="00CF4DA1">
      <w:pPr>
        <w:widowControl w:val="0"/>
        <w:wordWrap w:val="0"/>
        <w:autoSpaceDE w:val="0"/>
        <w:autoSpaceDN w:val="0"/>
        <w:spacing w:after="160" w:line="259" w:lineRule="auto"/>
        <w:jc w:val="both"/>
        <w:rPr>
          <w:lang w:val="en-US"/>
        </w:rPr>
      </w:pPr>
      <w:r>
        <w:rPr>
          <w:lang w:val="en-US"/>
        </w:rPr>
        <w:t xml:space="preserve">In the production of live segmented media, i.e. adaptive streaming presentations, often one or more distribution encoders are followed by 1 or more packagers and 1 or more origins are used to produce media segments. </w:t>
      </w:r>
    </w:p>
    <w:p w14:paraId="6E998F5B" w14:textId="2F95653C" w:rsidR="00E72C68" w:rsidRDefault="00E72C68" w:rsidP="00CF4DA1">
      <w:pPr>
        <w:widowControl w:val="0"/>
        <w:wordWrap w:val="0"/>
        <w:autoSpaceDE w:val="0"/>
        <w:autoSpaceDN w:val="0"/>
        <w:spacing w:after="160" w:line="259" w:lineRule="auto"/>
        <w:jc w:val="both"/>
        <w:rPr>
          <w:lang w:val="en-US"/>
        </w:rPr>
      </w:pPr>
      <w:r>
        <w:rPr>
          <w:lang w:val="en-US"/>
        </w:rPr>
        <w:t>A key challenge is the generation of interchangeable media objects, i.e. media segments, media presentation descriptions (MPD).</w:t>
      </w:r>
    </w:p>
    <w:p w14:paraId="0134DD1A" w14:textId="4F65D4BA" w:rsidR="00E72C68" w:rsidRDefault="00E72C68" w:rsidP="00CF4DA1">
      <w:pPr>
        <w:widowControl w:val="0"/>
        <w:wordWrap w:val="0"/>
        <w:autoSpaceDE w:val="0"/>
        <w:autoSpaceDN w:val="0"/>
        <w:spacing w:after="160" w:line="259" w:lineRule="auto"/>
        <w:jc w:val="both"/>
        <w:rPr>
          <w:lang w:val="en-US"/>
        </w:rPr>
      </w:pPr>
      <w:r>
        <w:rPr>
          <w:lang w:val="en-US"/>
        </w:rPr>
        <w:t>The topic was discussed with different stakeholders in 2021 drawing attention of over 100 participants [1] from different sectors from the media industry.</w:t>
      </w:r>
      <w:r w:rsidR="00F712CA">
        <w:rPr>
          <w:lang w:val="en-US"/>
        </w:rPr>
        <w:t xml:space="preserve"> </w:t>
      </w:r>
    </w:p>
    <w:p w14:paraId="3DA916F1" w14:textId="0EE9252F" w:rsidR="00E72C68" w:rsidRDefault="00E72C68" w:rsidP="00CF4DA1">
      <w:pPr>
        <w:widowControl w:val="0"/>
        <w:wordWrap w:val="0"/>
        <w:autoSpaceDE w:val="0"/>
        <w:autoSpaceDN w:val="0"/>
        <w:spacing w:after="160" w:line="259" w:lineRule="auto"/>
        <w:jc w:val="both"/>
        <w:rPr>
          <w:lang w:val="en-US"/>
        </w:rPr>
      </w:pPr>
      <w:r>
        <w:rPr>
          <w:lang w:val="en-US"/>
        </w:rPr>
        <w:t xml:space="preserve">The requirements and use cases from the industry have been documented and refined in MPEG [3] and a specific Call for proposals was launched [4] in 2022. </w:t>
      </w:r>
    </w:p>
    <w:p w14:paraId="07445062" w14:textId="20157588" w:rsidR="00E72C68" w:rsidRDefault="00E72C68" w:rsidP="00CF4DA1">
      <w:pPr>
        <w:widowControl w:val="0"/>
        <w:wordWrap w:val="0"/>
        <w:autoSpaceDE w:val="0"/>
        <w:autoSpaceDN w:val="0"/>
        <w:spacing w:after="160" w:line="259" w:lineRule="auto"/>
        <w:jc w:val="both"/>
        <w:rPr>
          <w:lang w:val="en-US"/>
        </w:rPr>
      </w:pPr>
      <w:r>
        <w:rPr>
          <w:lang w:val="en-US"/>
        </w:rPr>
        <w:t xml:space="preserve">The scope of the call for proposals includes media formats for enabling generation of media segments from different packagers/encoders/origins and media presentations/tracks from different encoders without requiring an information interchange protocol. </w:t>
      </w:r>
    </w:p>
    <w:p w14:paraId="724A9880" w14:textId="1AC891C4" w:rsidR="00E72C68" w:rsidRDefault="00E72C68" w:rsidP="00CF4DA1">
      <w:pPr>
        <w:widowControl w:val="0"/>
        <w:wordWrap w:val="0"/>
        <w:autoSpaceDE w:val="0"/>
        <w:autoSpaceDN w:val="0"/>
        <w:spacing w:after="160" w:line="259" w:lineRule="auto"/>
        <w:jc w:val="both"/>
        <w:rPr>
          <w:lang w:val="en-US"/>
        </w:rPr>
      </w:pPr>
      <w:r>
        <w:rPr>
          <w:lang w:val="en-US"/>
        </w:rPr>
        <w:t>Use cases include redundant encoder setups (failover/backup), distributed encoding of bit-rate ladders (each encoder producing part of bit-rate ladder) and distributed generation of metadata/timed text</w:t>
      </w:r>
      <w:r w:rsidR="00F712CA">
        <w:rPr>
          <w:lang w:val="en-US"/>
        </w:rPr>
        <w:t xml:space="preserve"> from distributed entities</w:t>
      </w:r>
      <w:r>
        <w:rPr>
          <w:lang w:val="en-US"/>
        </w:rPr>
        <w:t xml:space="preserve">. </w:t>
      </w:r>
    </w:p>
    <w:p w14:paraId="109EC25C" w14:textId="12F3B2F2" w:rsidR="00F712CA" w:rsidRDefault="00F712CA" w:rsidP="00CF4DA1">
      <w:pPr>
        <w:widowControl w:val="0"/>
        <w:wordWrap w:val="0"/>
        <w:autoSpaceDE w:val="0"/>
        <w:autoSpaceDN w:val="0"/>
        <w:spacing w:after="160" w:line="259" w:lineRule="auto"/>
        <w:jc w:val="both"/>
        <w:rPr>
          <w:lang w:val="en-US"/>
        </w:rPr>
      </w:pPr>
      <w:r>
        <w:rPr>
          <w:lang w:val="en-US"/>
        </w:rPr>
        <w:lastRenderedPageBreak/>
        <w:t>A</w:t>
      </w:r>
      <w:r>
        <w:rPr>
          <w:lang w:val="en-US"/>
        </w:rPr>
        <w:t xml:space="preserve"> follow up meeting in 2023 [2] was organized to review and refine the work</w:t>
      </w:r>
      <w:r>
        <w:rPr>
          <w:lang w:val="en-US"/>
        </w:rPr>
        <w:t xml:space="preserve"> leading to [6]</w:t>
      </w:r>
      <w:r>
        <w:rPr>
          <w:lang w:val="en-US"/>
        </w:rPr>
        <w:t>.</w:t>
      </w:r>
    </w:p>
    <w:p w14:paraId="52789E73" w14:textId="7F108AD4" w:rsidR="00E72C68" w:rsidRPr="00E72C68" w:rsidRDefault="00E72C68" w:rsidP="00E72C68">
      <w:pPr>
        <w:pStyle w:val="ListParagraph"/>
        <w:widowControl w:val="0"/>
        <w:numPr>
          <w:ilvl w:val="0"/>
          <w:numId w:val="4"/>
        </w:numPr>
        <w:wordWrap w:val="0"/>
        <w:spacing w:after="160" w:line="259" w:lineRule="auto"/>
        <w:rPr>
          <w:rFonts w:ascii="Arial" w:hAnsi="Arial"/>
          <w:sz w:val="28"/>
          <w:lang w:eastAsia="en-GB"/>
        </w:rPr>
      </w:pPr>
      <w:r w:rsidRPr="00E72C68">
        <w:rPr>
          <w:rFonts w:ascii="Arial" w:hAnsi="Arial"/>
          <w:sz w:val="28"/>
          <w:lang w:eastAsia="en-GB"/>
        </w:rPr>
        <w:t xml:space="preserve">Quick Overview of MPEG REAP </w:t>
      </w:r>
    </w:p>
    <w:p w14:paraId="3FA1214A" w14:textId="0099BA18" w:rsidR="00E72C68" w:rsidRDefault="00E72C68" w:rsidP="00E72C68">
      <w:pPr>
        <w:widowControl w:val="0"/>
        <w:wordWrap w:val="0"/>
        <w:spacing w:after="160" w:line="259" w:lineRule="auto"/>
      </w:pPr>
      <w:r>
        <w:t>MPEG REaP is under standardization as MPEG-DASH part 9, currently passed the DIS ballot cycle</w:t>
      </w:r>
      <w:r w:rsidR="00F712CA">
        <w:t xml:space="preserve"> [6]</w:t>
      </w:r>
      <w:r>
        <w:t xml:space="preserve">. </w:t>
      </w:r>
    </w:p>
    <w:p w14:paraId="1C62610B" w14:textId="651552D4" w:rsidR="00E72C68" w:rsidRDefault="00E72C68" w:rsidP="00E72C68">
      <w:pPr>
        <w:widowControl w:val="0"/>
        <w:wordWrap w:val="0"/>
        <w:spacing w:after="160" w:line="259" w:lineRule="auto"/>
      </w:pPr>
      <w:r>
        <w:t xml:space="preserve">The document defines the following aspects. </w:t>
      </w:r>
    </w:p>
    <w:p w14:paraId="6B1E2F9C" w14:textId="2A24BA1E" w:rsidR="00E72C68" w:rsidRDefault="00E72C68" w:rsidP="00E72C68">
      <w:pPr>
        <w:widowControl w:val="0"/>
        <w:wordWrap w:val="0"/>
        <w:spacing w:after="160" w:line="259" w:lineRule="auto"/>
      </w:pPr>
      <w:r>
        <w:t>A</w:t>
      </w:r>
      <w:r w:rsidR="00F712CA">
        <w:t>n example</w:t>
      </w:r>
      <w:r>
        <w:t xml:space="preserve"> reference architecture that represents typical setups and show how distribution encoders, packagers and origins are interconnected and how the media formats can be used. Formats defined in REaP can be used differently, but it shows how these formats could be used in a practical redundant workflow.</w:t>
      </w:r>
    </w:p>
    <w:p w14:paraId="7EB1F80F" w14:textId="0B30B235" w:rsidR="00E72C68" w:rsidRDefault="00E72C68" w:rsidP="00E72C68">
      <w:pPr>
        <w:widowControl w:val="0"/>
        <w:wordWrap w:val="0"/>
        <w:spacing w:after="160" w:line="259" w:lineRule="auto"/>
      </w:pPr>
      <w:r>
        <w:t>A key assumption of REaP is that the input to the distribution encoders contains timing information that can be mapped back to epoch relative timing and used to align the outputs of different encoders, packagers and origins.</w:t>
      </w:r>
    </w:p>
    <w:p w14:paraId="6EA36C2D" w14:textId="77777777" w:rsidR="00E72C68" w:rsidRDefault="00E72C68" w:rsidP="00E72C68">
      <w:pPr>
        <w:keepNext/>
        <w:widowControl w:val="0"/>
        <w:wordWrap w:val="0"/>
        <w:spacing w:after="160" w:line="259" w:lineRule="auto"/>
      </w:pPr>
      <w:r>
        <w:rPr>
          <w:noProof/>
          <w:lang w:val="en-US" w:eastAsia="zh-CN"/>
        </w:rPr>
        <w:drawing>
          <wp:inline distT="0" distB="0" distL="0" distR="0" wp14:anchorId="4609BD85" wp14:editId="2B4E04E3">
            <wp:extent cx="5115098" cy="226117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134336" cy="2269679"/>
                    </a:xfrm>
                    <a:prstGeom prst="rect">
                      <a:avLst/>
                    </a:prstGeom>
                    <a:noFill/>
                  </pic:spPr>
                </pic:pic>
              </a:graphicData>
            </a:graphic>
          </wp:inline>
        </w:drawing>
      </w:r>
    </w:p>
    <w:p w14:paraId="7E178EB1" w14:textId="13EE0F86" w:rsidR="00E72C68" w:rsidRPr="00E72C68" w:rsidRDefault="00E72C68" w:rsidP="00E72C68">
      <w:pPr>
        <w:pStyle w:val="Caption"/>
        <w:jc w:val="left"/>
      </w:pPr>
      <w:r>
        <w:t xml:space="preserve">Figure </w:t>
      </w:r>
      <w:r>
        <w:fldChar w:fldCharType="begin"/>
      </w:r>
      <w:r>
        <w:instrText xml:space="preserve"> SEQ Figure \* ARABIC </w:instrText>
      </w:r>
      <w:r>
        <w:fldChar w:fldCharType="separate"/>
      </w:r>
      <w:r>
        <w:rPr>
          <w:noProof/>
        </w:rPr>
        <w:t>1</w:t>
      </w:r>
      <w:r>
        <w:fldChar w:fldCharType="end"/>
      </w:r>
      <w:r>
        <w:t xml:space="preserve"> REaP reference workflow/architecture</w:t>
      </w:r>
    </w:p>
    <w:p w14:paraId="663149A2" w14:textId="5C9A9F43" w:rsidR="00E72C68" w:rsidRDefault="00E72C68" w:rsidP="00CF4DA1">
      <w:pPr>
        <w:widowControl w:val="0"/>
        <w:wordWrap w:val="0"/>
        <w:autoSpaceDE w:val="0"/>
        <w:autoSpaceDN w:val="0"/>
        <w:spacing w:after="160" w:line="259" w:lineRule="auto"/>
        <w:jc w:val="both"/>
        <w:rPr>
          <w:lang w:val="en-US"/>
        </w:rPr>
      </w:pPr>
      <w:r>
        <w:rPr>
          <w:lang w:val="en-US"/>
        </w:rPr>
        <w:t xml:space="preserve">The key point is to enable </w:t>
      </w:r>
      <w:r>
        <w:rPr>
          <w:i/>
          <w:lang w:val="en-US"/>
        </w:rPr>
        <w:t>redundant/dual encoding</w:t>
      </w:r>
      <w:r w:rsidR="004035F4">
        <w:rPr>
          <w:i/>
          <w:lang w:val="en-US"/>
        </w:rPr>
        <w:t>.</w:t>
      </w:r>
      <w:r w:rsidR="004035F4">
        <w:rPr>
          <w:lang w:val="en-US"/>
        </w:rPr>
        <w:t xml:space="preserve"> T</w:t>
      </w:r>
      <w:bookmarkStart w:id="0" w:name="_GoBack"/>
      <w:bookmarkEnd w:id="0"/>
      <w:r>
        <w:rPr>
          <w:lang w:val="en-US"/>
        </w:rPr>
        <w:t xml:space="preserve">o achieve this REaP defines the </w:t>
      </w:r>
      <w:r w:rsidRPr="00E72C68">
        <w:rPr>
          <w:b/>
          <w:lang w:val="en-US"/>
        </w:rPr>
        <w:t>I-MPD</w:t>
      </w:r>
      <w:r>
        <w:rPr>
          <w:lang w:val="en-US"/>
        </w:rPr>
        <w:t xml:space="preserve">, a profiled version of the MPD for use in ingest. </w:t>
      </w:r>
    </w:p>
    <w:p w14:paraId="3A0FFB9A" w14:textId="2E96C421" w:rsidR="00E72C68" w:rsidRDefault="00E72C68" w:rsidP="00CF4DA1">
      <w:pPr>
        <w:widowControl w:val="0"/>
        <w:wordWrap w:val="0"/>
        <w:autoSpaceDE w:val="0"/>
        <w:autoSpaceDN w:val="0"/>
        <w:spacing w:after="160" w:line="259" w:lineRule="auto"/>
        <w:jc w:val="both"/>
        <w:rPr>
          <w:lang w:val="en-US"/>
        </w:rPr>
      </w:pPr>
      <w:r>
        <w:rPr>
          <w:lang w:val="en-US"/>
        </w:rPr>
        <w:t xml:space="preserve">In addition for this use case the </w:t>
      </w:r>
      <w:r w:rsidRPr="00F712CA">
        <w:rPr>
          <w:b/>
          <w:lang w:val="en-US"/>
        </w:rPr>
        <w:t>REaP ISOBMFF track format</w:t>
      </w:r>
      <w:r>
        <w:rPr>
          <w:lang w:val="en-US"/>
        </w:rPr>
        <w:t xml:space="preserve"> is defined, which is a fragmented ISO-BMFF track such as </w:t>
      </w:r>
      <w:r w:rsidR="00F712CA">
        <w:rPr>
          <w:lang w:val="en-US"/>
        </w:rPr>
        <w:t xml:space="preserve">a </w:t>
      </w:r>
      <w:r>
        <w:rPr>
          <w:lang w:val="en-US"/>
        </w:rPr>
        <w:t>Common Media Application format</w:t>
      </w:r>
      <w:r w:rsidR="00F712CA">
        <w:rPr>
          <w:lang w:val="en-US"/>
        </w:rPr>
        <w:t xml:space="preserve"> track</w:t>
      </w:r>
      <w:r>
        <w:rPr>
          <w:lang w:val="en-US"/>
        </w:rPr>
        <w:t>, with a specific segmentation (constant duration segments or segments with constraint variations) and a specific timeline origin based on unix epoch</w:t>
      </w:r>
      <w:r w:rsidR="00F712CA">
        <w:rPr>
          <w:lang w:val="en-US"/>
        </w:rPr>
        <w:t xml:space="preserve"> for each track</w:t>
      </w:r>
      <w:r>
        <w:rPr>
          <w:lang w:val="en-US"/>
        </w:rPr>
        <w:t xml:space="preserve">. </w:t>
      </w:r>
    </w:p>
    <w:p w14:paraId="75CDF321" w14:textId="77C38804" w:rsidR="00E72C68" w:rsidRDefault="00E72C68" w:rsidP="00CF4DA1">
      <w:pPr>
        <w:widowControl w:val="0"/>
        <w:wordWrap w:val="0"/>
        <w:autoSpaceDE w:val="0"/>
        <w:autoSpaceDN w:val="0"/>
        <w:spacing w:after="160" w:line="259" w:lineRule="auto"/>
        <w:jc w:val="both"/>
        <w:rPr>
          <w:lang w:val="en-US"/>
        </w:rPr>
      </w:pPr>
      <w:r>
        <w:rPr>
          <w:lang w:val="en-US"/>
        </w:rPr>
        <w:t>The REaP ISOBMFF track makes it easy to generate interchangeable segments</w:t>
      </w:r>
      <w:r w:rsidR="00F712CA">
        <w:rPr>
          <w:lang w:val="en-US"/>
        </w:rPr>
        <w:t xml:space="preserve"> that are CMAF and/or DASH compliant</w:t>
      </w:r>
      <w:r>
        <w:rPr>
          <w:lang w:val="en-US"/>
        </w:rPr>
        <w:t xml:space="preserve">. </w:t>
      </w:r>
    </w:p>
    <w:p w14:paraId="2484E9F6" w14:textId="2F1F1023" w:rsidR="00F712CA" w:rsidRDefault="00E72C68" w:rsidP="00CF4DA1">
      <w:pPr>
        <w:widowControl w:val="0"/>
        <w:wordWrap w:val="0"/>
        <w:autoSpaceDE w:val="0"/>
        <w:autoSpaceDN w:val="0"/>
        <w:spacing w:after="160" w:line="259" w:lineRule="auto"/>
        <w:jc w:val="both"/>
        <w:rPr>
          <w:lang w:val="en-US"/>
        </w:rPr>
      </w:pPr>
      <w:r>
        <w:rPr>
          <w:lang w:val="en-US"/>
        </w:rPr>
        <w:t>In addition REaP defined the D-MPD that can be generated from I-MPD and REaP tracks, leading to interchangeable MPD</w:t>
      </w:r>
      <w:r w:rsidR="00F712CA">
        <w:rPr>
          <w:lang w:val="en-US"/>
        </w:rPr>
        <w:t xml:space="preserve"> and dual packager setups. The details are beyond the scope of this brief overview but can be found in clause 7 of [6].</w:t>
      </w:r>
    </w:p>
    <w:p w14:paraId="6E182293" w14:textId="317DE835" w:rsidR="00E72C68" w:rsidRDefault="00F712CA" w:rsidP="00CF4DA1">
      <w:pPr>
        <w:widowControl w:val="0"/>
        <w:wordWrap w:val="0"/>
        <w:autoSpaceDE w:val="0"/>
        <w:autoSpaceDN w:val="0"/>
        <w:spacing w:after="160" w:line="259" w:lineRule="auto"/>
        <w:jc w:val="both"/>
        <w:rPr>
          <w:lang w:val="en-US"/>
        </w:rPr>
      </w:pPr>
      <w:r>
        <w:rPr>
          <w:lang w:val="en-US"/>
        </w:rPr>
        <w:t>A brief overview of REaP is also presented in [5] and other use cases of REaP have been identified such as for watermarking and content replacement [7]</w:t>
      </w:r>
      <w:r w:rsidR="00E72C68">
        <w:rPr>
          <w:lang w:val="en-US"/>
        </w:rPr>
        <w:t xml:space="preserve">. </w:t>
      </w:r>
    </w:p>
    <w:p w14:paraId="5E04E052" w14:textId="319ACD73" w:rsidR="00F712CA" w:rsidRDefault="00F712CA" w:rsidP="00CF4DA1">
      <w:pPr>
        <w:widowControl w:val="0"/>
        <w:wordWrap w:val="0"/>
        <w:autoSpaceDE w:val="0"/>
        <w:autoSpaceDN w:val="0"/>
        <w:spacing w:after="160" w:line="259" w:lineRule="auto"/>
        <w:jc w:val="both"/>
        <w:rPr>
          <w:lang w:val="en-US"/>
        </w:rPr>
      </w:pPr>
      <w:r>
        <w:rPr>
          <w:lang w:val="en-US"/>
        </w:rPr>
        <w:t>We note that REaP does not introduce any new syntax elements to neither DASH nor ISO BMFF, i.e. the specification is mainly constrains existing technology.</w:t>
      </w:r>
    </w:p>
    <w:p w14:paraId="5A7B6DBC" w14:textId="0CE15C28" w:rsidR="00F712CA" w:rsidRPr="00E72C68" w:rsidRDefault="00F712CA" w:rsidP="00F712CA">
      <w:pPr>
        <w:pStyle w:val="ListParagraph"/>
        <w:widowControl w:val="0"/>
        <w:numPr>
          <w:ilvl w:val="0"/>
          <w:numId w:val="4"/>
        </w:numPr>
        <w:wordWrap w:val="0"/>
        <w:spacing w:after="160" w:line="259" w:lineRule="auto"/>
        <w:rPr>
          <w:rFonts w:ascii="Arial" w:hAnsi="Arial"/>
          <w:sz w:val="28"/>
          <w:lang w:eastAsia="en-GB"/>
        </w:rPr>
      </w:pPr>
      <w:r>
        <w:rPr>
          <w:rFonts w:ascii="Arial" w:hAnsi="Arial"/>
          <w:sz w:val="28"/>
          <w:lang w:eastAsia="en-GB"/>
        </w:rPr>
        <w:t>Proposal</w:t>
      </w:r>
    </w:p>
    <w:p w14:paraId="25D0CD0C" w14:textId="09B2C0A2" w:rsidR="00E72C68" w:rsidRDefault="00F712CA" w:rsidP="00CF4DA1">
      <w:pPr>
        <w:widowControl w:val="0"/>
        <w:wordWrap w:val="0"/>
        <w:autoSpaceDE w:val="0"/>
        <w:autoSpaceDN w:val="0"/>
        <w:spacing w:after="160" w:line="259" w:lineRule="auto"/>
        <w:jc w:val="both"/>
        <w:rPr>
          <w:lang w:val="en-US"/>
        </w:rPr>
      </w:pPr>
      <w:r>
        <w:rPr>
          <w:lang w:val="en-US"/>
        </w:rPr>
        <w:t xml:space="preserve">We recommend any new study item on media streaming extensions to take the REaP use case and specification into account. </w:t>
      </w:r>
    </w:p>
    <w:p w14:paraId="30771AEA" w14:textId="77777777" w:rsidR="00E72C68" w:rsidRPr="00E72C68" w:rsidRDefault="00E72C68" w:rsidP="00CF4DA1">
      <w:pPr>
        <w:widowControl w:val="0"/>
        <w:wordWrap w:val="0"/>
        <w:autoSpaceDE w:val="0"/>
        <w:autoSpaceDN w:val="0"/>
        <w:spacing w:after="160" w:line="259" w:lineRule="auto"/>
        <w:jc w:val="both"/>
        <w:rPr>
          <w:lang w:val="en-US"/>
        </w:rPr>
      </w:pPr>
    </w:p>
    <w:sectPr w:rsidR="00E72C68" w:rsidRPr="00E72C68">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7CA2BE" w14:textId="77777777" w:rsidR="000D79F4" w:rsidRDefault="000D79F4">
      <w:r>
        <w:separator/>
      </w:r>
    </w:p>
  </w:endnote>
  <w:endnote w:type="continuationSeparator" w:id="0">
    <w:p w14:paraId="7D0040E8" w14:textId="77777777" w:rsidR="000D79F4" w:rsidRDefault="000D79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351C54" w14:textId="77777777" w:rsidR="000D79F4" w:rsidRDefault="000D79F4">
      <w:r>
        <w:separator/>
      </w:r>
    </w:p>
  </w:footnote>
  <w:footnote w:type="continuationSeparator" w:id="0">
    <w:p w14:paraId="5D6E1FB2" w14:textId="77777777" w:rsidR="000D79F4" w:rsidRDefault="000D79F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4A705DC"/>
    <w:multiLevelType w:val="hybridMultilevel"/>
    <w:tmpl w:val="E6FE41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A5568B5"/>
    <w:multiLevelType w:val="hybridMultilevel"/>
    <w:tmpl w:val="85ACB1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6E2F43B9"/>
    <w:multiLevelType w:val="hybridMultilevel"/>
    <w:tmpl w:val="09A088A8"/>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2"/>
  </w:num>
  <w:num w:numId="4">
    <w:abstractNumId w:val="4"/>
  </w:num>
  <w:num w:numId="5">
    <w:abstractNumId w:val="6"/>
  </w:num>
  <w:num w:numId="6">
    <w:abstractNumId w:val="1"/>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7"/>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0354"/>
    <w:rsid w:val="0001570A"/>
    <w:rsid w:val="0002191A"/>
    <w:rsid w:val="00030CD4"/>
    <w:rsid w:val="00046686"/>
    <w:rsid w:val="00046FDD"/>
    <w:rsid w:val="00047DCC"/>
    <w:rsid w:val="00050925"/>
    <w:rsid w:val="00050DC2"/>
    <w:rsid w:val="00054884"/>
    <w:rsid w:val="00057E1E"/>
    <w:rsid w:val="00072A7C"/>
    <w:rsid w:val="000775E7"/>
    <w:rsid w:val="0007775C"/>
    <w:rsid w:val="00094F23"/>
    <w:rsid w:val="000967F4"/>
    <w:rsid w:val="000D6D78"/>
    <w:rsid w:val="000D79F4"/>
    <w:rsid w:val="000E0429"/>
    <w:rsid w:val="000F6E51"/>
    <w:rsid w:val="00102A24"/>
    <w:rsid w:val="00103FFE"/>
    <w:rsid w:val="00111E7E"/>
    <w:rsid w:val="00125669"/>
    <w:rsid w:val="0013259C"/>
    <w:rsid w:val="00135831"/>
    <w:rsid w:val="001376A6"/>
    <w:rsid w:val="001424CD"/>
    <w:rsid w:val="0014413C"/>
    <w:rsid w:val="0015084C"/>
    <w:rsid w:val="00162AFA"/>
    <w:rsid w:val="00163D28"/>
    <w:rsid w:val="00164883"/>
    <w:rsid w:val="00166A1B"/>
    <w:rsid w:val="00181F38"/>
    <w:rsid w:val="00192B41"/>
    <w:rsid w:val="00197E4A"/>
    <w:rsid w:val="001A31EF"/>
    <w:rsid w:val="001B01F1"/>
    <w:rsid w:val="001B2414"/>
    <w:rsid w:val="001B5421"/>
    <w:rsid w:val="001B650D"/>
    <w:rsid w:val="001C7948"/>
    <w:rsid w:val="001D0B09"/>
    <w:rsid w:val="001E6729"/>
    <w:rsid w:val="002070CB"/>
    <w:rsid w:val="002315B9"/>
    <w:rsid w:val="002336BF"/>
    <w:rsid w:val="00235F9B"/>
    <w:rsid w:val="00236BBA"/>
    <w:rsid w:val="00236D1F"/>
    <w:rsid w:val="002407FF"/>
    <w:rsid w:val="00250F58"/>
    <w:rsid w:val="002541D3"/>
    <w:rsid w:val="00256429"/>
    <w:rsid w:val="0026253E"/>
    <w:rsid w:val="00272D61"/>
    <w:rsid w:val="002919B7"/>
    <w:rsid w:val="00295D61"/>
    <w:rsid w:val="002B074C"/>
    <w:rsid w:val="002B2976"/>
    <w:rsid w:val="002B2FE7"/>
    <w:rsid w:val="002B34EA"/>
    <w:rsid w:val="002B5361"/>
    <w:rsid w:val="002C1BA4"/>
    <w:rsid w:val="002C47B8"/>
    <w:rsid w:val="002E397B"/>
    <w:rsid w:val="002E3AE2"/>
    <w:rsid w:val="002F7CCB"/>
    <w:rsid w:val="00310E70"/>
    <w:rsid w:val="00313F3E"/>
    <w:rsid w:val="00320536"/>
    <w:rsid w:val="00325E33"/>
    <w:rsid w:val="003275E6"/>
    <w:rsid w:val="003323F8"/>
    <w:rsid w:val="003450CC"/>
    <w:rsid w:val="00354553"/>
    <w:rsid w:val="00382B1B"/>
    <w:rsid w:val="00392C87"/>
    <w:rsid w:val="003953D1"/>
    <w:rsid w:val="003A1CCE"/>
    <w:rsid w:val="003A5FFA"/>
    <w:rsid w:val="003A67E1"/>
    <w:rsid w:val="003D4593"/>
    <w:rsid w:val="003E2C8B"/>
    <w:rsid w:val="003E710B"/>
    <w:rsid w:val="003F1C0E"/>
    <w:rsid w:val="004008D7"/>
    <w:rsid w:val="0040145D"/>
    <w:rsid w:val="004035F4"/>
    <w:rsid w:val="00411339"/>
    <w:rsid w:val="004131BD"/>
    <w:rsid w:val="004152A4"/>
    <w:rsid w:val="00416CEA"/>
    <w:rsid w:val="00421AFD"/>
    <w:rsid w:val="0042644F"/>
    <w:rsid w:val="00432048"/>
    <w:rsid w:val="004518DB"/>
    <w:rsid w:val="004726C5"/>
    <w:rsid w:val="00477EBC"/>
    <w:rsid w:val="004A0A73"/>
    <w:rsid w:val="004A661C"/>
    <w:rsid w:val="004C481F"/>
    <w:rsid w:val="004C4C9B"/>
    <w:rsid w:val="004D2FA0"/>
    <w:rsid w:val="004D6D84"/>
    <w:rsid w:val="004E1010"/>
    <w:rsid w:val="004F6351"/>
    <w:rsid w:val="004F73B3"/>
    <w:rsid w:val="0050202A"/>
    <w:rsid w:val="0052032E"/>
    <w:rsid w:val="005220FF"/>
    <w:rsid w:val="00544AE5"/>
    <w:rsid w:val="00544D8F"/>
    <w:rsid w:val="00551C4D"/>
    <w:rsid w:val="00551F5E"/>
    <w:rsid w:val="00553BDE"/>
    <w:rsid w:val="00553FE7"/>
    <w:rsid w:val="00562495"/>
    <w:rsid w:val="00577727"/>
    <w:rsid w:val="005777AF"/>
    <w:rsid w:val="00586562"/>
    <w:rsid w:val="00593DC4"/>
    <w:rsid w:val="00594E71"/>
    <w:rsid w:val="0059529B"/>
    <w:rsid w:val="005A3249"/>
    <w:rsid w:val="005A6ABC"/>
    <w:rsid w:val="005B1577"/>
    <w:rsid w:val="005B3332"/>
    <w:rsid w:val="005C0CC6"/>
    <w:rsid w:val="005C0FFC"/>
    <w:rsid w:val="005C3F71"/>
    <w:rsid w:val="005C7352"/>
    <w:rsid w:val="005D1F7E"/>
    <w:rsid w:val="005D2738"/>
    <w:rsid w:val="005D4A24"/>
    <w:rsid w:val="005E12F4"/>
    <w:rsid w:val="005E36CE"/>
    <w:rsid w:val="005E7235"/>
    <w:rsid w:val="005F041C"/>
    <w:rsid w:val="005F4298"/>
    <w:rsid w:val="005F4B34"/>
    <w:rsid w:val="005F738C"/>
    <w:rsid w:val="00616E18"/>
    <w:rsid w:val="006201EC"/>
    <w:rsid w:val="00623AED"/>
    <w:rsid w:val="0062443C"/>
    <w:rsid w:val="00632157"/>
    <w:rsid w:val="00633971"/>
    <w:rsid w:val="0064121E"/>
    <w:rsid w:val="00660354"/>
    <w:rsid w:val="00665B9B"/>
    <w:rsid w:val="00695E7A"/>
    <w:rsid w:val="006A273D"/>
    <w:rsid w:val="006B3F0C"/>
    <w:rsid w:val="006D3D54"/>
    <w:rsid w:val="006E1A49"/>
    <w:rsid w:val="006F1B00"/>
    <w:rsid w:val="006F4A25"/>
    <w:rsid w:val="006F4B7A"/>
    <w:rsid w:val="006F7727"/>
    <w:rsid w:val="00700A59"/>
    <w:rsid w:val="00710142"/>
    <w:rsid w:val="00712E81"/>
    <w:rsid w:val="00723919"/>
    <w:rsid w:val="007261D3"/>
    <w:rsid w:val="0074596C"/>
    <w:rsid w:val="00762474"/>
    <w:rsid w:val="00767D20"/>
    <w:rsid w:val="007814A8"/>
    <w:rsid w:val="00781A62"/>
    <w:rsid w:val="00783C0E"/>
    <w:rsid w:val="00787383"/>
    <w:rsid w:val="00791B51"/>
    <w:rsid w:val="00795AD1"/>
    <w:rsid w:val="007B0AE3"/>
    <w:rsid w:val="007B5456"/>
    <w:rsid w:val="007B5F65"/>
    <w:rsid w:val="007D3C7C"/>
    <w:rsid w:val="007D5EBA"/>
    <w:rsid w:val="007F6574"/>
    <w:rsid w:val="00850CD4"/>
    <w:rsid w:val="00854A49"/>
    <w:rsid w:val="00897490"/>
    <w:rsid w:val="008A06BE"/>
    <w:rsid w:val="008A56FD"/>
    <w:rsid w:val="008A5A3F"/>
    <w:rsid w:val="008B1E96"/>
    <w:rsid w:val="008B3ABA"/>
    <w:rsid w:val="008D3DA6"/>
    <w:rsid w:val="008F0C79"/>
    <w:rsid w:val="008F7444"/>
    <w:rsid w:val="0091399A"/>
    <w:rsid w:val="00926791"/>
    <w:rsid w:val="0093661C"/>
    <w:rsid w:val="00940736"/>
    <w:rsid w:val="00950CF7"/>
    <w:rsid w:val="00955E82"/>
    <w:rsid w:val="00960A44"/>
    <w:rsid w:val="009768C3"/>
    <w:rsid w:val="00977C43"/>
    <w:rsid w:val="00990EEE"/>
    <w:rsid w:val="00995218"/>
    <w:rsid w:val="00996533"/>
    <w:rsid w:val="009A3833"/>
    <w:rsid w:val="009A5F57"/>
    <w:rsid w:val="009A62E2"/>
    <w:rsid w:val="009B110B"/>
    <w:rsid w:val="009B13F0"/>
    <w:rsid w:val="009B196A"/>
    <w:rsid w:val="009C0722"/>
    <w:rsid w:val="009C6257"/>
    <w:rsid w:val="009D6D9F"/>
    <w:rsid w:val="009E1910"/>
    <w:rsid w:val="009E5DBA"/>
    <w:rsid w:val="009F6047"/>
    <w:rsid w:val="00A031C9"/>
    <w:rsid w:val="00A03D2A"/>
    <w:rsid w:val="00A10ADB"/>
    <w:rsid w:val="00A12C91"/>
    <w:rsid w:val="00A144AB"/>
    <w:rsid w:val="00A151A1"/>
    <w:rsid w:val="00A17F01"/>
    <w:rsid w:val="00A24557"/>
    <w:rsid w:val="00A248B2"/>
    <w:rsid w:val="00A27A64"/>
    <w:rsid w:val="00A37F80"/>
    <w:rsid w:val="00A46B3F"/>
    <w:rsid w:val="00A46F30"/>
    <w:rsid w:val="00A61169"/>
    <w:rsid w:val="00A62DE7"/>
    <w:rsid w:val="00A63024"/>
    <w:rsid w:val="00A63C4A"/>
    <w:rsid w:val="00A665A1"/>
    <w:rsid w:val="00A82FCC"/>
    <w:rsid w:val="00A906A4"/>
    <w:rsid w:val="00AA574E"/>
    <w:rsid w:val="00AB0D92"/>
    <w:rsid w:val="00AD324E"/>
    <w:rsid w:val="00AD5B51"/>
    <w:rsid w:val="00AD7B78"/>
    <w:rsid w:val="00AF4118"/>
    <w:rsid w:val="00B3526C"/>
    <w:rsid w:val="00B47534"/>
    <w:rsid w:val="00B55934"/>
    <w:rsid w:val="00B84B54"/>
    <w:rsid w:val="00B9151E"/>
    <w:rsid w:val="00B92C7D"/>
    <w:rsid w:val="00B93BB2"/>
    <w:rsid w:val="00B9697B"/>
    <w:rsid w:val="00B972A2"/>
    <w:rsid w:val="00BA46C7"/>
    <w:rsid w:val="00BA4DA4"/>
    <w:rsid w:val="00BB0C7F"/>
    <w:rsid w:val="00BB7B45"/>
    <w:rsid w:val="00BC2E5F"/>
    <w:rsid w:val="00BC481E"/>
    <w:rsid w:val="00BC5AF6"/>
    <w:rsid w:val="00BD3E51"/>
    <w:rsid w:val="00BF0A84"/>
    <w:rsid w:val="00C03706"/>
    <w:rsid w:val="00C03F46"/>
    <w:rsid w:val="00C159BC"/>
    <w:rsid w:val="00C15A54"/>
    <w:rsid w:val="00C2214E"/>
    <w:rsid w:val="00C2519B"/>
    <w:rsid w:val="00C3782E"/>
    <w:rsid w:val="00C404D1"/>
    <w:rsid w:val="00C42176"/>
    <w:rsid w:val="00C52914"/>
    <w:rsid w:val="00C54E61"/>
    <w:rsid w:val="00C5567D"/>
    <w:rsid w:val="00C572DB"/>
    <w:rsid w:val="00C63F06"/>
    <w:rsid w:val="00C6590B"/>
    <w:rsid w:val="00C7131F"/>
    <w:rsid w:val="00C740B9"/>
    <w:rsid w:val="00C959C2"/>
    <w:rsid w:val="00CA5DB0"/>
    <w:rsid w:val="00CC58ED"/>
    <w:rsid w:val="00CD5040"/>
    <w:rsid w:val="00CE31EB"/>
    <w:rsid w:val="00CE555E"/>
    <w:rsid w:val="00CF4DA1"/>
    <w:rsid w:val="00D02A1D"/>
    <w:rsid w:val="00D0768E"/>
    <w:rsid w:val="00D145EC"/>
    <w:rsid w:val="00D43C0B"/>
    <w:rsid w:val="00D44A74"/>
    <w:rsid w:val="00D57CD2"/>
    <w:rsid w:val="00D57E66"/>
    <w:rsid w:val="00D65785"/>
    <w:rsid w:val="00D73350"/>
    <w:rsid w:val="00D80CF3"/>
    <w:rsid w:val="00D82231"/>
    <w:rsid w:val="00D8756E"/>
    <w:rsid w:val="00D938DD"/>
    <w:rsid w:val="00D974EA"/>
    <w:rsid w:val="00DC0F52"/>
    <w:rsid w:val="00DC4726"/>
    <w:rsid w:val="00DC6A42"/>
    <w:rsid w:val="00DD40D2"/>
    <w:rsid w:val="00DE5BBF"/>
    <w:rsid w:val="00E03A99"/>
    <w:rsid w:val="00E041CD"/>
    <w:rsid w:val="00E1463F"/>
    <w:rsid w:val="00E16249"/>
    <w:rsid w:val="00E3403D"/>
    <w:rsid w:val="00E363A9"/>
    <w:rsid w:val="00E36DE5"/>
    <w:rsid w:val="00E413E0"/>
    <w:rsid w:val="00E53AE3"/>
    <w:rsid w:val="00E5574A"/>
    <w:rsid w:val="00E610B9"/>
    <w:rsid w:val="00E64FB2"/>
    <w:rsid w:val="00E72C68"/>
    <w:rsid w:val="00E81E2C"/>
    <w:rsid w:val="00E87C3A"/>
    <w:rsid w:val="00E96D45"/>
    <w:rsid w:val="00EB2255"/>
    <w:rsid w:val="00EB5D2F"/>
    <w:rsid w:val="00EC10EC"/>
    <w:rsid w:val="00EC428E"/>
    <w:rsid w:val="00ED6080"/>
    <w:rsid w:val="00EE0176"/>
    <w:rsid w:val="00EF0942"/>
    <w:rsid w:val="00EF291F"/>
    <w:rsid w:val="00F0218C"/>
    <w:rsid w:val="00F0393B"/>
    <w:rsid w:val="00F1342A"/>
    <w:rsid w:val="00F313DD"/>
    <w:rsid w:val="00F378BE"/>
    <w:rsid w:val="00F43120"/>
    <w:rsid w:val="00F54426"/>
    <w:rsid w:val="00F6649D"/>
    <w:rsid w:val="00F712CA"/>
    <w:rsid w:val="00F763A4"/>
    <w:rsid w:val="00F81BA0"/>
    <w:rsid w:val="00F81CF2"/>
    <w:rsid w:val="00F87FD2"/>
    <w:rsid w:val="00F941B8"/>
    <w:rsid w:val="00FA5FA5"/>
    <w:rsid w:val="00FA79A7"/>
    <w:rsid w:val="00FB0840"/>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eastAsia="en-US"/>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rsid w:val="00D65785"/>
    <w:rPr>
      <w:color w:val="0563C1"/>
      <w:u w:val="single"/>
    </w:rPr>
  </w:style>
  <w:style w:type="character" w:customStyle="1" w:styleId="UnresolvedMention">
    <w:name w:val="Unresolved Mention"/>
    <w:uiPriority w:val="99"/>
    <w:semiHidden/>
    <w:unhideWhenUsed/>
    <w:rsid w:val="00D65785"/>
    <w:rPr>
      <w:color w:val="605E5C"/>
      <w:shd w:val="clear" w:color="auto" w:fill="E1DFDD"/>
    </w:rPr>
  </w:style>
  <w:style w:type="character" w:styleId="FollowedHyperlink">
    <w:name w:val="FollowedHyperlink"/>
    <w:rsid w:val="00D65785"/>
    <w:rPr>
      <w:color w:val="954F72"/>
      <w:u w:val="single"/>
    </w:rPr>
  </w:style>
  <w:style w:type="paragraph" w:styleId="ListParagraph">
    <w:name w:val="List Paragraph"/>
    <w:basedOn w:val="Normal"/>
    <w:uiPriority w:val="34"/>
    <w:qFormat/>
    <w:rsid w:val="003450CC"/>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ind w:left="720"/>
      <w:contextualSpacing/>
      <w:jc w:val="both"/>
      <w:textAlignment w:val="baseline"/>
    </w:pPr>
    <w:rPr>
      <w:sz w:val="22"/>
      <w:lang w:val="en-US"/>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qFormat/>
    <w:locked/>
    <w:rsid w:val="003450CC"/>
    <w:rPr>
      <w:rFonts w:eastAsia="SimSun"/>
      <w:b/>
      <w:bCs/>
      <w:sz w:val="22"/>
      <w:szCs w:val="28"/>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3450CC"/>
    <w:pPr>
      <w:keepNext/>
      <w:keepLines/>
      <w:tabs>
        <w:tab w:val="left" w:pos="360"/>
        <w:tab w:val="left" w:pos="720"/>
        <w:tab w:val="left" w:pos="1080"/>
        <w:tab w:val="left" w:pos="1440"/>
      </w:tabs>
      <w:overflowPunct w:val="0"/>
      <w:autoSpaceDE w:val="0"/>
      <w:autoSpaceDN w:val="0"/>
      <w:adjustRightInd w:val="0"/>
      <w:spacing w:before="136" w:after="120"/>
      <w:jc w:val="center"/>
    </w:pPr>
    <w:rPr>
      <w:rFonts w:eastAsia="SimSun"/>
      <w:b/>
      <w:bCs/>
      <w:sz w:val="22"/>
      <w:szCs w:val="28"/>
      <w:lang w:val="en-US"/>
    </w:rPr>
  </w:style>
  <w:style w:type="paragraph" w:styleId="Revision">
    <w:name w:val="Revision"/>
    <w:hidden/>
    <w:uiPriority w:val="99"/>
    <w:semiHidden/>
    <w:rsid w:val="008A5A3F"/>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68455882">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15019669">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9539933">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sites.google.com/view/encodersyncworkshop/home" TargetMode="External"/><Relationship Id="rId13"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doi.org/10.1145/3588444.3591029" TargetMode="Externa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www.mpeg.org/wp-content/uploads/mpeg_meetings/137_OnLine/w21299.zip"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mpeg.org/wp-content/uploads/mpeg_meetings/137_OnLine/w21298.zip" TargetMode="External"/><Relationship Id="rId4" Type="http://schemas.openxmlformats.org/officeDocument/2006/relationships/settings" Target="settings.xml"/><Relationship Id="rId9" Type="http://schemas.openxmlformats.org/officeDocument/2006/relationships/hyperlink" Target="https://sites.google.com/view/encoder-sync-workshop2023"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830</Words>
  <Characters>4732</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5551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Rufael Mekuria</cp:lastModifiedBy>
  <cp:revision>3</cp:revision>
  <cp:lastPrinted>2001-04-23T09:30:00Z</cp:lastPrinted>
  <dcterms:created xsi:type="dcterms:W3CDTF">2024-01-23T19:10:00Z</dcterms:created>
  <dcterms:modified xsi:type="dcterms:W3CDTF">2024-01-23T19:12:00Z</dcterms:modified>
</cp:coreProperties>
</file>