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1BA6002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20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EC1498">
        <w:rPr>
          <w:rFonts w:cs="Arial"/>
          <w:sz w:val="22"/>
          <w:szCs w:val="22"/>
        </w:rPr>
        <w:t>1111</w:t>
      </w:r>
    </w:p>
    <w:p w14:paraId="7FE86C43" w14:textId="5446B4FA" w:rsidR="004E3939" w:rsidRPr="00E9217A" w:rsidRDefault="001C2B15" w:rsidP="004E3939">
      <w:pPr>
        <w:pStyle w:val="Header"/>
        <w:rPr>
          <w:b w:val="0"/>
          <w:sz w:val="22"/>
          <w:szCs w:val="22"/>
        </w:rPr>
      </w:pPr>
      <w:r>
        <w:rPr>
          <w:sz w:val="22"/>
          <w:szCs w:val="22"/>
        </w:rPr>
        <w:t>E-Meeting, 17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26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  <w:r w:rsidR="00653F5B">
        <w:rPr>
          <w:sz w:val="22"/>
          <w:szCs w:val="22"/>
        </w:rPr>
        <w:t>u</w:t>
      </w:r>
      <w:r>
        <w:rPr>
          <w:sz w:val="22"/>
          <w:szCs w:val="22"/>
        </w:rPr>
        <w:t>st 2022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10A50776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64109" w:rsidRPr="00F6410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64109">
        <w:rPr>
          <w:rFonts w:ascii="Arial" w:hAnsi="Arial" w:cs="Arial"/>
          <w:b/>
          <w:sz w:val="22"/>
          <w:szCs w:val="22"/>
        </w:rPr>
        <w:t xml:space="preserve"> </w:t>
      </w:r>
      <w:r w:rsidR="00E921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</w:t>
      </w:r>
      <w:r w:rsidR="00EC1498">
        <w:rPr>
          <w:rFonts w:ascii="Arial" w:hAnsi="Arial" w:cs="Arial"/>
          <w:b/>
          <w:sz w:val="22"/>
          <w:szCs w:val="22"/>
        </w:rPr>
        <w:t xml:space="preserve"> SA2</w:t>
      </w:r>
      <w:r w:rsidR="00956BF7">
        <w:rPr>
          <w:rFonts w:ascii="Arial" w:hAnsi="Arial" w:cs="Arial"/>
          <w:b/>
          <w:sz w:val="22"/>
          <w:szCs w:val="22"/>
        </w:rPr>
        <w:t xml:space="preserve"> </w:t>
      </w:r>
      <w:r w:rsidR="003E24E7">
        <w:rPr>
          <w:rFonts w:ascii="Arial" w:hAnsi="Arial" w:cs="Arial"/>
          <w:b/>
          <w:sz w:val="22"/>
          <w:szCs w:val="22"/>
        </w:rPr>
        <w:t xml:space="preserve">on </w:t>
      </w:r>
      <w:r w:rsidR="00EC1498">
        <w:rPr>
          <w:rFonts w:ascii="Arial" w:hAnsi="Arial" w:cs="Arial"/>
          <w:b/>
          <w:sz w:val="22"/>
          <w:szCs w:val="22"/>
        </w:rPr>
        <w:t>EVEX</w:t>
      </w:r>
    </w:p>
    <w:p w14:paraId="69BD98C2" w14:textId="24B015A9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64109">
        <w:rPr>
          <w:rFonts w:ascii="Arial" w:hAnsi="Arial" w:cs="Arial"/>
          <w:b/>
          <w:bCs/>
          <w:sz w:val="22"/>
          <w:szCs w:val="22"/>
        </w:rPr>
        <w:t xml:space="preserve">LS </w:t>
      </w:r>
      <w:r w:rsidR="00C30FEA" w:rsidRPr="00C30FEA">
        <w:rPr>
          <w:rFonts w:ascii="Arial" w:hAnsi="Arial" w:cs="Arial"/>
          <w:b/>
          <w:bCs/>
          <w:sz w:val="22"/>
          <w:szCs w:val="22"/>
        </w:rPr>
        <w:t>S</w:t>
      </w:r>
      <w:r w:rsidR="00C30FEA">
        <w:rPr>
          <w:rFonts w:ascii="Arial" w:hAnsi="Arial" w:cs="Arial"/>
          <w:b/>
          <w:bCs/>
          <w:sz w:val="22"/>
          <w:szCs w:val="22"/>
        </w:rPr>
        <w:t>4</w:t>
      </w:r>
      <w:r w:rsidR="008B6BB8">
        <w:rPr>
          <w:rFonts w:ascii="Arial" w:hAnsi="Arial" w:cs="Arial"/>
          <w:b/>
          <w:bCs/>
          <w:sz w:val="22"/>
          <w:szCs w:val="22"/>
        </w:rPr>
        <w:t>-22</w:t>
      </w:r>
      <w:r w:rsidR="008E591A">
        <w:rPr>
          <w:rFonts w:ascii="Arial" w:hAnsi="Arial" w:cs="Arial"/>
          <w:b/>
          <w:bCs/>
          <w:sz w:val="22"/>
          <w:szCs w:val="22"/>
        </w:rPr>
        <w:t>09</w:t>
      </w:r>
      <w:r w:rsidR="00EC1498">
        <w:rPr>
          <w:rFonts w:ascii="Arial" w:hAnsi="Arial" w:cs="Arial"/>
          <w:b/>
          <w:bCs/>
          <w:sz w:val="22"/>
          <w:szCs w:val="22"/>
        </w:rPr>
        <w:t>12</w:t>
      </w:r>
      <w:r w:rsidR="00187A87">
        <w:rPr>
          <w:rFonts w:ascii="Arial" w:hAnsi="Arial" w:cs="Arial"/>
          <w:b/>
          <w:bCs/>
          <w:sz w:val="22"/>
          <w:szCs w:val="22"/>
        </w:rPr>
        <w:t xml:space="preserve"> (</w:t>
      </w:r>
      <w:r w:rsidR="00EC1498">
        <w:rPr>
          <w:rFonts w:ascii="Arial" w:hAnsi="Arial" w:cs="Arial"/>
          <w:b/>
          <w:bCs/>
          <w:sz w:val="22"/>
          <w:szCs w:val="22"/>
        </w:rPr>
        <w:t>S2</w:t>
      </w:r>
      <w:r w:rsidR="00187A87">
        <w:rPr>
          <w:rFonts w:ascii="Arial" w:hAnsi="Arial" w:cs="Arial"/>
          <w:b/>
          <w:bCs/>
          <w:sz w:val="22"/>
          <w:szCs w:val="22"/>
        </w:rPr>
        <w:t>-22</w:t>
      </w:r>
      <w:r w:rsidR="00EC1498">
        <w:rPr>
          <w:rFonts w:ascii="Arial" w:hAnsi="Arial" w:cs="Arial"/>
          <w:b/>
          <w:bCs/>
          <w:sz w:val="22"/>
          <w:szCs w:val="22"/>
        </w:rPr>
        <w:t>04729</w:t>
      </w:r>
      <w:r w:rsidR="00187A87">
        <w:rPr>
          <w:rFonts w:ascii="Arial" w:hAnsi="Arial" w:cs="Arial"/>
          <w:b/>
          <w:bCs/>
          <w:sz w:val="22"/>
          <w:szCs w:val="22"/>
        </w:rPr>
        <w:t>)</w:t>
      </w:r>
    </w:p>
    <w:p w14:paraId="299A29B6" w14:textId="73A37DE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7E40653C" w14:textId="0C01B960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EC1498">
        <w:rPr>
          <w:rFonts w:ascii="Arial" w:hAnsi="Arial" w:cs="Arial"/>
          <w:b/>
          <w:bCs/>
          <w:sz w:val="22"/>
          <w:szCs w:val="22"/>
        </w:rPr>
        <w:t>SA2</w:t>
      </w:r>
    </w:p>
    <w:p w14:paraId="43A51E65" w14:textId="6352162A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EC1498">
        <w:rPr>
          <w:rFonts w:ascii="Arial" w:hAnsi="Arial" w:cs="Arial"/>
          <w:b/>
          <w:sz w:val="22"/>
          <w:szCs w:val="22"/>
        </w:rPr>
        <w:t>CT3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313B9C07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41577FE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C1498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AT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qti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3450D4">
        <w:rPr>
          <w:rFonts w:ascii="Arial" w:hAnsi="Arial" w:cs="Arial"/>
          <w:b/>
          <w:bCs/>
          <w:sz w:val="22"/>
          <w:szCs w:val="22"/>
        </w:rPr>
        <w:t>DOT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0BBF30D" w14:textId="10134E95" w:rsidR="001F103F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479D0">
        <w:rPr>
          <w:rFonts w:ascii="Arial" w:hAnsi="Arial" w:cs="Arial"/>
          <w:b/>
          <w:bCs/>
          <w:sz w:val="22"/>
          <w:szCs w:val="22"/>
        </w:rPr>
        <w:t>+1 858-651-5674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7DEF4A5A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6E69E2C7" w14:textId="5CC00FEB" w:rsidR="00BF75AB" w:rsidRPr="00F159A6" w:rsidRDefault="00F159A6" w:rsidP="00BF75AB">
      <w:pPr>
        <w:rPr>
          <w:rFonts w:cs="Times New Roman"/>
        </w:rPr>
      </w:pPr>
      <w:bookmarkStart w:id="18" w:name="_Hlk109550148"/>
      <w:bookmarkEnd w:id="17"/>
      <w:r w:rsidRPr="00F159A6">
        <w:rPr>
          <w:rFonts w:cs="Times New Roman"/>
        </w:rPr>
        <w:t xml:space="preserve">SA4 would like to thank </w:t>
      </w:r>
      <w:r w:rsidR="003450D4">
        <w:rPr>
          <w:rFonts w:cs="Times New Roman"/>
        </w:rPr>
        <w:t>SA2</w:t>
      </w:r>
      <w:r w:rsidRPr="00F159A6">
        <w:rPr>
          <w:rFonts w:cs="Times New Roman"/>
        </w:rPr>
        <w:t xml:space="preserve"> for your LS on </w:t>
      </w:r>
      <w:r w:rsidR="003450D4">
        <w:rPr>
          <w:rFonts w:cs="Times New Roman"/>
        </w:rPr>
        <w:t>EVEX</w:t>
      </w:r>
      <w:r w:rsidRPr="00F159A6">
        <w:rPr>
          <w:rFonts w:cs="Times New Roman"/>
        </w:rPr>
        <w:t xml:space="preserve"> and wish</w:t>
      </w:r>
      <w:r w:rsidR="00F374BC">
        <w:rPr>
          <w:rFonts w:cs="Times New Roman"/>
        </w:rPr>
        <w:t>es</w:t>
      </w:r>
      <w:r w:rsidRPr="00F159A6">
        <w:rPr>
          <w:rFonts w:cs="Times New Roman"/>
        </w:rPr>
        <w:t xml:space="preserve"> to respond to the </w:t>
      </w:r>
      <w:r w:rsidR="005F5C9B">
        <w:rPr>
          <w:rFonts w:cs="Times New Roman"/>
        </w:rPr>
        <w:t>points and suggestion</w:t>
      </w:r>
      <w:r w:rsidRPr="00F159A6">
        <w:rPr>
          <w:rFonts w:cs="Times New Roman"/>
        </w:rPr>
        <w:t xml:space="preserve"> raised in the LS</w:t>
      </w:r>
      <w:r w:rsidR="00BF75AB" w:rsidRPr="00F159A6">
        <w:rPr>
          <w:rFonts w:cs="Times New Roman"/>
        </w:rPr>
        <w:t>:</w:t>
      </w:r>
    </w:p>
    <w:p w14:paraId="6F2DCC93" w14:textId="70E67751" w:rsidR="00BF75AB" w:rsidRPr="005B44B9" w:rsidRDefault="00983205" w:rsidP="00D36654">
      <w:pPr>
        <w:spacing w:after="80"/>
        <w:ind w:left="461" w:hanging="274"/>
        <w:rPr>
          <w:rFonts w:cs="Times New Roman"/>
          <w:i/>
          <w:iCs/>
        </w:rPr>
      </w:pPr>
      <w:r w:rsidRPr="00F530AF">
        <w:rPr>
          <w:rFonts w:cs="Times New Roman"/>
          <w:i/>
          <w:iCs/>
          <w:color w:val="0033CC"/>
        </w:rPr>
        <w:t>1</w:t>
      </w:r>
      <w:r w:rsidR="00CE2E08" w:rsidRPr="00F530AF">
        <w:rPr>
          <w:rFonts w:cs="Times New Roman"/>
          <w:i/>
          <w:iCs/>
          <w:color w:val="0033CC"/>
        </w:rPr>
        <w:t>.</w:t>
      </w:r>
      <w:r w:rsidR="00CE2E08">
        <w:rPr>
          <w:rFonts w:cs="Times New Roman"/>
          <w:b/>
          <w:bCs/>
          <w:i/>
          <w:iCs/>
          <w:color w:val="0033CC"/>
        </w:rPr>
        <w:tab/>
      </w:r>
      <w:r w:rsidR="00F530AF" w:rsidRPr="00F530AF">
        <w:rPr>
          <w:i/>
          <w:iCs/>
          <w:color w:val="000099"/>
          <w:lang w:eastAsia="ja-JP"/>
        </w:rPr>
        <w:t>On Step 7 of the procedure in clause 4.2</w:t>
      </w:r>
      <w:r w:rsidR="00F530AF" w:rsidRPr="00F530AF">
        <w:rPr>
          <w:i/>
          <w:iCs/>
          <w:color w:val="000099"/>
          <w:lang w:eastAsia="zh-CN"/>
        </w:rPr>
        <w:t xml:space="preserve">, SA2 would like to clarify that based on developments in Rel-17 eNA, currently </w:t>
      </w:r>
      <w:r w:rsidR="00F530AF" w:rsidRPr="005844AE">
        <w:rPr>
          <w:i/>
          <w:iCs/>
          <w:color w:val="000099"/>
          <w:lang w:eastAsia="zh-CN"/>
        </w:rPr>
        <w:t xml:space="preserve">use of R5 is only described for certain Analytics IDs and associated Event IDs as described in </w:t>
      </w:r>
      <w:r w:rsidR="00F530AF" w:rsidRPr="005844AE">
        <w:rPr>
          <w:i/>
          <w:iCs/>
          <w:color w:val="000099"/>
        </w:rPr>
        <w:t>clause 6.4.2 (Service Experience</w:t>
      </w:r>
      <w:r w:rsidR="00F530AF" w:rsidRPr="00F530AF">
        <w:rPr>
          <w:i/>
          <w:iCs/>
          <w:color w:val="000099"/>
        </w:rPr>
        <w:t xml:space="preserve"> information) and clauses 6.5.2-6.</w:t>
      </w:r>
      <w:r w:rsidR="00F530AF" w:rsidRPr="002669C3">
        <w:rPr>
          <w:i/>
          <w:iCs/>
          <w:color w:val="000099"/>
        </w:rPr>
        <w:t>5.4 (Collective Behaviour information)</w:t>
      </w:r>
      <w:r w:rsidR="00F530AF" w:rsidRPr="00F530AF">
        <w:rPr>
          <w:i/>
          <w:iCs/>
          <w:color w:val="000099"/>
        </w:rPr>
        <w:t xml:space="preserve"> of TS 23.288. Data collection from UE application is not applicable to other </w:t>
      </w:r>
      <w:r w:rsidR="00F530AF" w:rsidRPr="00F530AF">
        <w:rPr>
          <w:i/>
          <w:iCs/>
          <w:color w:val="000099"/>
          <w:lang w:eastAsia="zh-CN"/>
        </w:rPr>
        <w:t xml:space="preserve">Analytics IDs or associated </w:t>
      </w:r>
      <w:r w:rsidR="00F530AF" w:rsidRPr="00F530AF">
        <w:rPr>
          <w:i/>
          <w:iCs/>
          <w:color w:val="000099"/>
        </w:rPr>
        <w:t>Event IDs yet</w:t>
      </w:r>
      <w:r w:rsidR="00F530AF">
        <w:rPr>
          <w:i/>
          <w:iCs/>
          <w:color w:val="000099"/>
        </w:rPr>
        <w:t>.</w:t>
      </w:r>
    </w:p>
    <w:p w14:paraId="5F399FC9" w14:textId="3870AE45" w:rsidR="000D6072" w:rsidRDefault="00C01E5B" w:rsidP="002669C3">
      <w:pPr>
        <w:pStyle w:val="B1"/>
        <w:ind w:left="187" w:firstLine="0"/>
      </w:pPr>
      <w:r w:rsidRPr="00C01E5B">
        <w:rPr>
          <w:b/>
          <w:bCs/>
        </w:rPr>
        <w:t>SA4 response</w:t>
      </w:r>
      <w:r>
        <w:t xml:space="preserve">: </w:t>
      </w:r>
      <w:r w:rsidR="00E74E40">
        <w:t>Since</w:t>
      </w:r>
      <w:r w:rsidR="00C61EA1">
        <w:t xml:space="preserve"> TS 26.531 is </w:t>
      </w:r>
      <w:r w:rsidR="002A7587">
        <w:t xml:space="preserve">strictly </w:t>
      </w:r>
      <w:r w:rsidR="00C61EA1">
        <w:t>about generic data collection, reporting and event exposure</w:t>
      </w:r>
      <w:r w:rsidR="00E74E40">
        <w:t xml:space="preserve"> </w:t>
      </w:r>
      <w:r w:rsidR="004F7E08">
        <w:t>functionality</w:t>
      </w:r>
      <w:r w:rsidR="00C61EA1">
        <w:t>, there is no</w:t>
      </w:r>
      <w:r w:rsidR="004F7E08">
        <w:t xml:space="preserve"> mention</w:t>
      </w:r>
      <w:r w:rsidR="0072501E">
        <w:t xml:space="preserve"> </w:t>
      </w:r>
      <w:r w:rsidR="00C61EA1">
        <w:t xml:space="preserve">in the clause 4.2, item 7 (not “step 7”) </w:t>
      </w:r>
      <w:r w:rsidR="004F7E08">
        <w:t>of</w:t>
      </w:r>
      <w:r w:rsidR="003B7BAC">
        <w:t xml:space="preserve"> </w:t>
      </w:r>
      <w:r w:rsidR="00C61EA1">
        <w:t>an</w:t>
      </w:r>
      <w:r w:rsidR="003B1B71">
        <w:t>y</w:t>
      </w:r>
      <w:r w:rsidR="00C61EA1">
        <w:t xml:space="preserve"> explicit event exposure service</w:t>
      </w:r>
      <w:r w:rsidR="0021330A">
        <w:t>s</w:t>
      </w:r>
      <w:r w:rsidR="004F7E08">
        <w:t>, i.e., it is</w:t>
      </w:r>
      <w:r w:rsidR="00F428B2">
        <w:t xml:space="preserve"> </w:t>
      </w:r>
      <w:r w:rsidR="00310E8F">
        <w:t xml:space="preserve">formulated in a </w:t>
      </w:r>
      <w:r w:rsidR="00C03D2C">
        <w:t xml:space="preserve">general, </w:t>
      </w:r>
      <w:r w:rsidR="00184CA2">
        <w:t>flexible an</w:t>
      </w:r>
      <w:r w:rsidR="00074327">
        <w:t>d</w:t>
      </w:r>
      <w:r w:rsidR="00184CA2">
        <w:t xml:space="preserve"> forward-looking </w:t>
      </w:r>
      <w:r w:rsidR="00310E8F">
        <w:t xml:space="preserve">manner to support </w:t>
      </w:r>
      <w:r w:rsidR="003F312F">
        <w:t>a wide variety of UE data related e</w:t>
      </w:r>
      <w:r w:rsidR="003F312F" w:rsidRPr="00057D2F">
        <w:t xml:space="preserve">vent </w:t>
      </w:r>
      <w:r w:rsidR="003F312F">
        <w:t>exposure services</w:t>
      </w:r>
      <w:r w:rsidR="00693223">
        <w:t xml:space="preserve"> over </w:t>
      </w:r>
      <w:r w:rsidR="003F312F" w:rsidRPr="00057D2F">
        <w:t>reference point</w:t>
      </w:r>
      <w:r w:rsidR="00693223">
        <w:t xml:space="preserve"> R5.</w:t>
      </w:r>
      <w:r w:rsidR="004E6075">
        <w:t xml:space="preserve"> </w:t>
      </w:r>
      <w:r w:rsidR="00564219">
        <w:t xml:space="preserve">Although </w:t>
      </w:r>
      <w:r w:rsidR="004E6075">
        <w:t xml:space="preserve">not explicitly </w:t>
      </w:r>
      <w:r w:rsidR="004F0AB0">
        <w:t>cited</w:t>
      </w:r>
      <w:r w:rsidR="004E6075">
        <w:t xml:space="preserve"> by SA2, SA4</w:t>
      </w:r>
      <w:r w:rsidR="0003055E">
        <w:t xml:space="preserve"> </w:t>
      </w:r>
      <w:r w:rsidR="004E6075">
        <w:t>acknow</w:t>
      </w:r>
      <w:r w:rsidR="00051FF9">
        <w:t>ledge that the</w:t>
      </w:r>
      <w:r w:rsidR="00BF789E">
        <w:t xml:space="preserve"> </w:t>
      </w:r>
      <w:r w:rsidR="00E45DD4">
        <w:t xml:space="preserve">EVEX </w:t>
      </w:r>
      <w:r w:rsidR="00051FF9">
        <w:t>stage 3</w:t>
      </w:r>
      <w:r w:rsidR="00E45DD4">
        <w:t xml:space="preserve"> specification, </w:t>
      </w:r>
      <w:r w:rsidR="00051FF9">
        <w:t>TS 26.532</w:t>
      </w:r>
      <w:r w:rsidR="00E45DD4">
        <w:t xml:space="preserve">, does </w:t>
      </w:r>
      <w:r w:rsidR="00DA1EC7">
        <w:t>include</w:t>
      </w:r>
      <w:r w:rsidR="00E45DD4">
        <w:t xml:space="preserve"> </w:t>
      </w:r>
      <w:r w:rsidR="00DA1EC7">
        <w:t>certain</w:t>
      </w:r>
      <w:r w:rsidR="00251A11">
        <w:t xml:space="preserve"> types of UE data </w:t>
      </w:r>
      <w:r w:rsidR="00884D9D">
        <w:t>exposable</w:t>
      </w:r>
      <w:r w:rsidR="00DA1EC7">
        <w:t xml:space="preserve"> by the Data Collection AF</w:t>
      </w:r>
      <w:r w:rsidR="00884D9D">
        <w:t xml:space="preserve"> to</w:t>
      </w:r>
      <w:r w:rsidR="00051FF9">
        <w:t xml:space="preserve"> </w:t>
      </w:r>
      <w:r w:rsidR="00884D9D">
        <w:t>NWDAF</w:t>
      </w:r>
      <w:r w:rsidR="0003055E">
        <w:t>,</w:t>
      </w:r>
      <w:r w:rsidR="00593021">
        <w:t xml:space="preserve"> s</w:t>
      </w:r>
      <w:r w:rsidR="00DA1EC7">
        <w:t xml:space="preserve">uch as </w:t>
      </w:r>
      <w:r w:rsidR="00593021">
        <w:t>CommunicationRecord</w:t>
      </w:r>
      <w:r w:rsidR="00884D9D">
        <w:t xml:space="preserve"> </w:t>
      </w:r>
      <w:r w:rsidR="00187472">
        <w:t xml:space="preserve">and </w:t>
      </w:r>
      <w:r w:rsidR="00977105">
        <w:t>Application</w:t>
      </w:r>
      <w:r w:rsidR="003B3BCB">
        <w:t>SpecificRecord</w:t>
      </w:r>
      <w:r w:rsidR="00980A9F">
        <w:t>,</w:t>
      </w:r>
      <w:r w:rsidR="00564219">
        <w:t xml:space="preserve"> t</w:t>
      </w:r>
      <w:r w:rsidR="000D6CB4">
        <w:t xml:space="preserve">hat are </w:t>
      </w:r>
      <w:r w:rsidR="00E31121">
        <w:t xml:space="preserve">not yet identified </w:t>
      </w:r>
      <w:r w:rsidR="0003055E">
        <w:t>in TS 23.28</w:t>
      </w:r>
      <w:r w:rsidR="00564219">
        <w:t xml:space="preserve">8. </w:t>
      </w:r>
      <w:r w:rsidR="000E43A4">
        <w:t>However</w:t>
      </w:r>
      <w:r w:rsidR="00595F1D">
        <w:t>, there is also no specific</w:t>
      </w:r>
      <w:r w:rsidR="001F5C8C">
        <w:t xml:space="preserve"> SA4</w:t>
      </w:r>
      <w:r w:rsidR="00936F71">
        <w:t xml:space="preserve"> intention </w:t>
      </w:r>
      <w:r w:rsidR="001F5C8C">
        <w:t xml:space="preserve">that </w:t>
      </w:r>
      <w:r w:rsidR="002E303D">
        <w:t xml:space="preserve">such types of UE data </w:t>
      </w:r>
      <w:r w:rsidR="001F5C8C">
        <w:t>must</w:t>
      </w:r>
      <w:r w:rsidR="00EA2F76">
        <w:t xml:space="preserve"> be specified in a future version</w:t>
      </w:r>
      <w:r w:rsidR="00281C37">
        <w:t xml:space="preserve">(s) of SA2 specifications </w:t>
      </w:r>
      <w:r w:rsidR="001B4F0A">
        <w:t xml:space="preserve">– they </w:t>
      </w:r>
      <w:r w:rsidR="005B3FC8">
        <w:t>can</w:t>
      </w:r>
      <w:r w:rsidR="007009A6">
        <w:t xml:space="preserve"> serve as examples</w:t>
      </w:r>
      <w:r w:rsidR="00FD570D">
        <w:t xml:space="preserve"> </w:t>
      </w:r>
      <w:r w:rsidR="009E71E1">
        <w:t xml:space="preserve">for </w:t>
      </w:r>
      <w:r w:rsidR="006B142B">
        <w:t xml:space="preserve">potential </w:t>
      </w:r>
      <w:r w:rsidR="001B396D">
        <w:t xml:space="preserve">SA2 </w:t>
      </w:r>
      <w:r w:rsidR="00995237">
        <w:t>specification</w:t>
      </w:r>
      <w:r w:rsidR="00691F62">
        <w:t xml:space="preserve"> </w:t>
      </w:r>
      <w:r w:rsidR="002F4307">
        <w:t>towards</w:t>
      </w:r>
      <w:r w:rsidR="003E0D1C">
        <w:t xml:space="preserve"> future-proofing</w:t>
      </w:r>
      <w:r w:rsidR="009E71E1">
        <w:t>,</w:t>
      </w:r>
      <w:r w:rsidR="003E0D1C">
        <w:t xml:space="preserve"> </w:t>
      </w:r>
      <w:r w:rsidR="0078027F">
        <w:t xml:space="preserve">in </w:t>
      </w:r>
      <w:r w:rsidR="00921125">
        <w:t xml:space="preserve">the </w:t>
      </w:r>
      <w:r w:rsidR="00F841A8">
        <w:t>evol</w:t>
      </w:r>
      <w:r w:rsidR="00921125">
        <w:t>ution</w:t>
      </w:r>
      <w:r w:rsidR="005C3B02">
        <w:t xml:space="preserve"> of</w:t>
      </w:r>
      <w:r w:rsidR="00F841A8">
        <w:t xml:space="preserve"> </w:t>
      </w:r>
      <w:r w:rsidR="0099280F">
        <w:t xml:space="preserve">its </w:t>
      </w:r>
      <w:r w:rsidR="00A60FF7">
        <w:t>stage 2 specificat</w:t>
      </w:r>
      <w:r w:rsidR="00F841A8">
        <w:t>ion</w:t>
      </w:r>
      <w:r w:rsidR="0099280F">
        <w:t xml:space="preserve">s </w:t>
      </w:r>
      <w:r w:rsidR="00F841A8">
        <w:t xml:space="preserve">regarding </w:t>
      </w:r>
      <w:r w:rsidR="00431E94">
        <w:t xml:space="preserve">3GPP </w:t>
      </w:r>
      <w:r w:rsidR="006F6781">
        <w:t xml:space="preserve">UE data collection, reporting and event </w:t>
      </w:r>
      <w:r w:rsidR="00D52ED0">
        <w:t>e</w:t>
      </w:r>
      <w:r w:rsidR="006F6781">
        <w:t>xposure</w:t>
      </w:r>
      <w:r w:rsidR="00D52ED0">
        <w:t xml:space="preserve"> </w:t>
      </w:r>
      <w:r w:rsidR="005C3B02">
        <w:t>functionality</w:t>
      </w:r>
      <w:r w:rsidR="0099280F">
        <w:t>.</w:t>
      </w:r>
    </w:p>
    <w:p w14:paraId="16E729F2" w14:textId="273988ED" w:rsidR="002669C3" w:rsidRDefault="002669C3" w:rsidP="00D36654">
      <w:pPr>
        <w:pStyle w:val="B1"/>
        <w:spacing w:after="80"/>
        <w:ind w:left="446" w:hanging="259"/>
        <w:rPr>
          <w:lang w:eastAsia="zh-CN"/>
        </w:rPr>
      </w:pPr>
      <w:r w:rsidRPr="005844AE">
        <w:rPr>
          <w:rFonts w:eastAsiaTheme="majorEastAsia"/>
          <w:i/>
          <w:iCs/>
          <w:color w:val="000099"/>
        </w:rPr>
        <w:t>2.</w:t>
      </w:r>
      <w:r w:rsidRPr="005844AE">
        <w:rPr>
          <w:rFonts w:eastAsiaTheme="majorEastAsia"/>
          <w:i/>
          <w:iCs/>
          <w:color w:val="000099"/>
        </w:rPr>
        <w:tab/>
      </w:r>
      <w:r w:rsidRPr="005844AE">
        <w:rPr>
          <w:i/>
          <w:iCs/>
          <w:color w:val="000099"/>
          <w:lang w:eastAsia="zh-CN"/>
        </w:rPr>
        <w:t xml:space="preserve">On Step 8 of the procedure in clause 4.2, SA2 would like to clarify that there is no plan to specify R6 in Rel-17 eNA (e.g. in TS 23.288) </w:t>
      </w:r>
      <w:r w:rsidRPr="00AB0525">
        <w:rPr>
          <w:i/>
          <w:iCs/>
          <w:color w:val="000099"/>
          <w:lang w:eastAsia="zh-CN"/>
        </w:rPr>
        <w:t>given that such event exposures to send collected data directly to an event consumer AF without</w:t>
      </w:r>
      <w:r w:rsidRPr="005844AE">
        <w:rPr>
          <w:i/>
          <w:iCs/>
          <w:color w:val="000099"/>
          <w:lang w:eastAsia="zh-CN"/>
        </w:rPr>
        <w:t xml:space="preserve"> concerning NWDAF for generating analytics are not in the scope of Rel-17 eNA. This, however, does not preclude defining R6 specification based on the need for other stage 2 work items in SA4, for example the EVEX itself</w:t>
      </w:r>
      <w:r>
        <w:rPr>
          <w:lang w:eastAsia="zh-CN"/>
        </w:rPr>
        <w:t>.</w:t>
      </w:r>
    </w:p>
    <w:p w14:paraId="6546B3E1" w14:textId="26276F9E" w:rsidR="00547E0E" w:rsidRDefault="00547E0E" w:rsidP="007A5E61">
      <w:pPr>
        <w:pStyle w:val="B1"/>
        <w:ind w:left="187" w:firstLine="0"/>
      </w:pPr>
      <w:r w:rsidRPr="00C01E5B">
        <w:rPr>
          <w:b/>
          <w:bCs/>
        </w:rPr>
        <w:t>SA4 response</w:t>
      </w:r>
      <w:r>
        <w:t xml:space="preserve">: </w:t>
      </w:r>
      <w:r w:rsidR="00D815B9">
        <w:t>S</w:t>
      </w:r>
      <w:r>
        <w:t xml:space="preserve">uch </w:t>
      </w:r>
      <w:r w:rsidR="0013537D">
        <w:t xml:space="preserve">R6 </w:t>
      </w:r>
      <w:r w:rsidR="00366C24">
        <w:t>functionality h</w:t>
      </w:r>
      <w:r>
        <w:t xml:space="preserve">as </w:t>
      </w:r>
      <w:r w:rsidR="00D815B9">
        <w:t xml:space="preserve">indeed </w:t>
      </w:r>
      <w:r>
        <w:t>been</w:t>
      </w:r>
      <w:r w:rsidR="000A7EBC">
        <w:t xml:space="preserve"> or is</w:t>
      </w:r>
      <w:r w:rsidR="00970AD2">
        <w:t xml:space="preserve"> being</w:t>
      </w:r>
      <w:r>
        <w:t xml:space="preserve"> defined in SA4 and CT3 specifications </w:t>
      </w:r>
      <w:r w:rsidR="00D802C6">
        <w:t>with regards to</w:t>
      </w:r>
      <w:r>
        <w:t xml:space="preserve"> event exposure services offered by </w:t>
      </w:r>
      <w:r w:rsidR="00B27BF5">
        <w:t xml:space="preserve">the </w:t>
      </w:r>
      <w:r>
        <w:t xml:space="preserve">Data Collection AF </w:t>
      </w:r>
      <w:r w:rsidR="00B27BF5">
        <w:t xml:space="preserve">in the 5GMS AF </w:t>
      </w:r>
      <w:r>
        <w:t xml:space="preserve">to </w:t>
      </w:r>
      <w:r w:rsidR="00730ECB">
        <w:t xml:space="preserve">an </w:t>
      </w:r>
      <w:r>
        <w:t>external A</w:t>
      </w:r>
      <w:r w:rsidR="0013537D">
        <w:t>pplication Service Provider.</w:t>
      </w:r>
      <w:r w:rsidR="00AA7205">
        <w:t xml:space="preserve"> </w:t>
      </w:r>
      <w:r w:rsidR="00174E98">
        <w:t>In</w:t>
      </w:r>
      <w:r w:rsidR="00AA7205">
        <w:t xml:space="preserve"> particular, this work has been conducted</w:t>
      </w:r>
      <w:r w:rsidR="00730ECB">
        <w:t xml:space="preserve"> </w:t>
      </w:r>
      <w:r w:rsidR="00FC22DE">
        <w:t>via jointly between</w:t>
      </w:r>
      <w:r w:rsidR="00730ECB">
        <w:t xml:space="preserve"> SA4</w:t>
      </w:r>
      <w:r w:rsidR="00FC22DE">
        <w:t xml:space="preserve"> and </w:t>
      </w:r>
      <w:r w:rsidR="00AA7205">
        <w:t>CT3 based on</w:t>
      </w:r>
      <w:r w:rsidR="00D123CF">
        <w:t xml:space="preserve"> prior </w:t>
      </w:r>
      <w:r w:rsidR="00174E98">
        <w:t xml:space="preserve">SA2 LS </w:t>
      </w:r>
      <w:r w:rsidR="00613D4F">
        <w:t>communication</w:t>
      </w:r>
      <w:r w:rsidR="00EB3FE7">
        <w:t>s</w:t>
      </w:r>
      <w:r w:rsidR="0053509F">
        <w:t xml:space="preserve"> granting </w:t>
      </w:r>
      <w:r w:rsidR="00EC1783">
        <w:t>allowance</w:t>
      </w:r>
      <w:r w:rsidR="0053509F">
        <w:t xml:space="preserve"> for </w:t>
      </w:r>
      <w:r w:rsidR="001B3628">
        <w:t>such stage 2 and stage 3 specificatio</w:t>
      </w:r>
      <w:r w:rsidR="00EC1783">
        <w:t>n development</w:t>
      </w:r>
      <w:r w:rsidR="001B3628">
        <w:t xml:space="preserve"> to be </w:t>
      </w:r>
      <w:r w:rsidR="00A768D4">
        <w:t>coordinated between SA4 and CT3.</w:t>
      </w:r>
    </w:p>
    <w:p w14:paraId="051B9E46" w14:textId="6ACBA361" w:rsidR="007A5E61" w:rsidRDefault="00AB0525" w:rsidP="005468DB">
      <w:pPr>
        <w:pStyle w:val="B1"/>
        <w:spacing w:after="80"/>
        <w:ind w:left="461" w:hanging="274"/>
        <w:rPr>
          <w:i/>
          <w:iCs/>
          <w:color w:val="000099"/>
        </w:rPr>
      </w:pPr>
      <w:r w:rsidRPr="00AB0525">
        <w:rPr>
          <w:i/>
          <w:iCs/>
          <w:color w:val="000099"/>
          <w:lang w:eastAsia="ja-JP"/>
        </w:rPr>
        <w:t>3.</w:t>
      </w:r>
      <w:r w:rsidRPr="00AB0525">
        <w:rPr>
          <w:i/>
          <w:iCs/>
          <w:color w:val="000099"/>
          <w:lang w:eastAsia="ja-JP"/>
        </w:rPr>
        <w:tab/>
      </w:r>
      <w:r w:rsidRPr="00AB0525">
        <w:rPr>
          <w:i/>
          <w:iCs/>
          <w:color w:val="000099"/>
          <w:lang w:eastAsia="ja-JP"/>
        </w:rPr>
        <w:t xml:space="preserve">On the definition of reference point R5 in clause 4.3, SA2 would like to again clarify that </w:t>
      </w:r>
      <w:r w:rsidRPr="00AB0525">
        <w:rPr>
          <w:i/>
          <w:iCs/>
          <w:color w:val="000099"/>
          <w:lang w:eastAsia="zh-CN"/>
        </w:rPr>
        <w:t xml:space="preserve">based on developments in Rel-17 eNA, currently use of R5 is only described for certain Analytics IDs and associated Event IDs as described in </w:t>
      </w:r>
      <w:r w:rsidRPr="00AB0525">
        <w:rPr>
          <w:i/>
          <w:iCs/>
          <w:color w:val="000099"/>
        </w:rPr>
        <w:t xml:space="preserve">clause 6.4.2 (Service Experience information) and clauses 6.5.2-6.5.4 (Collective Behaviour information) of TS 23.288. Also the reference to </w:t>
      </w:r>
      <w:r w:rsidRPr="00407A9B">
        <w:rPr>
          <w:rStyle w:val="Code"/>
          <w:color w:val="000099"/>
        </w:rPr>
        <w:t>Naf_EventExposure_Notify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 xml:space="preserve"> </w:t>
      </w:r>
      <w:r w:rsidRPr="0097205D">
        <w:rPr>
          <w:rStyle w:val="Code"/>
          <w:color w:val="000099"/>
        </w:rPr>
        <w:t>s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>hould be amended to clause</w:t>
      </w:r>
      <w:r w:rsidRPr="0097205D">
        <w:rPr>
          <w:color w:val="000099"/>
        </w:rPr>
        <w:t> </w:t>
      </w:r>
      <w:r w:rsidRPr="00AB0525">
        <w:rPr>
          <w:i/>
          <w:iCs/>
          <w:color w:val="000099"/>
        </w:rPr>
        <w:t>5.2.19.2.4 of TS 23.502.</w:t>
      </w:r>
      <w:r w:rsidRPr="00AB0525">
        <w:rPr>
          <w:i/>
          <w:iCs/>
          <w:color w:val="000099"/>
        </w:rPr>
        <w:t>3.</w:t>
      </w:r>
    </w:p>
    <w:p w14:paraId="2147A432" w14:textId="4891689C" w:rsidR="006869D5" w:rsidRDefault="00D815B9" w:rsidP="006869D5">
      <w:pPr>
        <w:pStyle w:val="B1"/>
        <w:ind w:left="180" w:firstLine="0"/>
      </w:pPr>
      <w:r w:rsidRPr="00C01E5B">
        <w:rPr>
          <w:b/>
          <w:bCs/>
        </w:rPr>
        <w:t>SA4 response</w:t>
      </w:r>
      <w:r>
        <w:t xml:space="preserve">: </w:t>
      </w:r>
      <w:r w:rsidR="00B108B0">
        <w:t>Please note that the issue</w:t>
      </w:r>
      <w:r w:rsidR="008B23F0">
        <w:t xml:space="preserve"> </w:t>
      </w:r>
      <w:r w:rsidR="00860ADB">
        <w:t>cited in</w:t>
      </w:r>
      <w:r w:rsidR="00B108B0">
        <w:t xml:space="preserve"> the second point </w:t>
      </w:r>
      <w:r w:rsidR="007D5B29">
        <w:t>can be</w:t>
      </w:r>
      <w:r w:rsidR="00B108B0">
        <w:t xml:space="preserve"> considered </w:t>
      </w:r>
      <w:r w:rsidR="007D5B29">
        <w:t>as</w:t>
      </w:r>
      <w:r w:rsidR="008B23F0">
        <w:t xml:space="preserve"> outdated</w:t>
      </w:r>
      <w:r w:rsidR="00917D8E">
        <w:t xml:space="preserve"> or </w:t>
      </w:r>
      <w:r w:rsidR="009714E8">
        <w:t xml:space="preserve">overtaken by events, </w:t>
      </w:r>
      <w:r w:rsidR="008B23F0">
        <w:t xml:space="preserve">since </w:t>
      </w:r>
      <w:r w:rsidR="009714E8">
        <w:t xml:space="preserve">the </w:t>
      </w:r>
      <w:r w:rsidR="00102814">
        <w:t>latest TS 26</w:t>
      </w:r>
      <w:r w:rsidR="00D003CB">
        <w:t>.531 V17.</w:t>
      </w:r>
      <w:r w:rsidR="0060327E">
        <w:t>0.0</w:t>
      </w:r>
      <w:r w:rsidR="00617320">
        <w:t xml:space="preserve"> does </w:t>
      </w:r>
      <w:r w:rsidR="005918A9">
        <w:t xml:space="preserve">indicate the correct reference as </w:t>
      </w:r>
      <w:r w:rsidR="00860ADB">
        <w:t>ind</w:t>
      </w:r>
      <w:r w:rsidR="00CC669B">
        <w:t>icated</w:t>
      </w:r>
      <w:r w:rsidR="005918A9">
        <w:t xml:space="preserve"> by SA2.</w:t>
      </w:r>
    </w:p>
    <w:p w14:paraId="65BEBA38" w14:textId="686FF79A" w:rsidR="005468DB" w:rsidRDefault="007D5B29" w:rsidP="007D5B29">
      <w:pPr>
        <w:pStyle w:val="B1"/>
        <w:ind w:left="450" w:hanging="270"/>
        <w:rPr>
          <w:i/>
          <w:iCs/>
          <w:color w:val="000099"/>
        </w:rPr>
      </w:pPr>
      <w:r w:rsidRPr="007D5B29">
        <w:rPr>
          <w:i/>
          <w:iCs/>
          <w:color w:val="000099"/>
          <w:lang w:eastAsia="ja-JP"/>
        </w:rPr>
        <w:t>4.</w:t>
      </w:r>
      <w:r w:rsidRPr="007D5B29">
        <w:rPr>
          <w:i/>
          <w:iCs/>
          <w:color w:val="000099"/>
          <w:lang w:eastAsia="ja-JP"/>
        </w:rPr>
        <w:tab/>
      </w:r>
      <w:r w:rsidRPr="007D5B29">
        <w:rPr>
          <w:i/>
          <w:iCs/>
          <w:color w:val="000099"/>
          <w:lang w:eastAsia="ja-JP"/>
        </w:rPr>
        <w:t xml:space="preserve">On the definition of reference point R6 in clause 4.3, </w:t>
      </w:r>
      <w:r w:rsidRPr="007D5B29">
        <w:rPr>
          <w:i/>
          <w:iCs/>
          <w:color w:val="000099"/>
        </w:rPr>
        <w:t xml:space="preserve">the reference to </w:t>
      </w:r>
      <w:r w:rsidRPr="00407A9B">
        <w:rPr>
          <w:rStyle w:val="Code"/>
          <w:color w:val="000099"/>
        </w:rPr>
        <w:t>Naf_EventExposure_Notify</w:t>
      </w:r>
      <w:r w:rsidRPr="007D5B29">
        <w:rPr>
          <w:rStyle w:val="Code"/>
          <w:i w:val="0"/>
          <w:iCs/>
          <w:color w:val="000099"/>
        </w:rPr>
        <w:t xml:space="preserve"> </w:t>
      </w:r>
      <w:r w:rsidRPr="0097205D">
        <w:rPr>
          <w:rStyle w:val="Code"/>
          <w:rFonts w:ascii="Times New Roman" w:hAnsi="Times New Roman" w:cs="Times New Roman"/>
          <w:color w:val="000099"/>
          <w:sz w:val="20"/>
        </w:rPr>
        <w:t>should be amended to clause</w:t>
      </w:r>
      <w:r w:rsidRPr="0097205D">
        <w:rPr>
          <w:rFonts w:cs="Times New Roman"/>
          <w:color w:val="000099"/>
        </w:rPr>
        <w:t> </w:t>
      </w:r>
      <w:r w:rsidRPr="007D5B29">
        <w:rPr>
          <w:i/>
          <w:iCs/>
          <w:color w:val="000099"/>
        </w:rPr>
        <w:t>5.2.19.2.4 of TS 23.502.</w:t>
      </w:r>
    </w:p>
    <w:p w14:paraId="2A7ABEAA" w14:textId="33BC6F4D" w:rsidR="007D5B29" w:rsidRPr="007D5B29" w:rsidRDefault="007D5B29" w:rsidP="007D5B29">
      <w:pPr>
        <w:pStyle w:val="B1"/>
        <w:ind w:left="180" w:firstLine="0"/>
        <w:rPr>
          <w:rFonts w:eastAsiaTheme="majorEastAsia"/>
        </w:rPr>
      </w:pPr>
      <w:r w:rsidRPr="00C01E5B">
        <w:rPr>
          <w:b/>
          <w:bCs/>
        </w:rPr>
        <w:lastRenderedPageBreak/>
        <w:t>SA4 response</w:t>
      </w:r>
      <w:r>
        <w:t xml:space="preserve">: </w:t>
      </w:r>
      <w:r w:rsidR="008B23F0">
        <w:t xml:space="preserve">Same comment as previous </w:t>
      </w:r>
      <w:r w:rsidR="004C519B">
        <w:t xml:space="preserve">– </w:t>
      </w:r>
      <w:r w:rsidR="004C519B">
        <w:t>latest TS 26.531 V17.0.0 indicate</w:t>
      </w:r>
      <w:r w:rsidR="004C519B">
        <w:t>s</w:t>
      </w:r>
      <w:r w:rsidR="004C519B">
        <w:t xml:space="preserve"> the correct reference as </w:t>
      </w:r>
      <w:r w:rsidR="00860ADB">
        <w:t>indicated</w:t>
      </w:r>
      <w:r w:rsidR="004C519B">
        <w:t xml:space="preserve"> by SA2.</w:t>
      </w:r>
    </w:p>
    <w:p w14:paraId="60A7E165" w14:textId="77777777" w:rsidR="00080BEF" w:rsidRPr="000223D0" w:rsidRDefault="00080BEF" w:rsidP="00080BEF">
      <w:pPr>
        <w:spacing w:after="80"/>
        <w:ind w:left="447" w:hanging="274"/>
      </w:pPr>
      <w:r>
        <w:t xml:space="preserve">5. </w:t>
      </w:r>
      <w:r>
        <w:tab/>
      </w:r>
      <w:r w:rsidRPr="00080BEF">
        <w:rPr>
          <w:i/>
          <w:iCs/>
          <w:color w:val="000099"/>
        </w:rPr>
        <w:t xml:space="preserve">On Step 2 of the procedure in clause 5.8, SA2 </w:t>
      </w:r>
      <w:r w:rsidRPr="00080BEF">
        <w:rPr>
          <w:i/>
          <w:iCs/>
          <w:color w:val="000099"/>
          <w:lang w:eastAsia="ja-JP"/>
        </w:rPr>
        <w:t xml:space="preserve">would like to again clarify that </w:t>
      </w:r>
      <w:r w:rsidRPr="00080BEF">
        <w:rPr>
          <w:i/>
          <w:iCs/>
          <w:color w:val="000099"/>
          <w:lang w:eastAsia="zh-CN"/>
        </w:rPr>
        <w:t xml:space="preserve">based on developments in Rel-17 eNA, currently use of R5 is only described for certain Analytics IDs and associated Event IDs as described in </w:t>
      </w:r>
      <w:r w:rsidRPr="00080BEF">
        <w:rPr>
          <w:i/>
          <w:iCs/>
          <w:color w:val="000099"/>
        </w:rPr>
        <w:t>clause 6.4.2 (Service Experience information) and clauses 6.5.2-6.5.4 (Collective Behaviour information) of TS 23.288.</w:t>
      </w:r>
    </w:p>
    <w:p w14:paraId="6BB5A88B" w14:textId="7D6D8976" w:rsidR="0079170B" w:rsidRPr="00097EF9" w:rsidRDefault="0092679A" w:rsidP="00097EF9">
      <w:pPr>
        <w:ind w:left="180"/>
        <w:rPr>
          <w:rFonts w:eastAsiaTheme="minorEastAsia" w:cs="Times New Roman"/>
          <w:lang w:val="en-US" w:eastAsia="zh-CN"/>
        </w:rPr>
      </w:pPr>
      <w:r w:rsidRPr="0092679A">
        <w:rPr>
          <w:rFonts w:eastAsiaTheme="minorEastAsia" w:cs="Times New Roman"/>
          <w:b/>
          <w:bCs/>
          <w:lang w:val="en-US" w:eastAsia="zh-CN"/>
        </w:rPr>
        <w:t xml:space="preserve">SA4 </w:t>
      </w:r>
      <w:r w:rsidR="00080BEF">
        <w:rPr>
          <w:rFonts w:eastAsiaTheme="minorEastAsia" w:cs="Times New Roman"/>
          <w:b/>
          <w:bCs/>
          <w:lang w:val="en-US" w:eastAsia="zh-CN"/>
        </w:rPr>
        <w:t>response</w:t>
      </w:r>
      <w:r w:rsidRPr="0092679A">
        <w:rPr>
          <w:rFonts w:eastAsiaTheme="minorEastAsia" w:cs="Times New Roman"/>
          <w:b/>
          <w:bCs/>
          <w:lang w:val="en-US" w:eastAsia="zh-CN"/>
        </w:rPr>
        <w:t>:</w:t>
      </w:r>
      <w:r w:rsidRPr="008E527F">
        <w:rPr>
          <w:rFonts w:ascii="Arial" w:eastAsiaTheme="minorEastAsia" w:hAnsi="Arial" w:cs="Arial"/>
          <w:b/>
          <w:bCs/>
          <w:lang w:val="en-US" w:eastAsia="zh-CN"/>
        </w:rPr>
        <w:t xml:space="preserve"> </w:t>
      </w:r>
      <w:r w:rsidR="00E93A1F">
        <w:rPr>
          <w:rFonts w:eastAsiaTheme="minorEastAsia" w:cs="Times New Roman"/>
          <w:lang w:val="en-US" w:eastAsia="zh-CN"/>
        </w:rPr>
        <w:t>This</w:t>
      </w:r>
      <w:r w:rsidR="00E96698">
        <w:rPr>
          <w:rFonts w:eastAsiaTheme="minorEastAsia" w:cs="Times New Roman"/>
          <w:lang w:val="en-US" w:eastAsia="zh-CN"/>
        </w:rPr>
        <w:t xml:space="preserve"> </w:t>
      </w:r>
      <w:r w:rsidR="005A23D7">
        <w:rPr>
          <w:rFonts w:eastAsiaTheme="minorEastAsia" w:cs="Times New Roman"/>
          <w:lang w:val="en-US" w:eastAsia="zh-CN"/>
        </w:rPr>
        <w:t xml:space="preserve">appears to be the same as </w:t>
      </w:r>
      <w:r w:rsidR="00F552E1">
        <w:rPr>
          <w:rFonts w:eastAsiaTheme="minorEastAsia" w:cs="Times New Roman"/>
          <w:lang w:val="en-US" w:eastAsia="zh-CN"/>
        </w:rPr>
        <w:t>point</w:t>
      </w:r>
      <w:r w:rsidR="00101331">
        <w:rPr>
          <w:rFonts w:eastAsiaTheme="minorEastAsia" w:cs="Times New Roman"/>
          <w:lang w:val="en-US" w:eastAsia="zh-CN"/>
        </w:rPr>
        <w:t xml:space="preserve"> #1 above</w:t>
      </w:r>
      <w:r w:rsidR="00DB2370">
        <w:rPr>
          <w:rFonts w:eastAsiaTheme="minorEastAsia" w:cs="Times New Roman"/>
          <w:lang w:val="en-US" w:eastAsia="zh-CN"/>
        </w:rPr>
        <w:t xml:space="preserve"> and </w:t>
      </w:r>
      <w:r w:rsidR="00101331">
        <w:rPr>
          <w:rFonts w:eastAsiaTheme="minorEastAsia" w:cs="Times New Roman"/>
          <w:lang w:val="en-US" w:eastAsia="zh-CN"/>
        </w:rPr>
        <w:t>a</w:t>
      </w:r>
      <w:r w:rsidR="00DB2370">
        <w:rPr>
          <w:rFonts w:eastAsiaTheme="minorEastAsia" w:cs="Times New Roman"/>
          <w:lang w:val="en-US" w:eastAsia="zh-CN"/>
        </w:rPr>
        <w:t>ddressed accordingly by SA4.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18B1DF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69E8">
        <w:rPr>
          <w:rFonts w:ascii="Arial" w:hAnsi="Arial" w:cs="Arial"/>
          <w:b/>
        </w:rPr>
        <w:t>SA2</w:t>
      </w:r>
    </w:p>
    <w:p w14:paraId="6E0D82E0" w14:textId="5F5173D0" w:rsidR="001A7926" w:rsidRDefault="00B97703" w:rsidP="00871B73">
      <w:pPr>
        <w:pStyle w:val="ListBullet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t xml:space="preserve">SA4 kindly asked </w:t>
      </w:r>
      <w:r w:rsidR="007769E8">
        <w:t>SA2</w:t>
      </w:r>
      <w:r w:rsidR="009D2F59" w:rsidRPr="009D2F59">
        <w:t xml:space="preserve"> to take the above </w:t>
      </w:r>
      <w:r w:rsidR="00BC7B65">
        <w:t>responses into account</w:t>
      </w:r>
      <w:r w:rsidR="009D2F59" w:rsidRPr="009D2F59">
        <w:t xml:space="preserve">, </w:t>
      </w:r>
      <w:r w:rsidR="000217E6">
        <w:t>and check the latest versions of TS 26.531 and TS 26.532</w:t>
      </w:r>
      <w:r w:rsidR="00811699">
        <w:t xml:space="preserve"> </w:t>
      </w:r>
      <w:r w:rsidR="00756C27">
        <w:t xml:space="preserve">with regards to the comments and </w:t>
      </w:r>
      <w:r w:rsidR="00A00E6D">
        <w:t>suggestions</w:t>
      </w:r>
      <w:r w:rsidR="00756C27">
        <w:t xml:space="preserve"> from SA2</w:t>
      </w:r>
      <w:r w:rsidR="00871B73">
        <w:t xml:space="preserve"> LS.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7D076A92" w14:textId="470F4458" w:rsidR="000629EA" w:rsidRDefault="000937C4" w:rsidP="009B3428">
      <w:r>
        <w:t>SA4</w:t>
      </w:r>
      <w:r w:rsidR="006F606A">
        <w:t>#121</w:t>
      </w:r>
      <w:r w:rsidR="008F2E39">
        <w:tab/>
        <w:t>14</w:t>
      </w:r>
      <w:r w:rsidR="008F2E39" w:rsidRPr="00D747EA">
        <w:rPr>
          <w:vertAlign w:val="superscript"/>
        </w:rPr>
        <w:t>th</w:t>
      </w:r>
      <w:r w:rsidR="008F2E39">
        <w:t xml:space="preserve"> – 18</w:t>
      </w:r>
      <w:r w:rsidR="008F2E39" w:rsidRPr="00D747EA">
        <w:rPr>
          <w:vertAlign w:val="superscript"/>
        </w:rPr>
        <w:t>th</w:t>
      </w:r>
      <w:r w:rsidR="008F2E39">
        <w:t xml:space="preserve"> November 2022</w:t>
      </w:r>
      <w:r w:rsidR="00D02E69">
        <w:tab/>
      </w:r>
      <w:r w:rsidR="00D55CB3">
        <w:tab/>
      </w:r>
      <w:r w:rsidR="008F353E">
        <w:t>EU</w:t>
      </w:r>
    </w:p>
    <w:p w14:paraId="28FF5E3D" w14:textId="76C7AC02" w:rsidR="00564D02" w:rsidRPr="009B3428" w:rsidRDefault="00D02E69" w:rsidP="00564D02">
      <w:pPr>
        <w:spacing w:after="0"/>
        <w:rPr>
          <w:rFonts w:cs="Times New Roman"/>
        </w:rPr>
      </w:pPr>
      <w:r w:rsidRPr="00D02E69">
        <w:rPr>
          <w:rFonts w:cs="Times New Roman"/>
          <w:bCs/>
        </w:rPr>
        <w:t>SA4#122</w:t>
      </w:r>
      <w:r w:rsidRPr="00D02E69">
        <w:rPr>
          <w:rFonts w:cs="Times New Roman"/>
          <w:bCs/>
        </w:rPr>
        <w:tab/>
        <w:t>20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– 24</w:t>
      </w:r>
      <w:r w:rsidRPr="00D02E69">
        <w:rPr>
          <w:rFonts w:cs="Times New Roman"/>
          <w:bCs/>
          <w:vertAlign w:val="superscript"/>
        </w:rPr>
        <w:t>th</w:t>
      </w:r>
      <w:r w:rsidRPr="00D02E69">
        <w:rPr>
          <w:rFonts w:cs="Times New Roman"/>
          <w:bCs/>
        </w:rPr>
        <w:t xml:space="preserve">  February 202</w:t>
      </w:r>
      <w:r>
        <w:rPr>
          <w:rFonts w:cs="Times New Roman"/>
          <w:bCs/>
        </w:rPr>
        <w:t>2</w:t>
      </w:r>
      <w:r>
        <w:rPr>
          <w:rFonts w:cs="Times New Roman"/>
          <w:bCs/>
        </w:rPr>
        <w:tab/>
      </w:r>
      <w:r w:rsidRPr="00D02E69">
        <w:rPr>
          <w:rFonts w:cs="Times New Roman"/>
          <w:bCs/>
        </w:rPr>
        <w:tab/>
        <w:t>EU</w:t>
      </w:r>
      <w:bookmarkEnd w:id="18"/>
    </w:p>
    <w:sectPr w:rsidR="00564D02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281A" w14:textId="77777777" w:rsidR="00733830" w:rsidRDefault="00733830">
      <w:pPr>
        <w:spacing w:after="0"/>
      </w:pPr>
      <w:r>
        <w:separator/>
      </w:r>
    </w:p>
  </w:endnote>
  <w:endnote w:type="continuationSeparator" w:id="0">
    <w:p w14:paraId="797560A5" w14:textId="77777777" w:rsidR="00733830" w:rsidRDefault="00733830">
      <w:pPr>
        <w:spacing w:after="0"/>
      </w:pPr>
      <w:r>
        <w:continuationSeparator/>
      </w:r>
    </w:p>
  </w:endnote>
  <w:endnote w:type="continuationNotice" w:id="1">
    <w:p w14:paraId="33F00BD8" w14:textId="77777777" w:rsidR="00733830" w:rsidRDefault="007338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4753" w14:textId="77777777" w:rsidR="00733830" w:rsidRDefault="00733830">
      <w:pPr>
        <w:spacing w:after="0"/>
      </w:pPr>
      <w:r>
        <w:separator/>
      </w:r>
    </w:p>
  </w:footnote>
  <w:footnote w:type="continuationSeparator" w:id="0">
    <w:p w14:paraId="05EEA474" w14:textId="77777777" w:rsidR="00733830" w:rsidRDefault="00733830">
      <w:pPr>
        <w:spacing w:after="0"/>
      </w:pPr>
      <w:r>
        <w:continuationSeparator/>
      </w:r>
    </w:p>
  </w:footnote>
  <w:footnote w:type="continuationNotice" w:id="1">
    <w:p w14:paraId="20975013" w14:textId="77777777" w:rsidR="00733830" w:rsidRDefault="0073383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3FAF"/>
    <w:rsid w:val="0001787F"/>
    <w:rsid w:val="00017F23"/>
    <w:rsid w:val="0002121E"/>
    <w:rsid w:val="000215E2"/>
    <w:rsid w:val="000217E6"/>
    <w:rsid w:val="000227D9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1FF9"/>
    <w:rsid w:val="00053969"/>
    <w:rsid w:val="00054BCE"/>
    <w:rsid w:val="000554D4"/>
    <w:rsid w:val="0005615B"/>
    <w:rsid w:val="0005664C"/>
    <w:rsid w:val="00057BE8"/>
    <w:rsid w:val="000600DA"/>
    <w:rsid w:val="000629EA"/>
    <w:rsid w:val="00062B3B"/>
    <w:rsid w:val="00065E38"/>
    <w:rsid w:val="000733E6"/>
    <w:rsid w:val="00074327"/>
    <w:rsid w:val="000802B1"/>
    <w:rsid w:val="00080BEF"/>
    <w:rsid w:val="00084D74"/>
    <w:rsid w:val="00086624"/>
    <w:rsid w:val="00090BE1"/>
    <w:rsid w:val="000930B2"/>
    <w:rsid w:val="000937C4"/>
    <w:rsid w:val="00096113"/>
    <w:rsid w:val="00096F69"/>
    <w:rsid w:val="000973BA"/>
    <w:rsid w:val="00097EF9"/>
    <w:rsid w:val="000A18C0"/>
    <w:rsid w:val="000A310A"/>
    <w:rsid w:val="000A43D8"/>
    <w:rsid w:val="000A69ED"/>
    <w:rsid w:val="000A7EB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3F7A"/>
    <w:rsid w:val="000D488B"/>
    <w:rsid w:val="000D504E"/>
    <w:rsid w:val="000D6072"/>
    <w:rsid w:val="000D68E9"/>
    <w:rsid w:val="000D6CB4"/>
    <w:rsid w:val="000E02BB"/>
    <w:rsid w:val="000E27E4"/>
    <w:rsid w:val="000E3037"/>
    <w:rsid w:val="000E3F58"/>
    <w:rsid w:val="000E43A4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1331"/>
    <w:rsid w:val="00102814"/>
    <w:rsid w:val="0010322F"/>
    <w:rsid w:val="00103547"/>
    <w:rsid w:val="00103FA9"/>
    <w:rsid w:val="001065E6"/>
    <w:rsid w:val="001079A3"/>
    <w:rsid w:val="001124D7"/>
    <w:rsid w:val="0011305E"/>
    <w:rsid w:val="00114038"/>
    <w:rsid w:val="00116B61"/>
    <w:rsid w:val="00117F06"/>
    <w:rsid w:val="00123814"/>
    <w:rsid w:val="001241FE"/>
    <w:rsid w:val="00124A51"/>
    <w:rsid w:val="00132E85"/>
    <w:rsid w:val="00133087"/>
    <w:rsid w:val="0013311A"/>
    <w:rsid w:val="0013465E"/>
    <w:rsid w:val="0013537D"/>
    <w:rsid w:val="00135DC9"/>
    <w:rsid w:val="00137F94"/>
    <w:rsid w:val="001403A4"/>
    <w:rsid w:val="00141028"/>
    <w:rsid w:val="00144853"/>
    <w:rsid w:val="00146A1A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4E98"/>
    <w:rsid w:val="0017670A"/>
    <w:rsid w:val="0018311B"/>
    <w:rsid w:val="001837C3"/>
    <w:rsid w:val="00184CA2"/>
    <w:rsid w:val="00187472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628"/>
    <w:rsid w:val="001B396D"/>
    <w:rsid w:val="001B4564"/>
    <w:rsid w:val="001B4F0A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5C8C"/>
    <w:rsid w:val="001F79F9"/>
    <w:rsid w:val="00203270"/>
    <w:rsid w:val="002047B8"/>
    <w:rsid w:val="00205F93"/>
    <w:rsid w:val="00211FD3"/>
    <w:rsid w:val="00212BB0"/>
    <w:rsid w:val="0021330A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1DC4"/>
    <w:rsid w:val="002427DC"/>
    <w:rsid w:val="00242F93"/>
    <w:rsid w:val="002435FA"/>
    <w:rsid w:val="00250555"/>
    <w:rsid w:val="002509EB"/>
    <w:rsid w:val="00250FD1"/>
    <w:rsid w:val="00251A11"/>
    <w:rsid w:val="002548A2"/>
    <w:rsid w:val="00255909"/>
    <w:rsid w:val="002614A1"/>
    <w:rsid w:val="00262A13"/>
    <w:rsid w:val="00263DD7"/>
    <w:rsid w:val="002669C3"/>
    <w:rsid w:val="00271F28"/>
    <w:rsid w:val="00276793"/>
    <w:rsid w:val="00276FB1"/>
    <w:rsid w:val="002800F8"/>
    <w:rsid w:val="00281C37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A7587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03D"/>
    <w:rsid w:val="002E34F4"/>
    <w:rsid w:val="002E3826"/>
    <w:rsid w:val="002E4825"/>
    <w:rsid w:val="002E6D58"/>
    <w:rsid w:val="002E7DF1"/>
    <w:rsid w:val="002F1940"/>
    <w:rsid w:val="002F4307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6BAA"/>
    <w:rsid w:val="003450D4"/>
    <w:rsid w:val="00350F1C"/>
    <w:rsid w:val="00354602"/>
    <w:rsid w:val="00361287"/>
    <w:rsid w:val="00366C24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BCB"/>
    <w:rsid w:val="003B6CEF"/>
    <w:rsid w:val="003B7BAC"/>
    <w:rsid w:val="003C1DF8"/>
    <w:rsid w:val="003C61AC"/>
    <w:rsid w:val="003D0E4A"/>
    <w:rsid w:val="003D4CDD"/>
    <w:rsid w:val="003D74D6"/>
    <w:rsid w:val="003E07E9"/>
    <w:rsid w:val="003E0AD7"/>
    <w:rsid w:val="003E0D1C"/>
    <w:rsid w:val="003E0E40"/>
    <w:rsid w:val="003E24E7"/>
    <w:rsid w:val="003F0052"/>
    <w:rsid w:val="003F0153"/>
    <w:rsid w:val="003F1084"/>
    <w:rsid w:val="003F2119"/>
    <w:rsid w:val="003F25B2"/>
    <w:rsid w:val="003F312F"/>
    <w:rsid w:val="003F3883"/>
    <w:rsid w:val="003F586C"/>
    <w:rsid w:val="00403366"/>
    <w:rsid w:val="00403AB2"/>
    <w:rsid w:val="00403D92"/>
    <w:rsid w:val="00407A57"/>
    <w:rsid w:val="00407A9B"/>
    <w:rsid w:val="00413AD4"/>
    <w:rsid w:val="004144FA"/>
    <w:rsid w:val="00414FE5"/>
    <w:rsid w:val="00415D2B"/>
    <w:rsid w:val="00415F98"/>
    <w:rsid w:val="00416F48"/>
    <w:rsid w:val="00417820"/>
    <w:rsid w:val="004223AA"/>
    <w:rsid w:val="004244E1"/>
    <w:rsid w:val="00424777"/>
    <w:rsid w:val="0042671E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2CDF"/>
    <w:rsid w:val="004874B6"/>
    <w:rsid w:val="0049181D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519B"/>
    <w:rsid w:val="004C7A6A"/>
    <w:rsid w:val="004D0A63"/>
    <w:rsid w:val="004D6E0C"/>
    <w:rsid w:val="004E3218"/>
    <w:rsid w:val="004E3939"/>
    <w:rsid w:val="004E4CCF"/>
    <w:rsid w:val="004E6075"/>
    <w:rsid w:val="004E6AC4"/>
    <w:rsid w:val="004E776F"/>
    <w:rsid w:val="004F0AB0"/>
    <w:rsid w:val="004F494A"/>
    <w:rsid w:val="004F5BD0"/>
    <w:rsid w:val="004F7E08"/>
    <w:rsid w:val="00500543"/>
    <w:rsid w:val="00501D0B"/>
    <w:rsid w:val="00503A07"/>
    <w:rsid w:val="0051038B"/>
    <w:rsid w:val="00523671"/>
    <w:rsid w:val="00527287"/>
    <w:rsid w:val="00532544"/>
    <w:rsid w:val="0053509F"/>
    <w:rsid w:val="00535230"/>
    <w:rsid w:val="005428DE"/>
    <w:rsid w:val="00543542"/>
    <w:rsid w:val="0054612E"/>
    <w:rsid w:val="005468DB"/>
    <w:rsid w:val="005474F4"/>
    <w:rsid w:val="00547E0E"/>
    <w:rsid w:val="00552D6C"/>
    <w:rsid w:val="0055451B"/>
    <w:rsid w:val="00554AF5"/>
    <w:rsid w:val="00563D1F"/>
    <w:rsid w:val="00563F17"/>
    <w:rsid w:val="00564219"/>
    <w:rsid w:val="00564D02"/>
    <w:rsid w:val="00567622"/>
    <w:rsid w:val="00570DEE"/>
    <w:rsid w:val="00572D2B"/>
    <w:rsid w:val="005737D0"/>
    <w:rsid w:val="00575FF1"/>
    <w:rsid w:val="00576655"/>
    <w:rsid w:val="0058223F"/>
    <w:rsid w:val="005844AE"/>
    <w:rsid w:val="00590287"/>
    <w:rsid w:val="005918A9"/>
    <w:rsid w:val="00593021"/>
    <w:rsid w:val="005931FF"/>
    <w:rsid w:val="005943C8"/>
    <w:rsid w:val="00594F83"/>
    <w:rsid w:val="00595F1D"/>
    <w:rsid w:val="00595F72"/>
    <w:rsid w:val="005970A0"/>
    <w:rsid w:val="005A0165"/>
    <w:rsid w:val="005A0186"/>
    <w:rsid w:val="005A1478"/>
    <w:rsid w:val="005A23D7"/>
    <w:rsid w:val="005A544D"/>
    <w:rsid w:val="005B05BE"/>
    <w:rsid w:val="005B07D7"/>
    <w:rsid w:val="005B3FC8"/>
    <w:rsid w:val="005B44B9"/>
    <w:rsid w:val="005C1DDF"/>
    <w:rsid w:val="005C3B02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5C9B"/>
    <w:rsid w:val="005F6482"/>
    <w:rsid w:val="006024B4"/>
    <w:rsid w:val="00602B1C"/>
    <w:rsid w:val="0060327E"/>
    <w:rsid w:val="006045F6"/>
    <w:rsid w:val="006077A5"/>
    <w:rsid w:val="00610E9C"/>
    <w:rsid w:val="00611336"/>
    <w:rsid w:val="00612075"/>
    <w:rsid w:val="00613D4F"/>
    <w:rsid w:val="0061529A"/>
    <w:rsid w:val="00616354"/>
    <w:rsid w:val="00617320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3942"/>
    <w:rsid w:val="00646CFD"/>
    <w:rsid w:val="0065186E"/>
    <w:rsid w:val="00651C3C"/>
    <w:rsid w:val="00653F5B"/>
    <w:rsid w:val="00656039"/>
    <w:rsid w:val="00665FFE"/>
    <w:rsid w:val="006711BB"/>
    <w:rsid w:val="006736D6"/>
    <w:rsid w:val="006745A0"/>
    <w:rsid w:val="0067725A"/>
    <w:rsid w:val="006772AA"/>
    <w:rsid w:val="006822B1"/>
    <w:rsid w:val="00683AAD"/>
    <w:rsid w:val="006842A0"/>
    <w:rsid w:val="0068524D"/>
    <w:rsid w:val="006869D5"/>
    <w:rsid w:val="00691F62"/>
    <w:rsid w:val="006920C4"/>
    <w:rsid w:val="006928B3"/>
    <w:rsid w:val="00693223"/>
    <w:rsid w:val="0069485A"/>
    <w:rsid w:val="00695294"/>
    <w:rsid w:val="006A277C"/>
    <w:rsid w:val="006A401D"/>
    <w:rsid w:val="006A46F3"/>
    <w:rsid w:val="006A4DF9"/>
    <w:rsid w:val="006A6EED"/>
    <w:rsid w:val="006B0050"/>
    <w:rsid w:val="006B142B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5D0F"/>
    <w:rsid w:val="006F606A"/>
    <w:rsid w:val="006F6781"/>
    <w:rsid w:val="007009A6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501E"/>
    <w:rsid w:val="00730ECB"/>
    <w:rsid w:val="00730FF0"/>
    <w:rsid w:val="00731377"/>
    <w:rsid w:val="00731DED"/>
    <w:rsid w:val="007325CE"/>
    <w:rsid w:val="00733830"/>
    <w:rsid w:val="00733CE4"/>
    <w:rsid w:val="00735AEC"/>
    <w:rsid w:val="00735B41"/>
    <w:rsid w:val="007408C5"/>
    <w:rsid w:val="00740A16"/>
    <w:rsid w:val="00742225"/>
    <w:rsid w:val="007475DD"/>
    <w:rsid w:val="00756C27"/>
    <w:rsid w:val="00757E6D"/>
    <w:rsid w:val="00763354"/>
    <w:rsid w:val="00763F5C"/>
    <w:rsid w:val="007659B7"/>
    <w:rsid w:val="00770A9E"/>
    <w:rsid w:val="00771417"/>
    <w:rsid w:val="00771A23"/>
    <w:rsid w:val="00771F2D"/>
    <w:rsid w:val="007740E2"/>
    <w:rsid w:val="00774666"/>
    <w:rsid w:val="007763D8"/>
    <w:rsid w:val="007769E8"/>
    <w:rsid w:val="00776B55"/>
    <w:rsid w:val="0077723E"/>
    <w:rsid w:val="0078027F"/>
    <w:rsid w:val="007828B6"/>
    <w:rsid w:val="00782EAD"/>
    <w:rsid w:val="0078645C"/>
    <w:rsid w:val="0079170B"/>
    <w:rsid w:val="00792FDA"/>
    <w:rsid w:val="007941FA"/>
    <w:rsid w:val="00794BAC"/>
    <w:rsid w:val="00796FB0"/>
    <w:rsid w:val="007A08A9"/>
    <w:rsid w:val="007A2E79"/>
    <w:rsid w:val="007A5DE5"/>
    <w:rsid w:val="007A5E61"/>
    <w:rsid w:val="007B04AA"/>
    <w:rsid w:val="007B0C06"/>
    <w:rsid w:val="007B39B9"/>
    <w:rsid w:val="007B3B38"/>
    <w:rsid w:val="007B4586"/>
    <w:rsid w:val="007C6D5F"/>
    <w:rsid w:val="007D2037"/>
    <w:rsid w:val="007D543A"/>
    <w:rsid w:val="007D5B29"/>
    <w:rsid w:val="007D75C7"/>
    <w:rsid w:val="007D7883"/>
    <w:rsid w:val="007E3CAE"/>
    <w:rsid w:val="007E7EFC"/>
    <w:rsid w:val="007F484B"/>
    <w:rsid w:val="007F4BA0"/>
    <w:rsid w:val="007F4F92"/>
    <w:rsid w:val="007F5DBA"/>
    <w:rsid w:val="00801954"/>
    <w:rsid w:val="008033CC"/>
    <w:rsid w:val="008052A2"/>
    <w:rsid w:val="008056E8"/>
    <w:rsid w:val="00811699"/>
    <w:rsid w:val="008134CD"/>
    <w:rsid w:val="00816211"/>
    <w:rsid w:val="0081623C"/>
    <w:rsid w:val="00817E0A"/>
    <w:rsid w:val="00822B3B"/>
    <w:rsid w:val="008239A1"/>
    <w:rsid w:val="00823D59"/>
    <w:rsid w:val="00827047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60ADB"/>
    <w:rsid w:val="0086119E"/>
    <w:rsid w:val="00861DB8"/>
    <w:rsid w:val="00863181"/>
    <w:rsid w:val="00863C4C"/>
    <w:rsid w:val="0086553C"/>
    <w:rsid w:val="00871B73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84D9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23F0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3DC5"/>
    <w:rsid w:val="009147FA"/>
    <w:rsid w:val="00915E86"/>
    <w:rsid w:val="00917D8E"/>
    <w:rsid w:val="00920082"/>
    <w:rsid w:val="00920F08"/>
    <w:rsid w:val="00921125"/>
    <w:rsid w:val="009213FD"/>
    <w:rsid w:val="0092679A"/>
    <w:rsid w:val="009304FC"/>
    <w:rsid w:val="0093114A"/>
    <w:rsid w:val="00934578"/>
    <w:rsid w:val="00936E19"/>
    <w:rsid w:val="00936F71"/>
    <w:rsid w:val="00937B14"/>
    <w:rsid w:val="00943346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0AD2"/>
    <w:rsid w:val="009714E8"/>
    <w:rsid w:val="0097205D"/>
    <w:rsid w:val="0097388E"/>
    <w:rsid w:val="00977105"/>
    <w:rsid w:val="00980A9F"/>
    <w:rsid w:val="00982F95"/>
    <w:rsid w:val="00983205"/>
    <w:rsid w:val="00983A76"/>
    <w:rsid w:val="0099280F"/>
    <w:rsid w:val="00995237"/>
    <w:rsid w:val="00997228"/>
    <w:rsid w:val="0099764C"/>
    <w:rsid w:val="009A1B6E"/>
    <w:rsid w:val="009B01C7"/>
    <w:rsid w:val="009B0EA3"/>
    <w:rsid w:val="009B278A"/>
    <w:rsid w:val="009B3428"/>
    <w:rsid w:val="009B3508"/>
    <w:rsid w:val="009C1508"/>
    <w:rsid w:val="009C2207"/>
    <w:rsid w:val="009C2DB5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1E1"/>
    <w:rsid w:val="009E7E97"/>
    <w:rsid w:val="009F174F"/>
    <w:rsid w:val="00A00E6D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0FF7"/>
    <w:rsid w:val="00A6111E"/>
    <w:rsid w:val="00A61BE7"/>
    <w:rsid w:val="00A62080"/>
    <w:rsid w:val="00A70533"/>
    <w:rsid w:val="00A768D4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7205"/>
    <w:rsid w:val="00AB041B"/>
    <w:rsid w:val="00AB0525"/>
    <w:rsid w:val="00AB119A"/>
    <w:rsid w:val="00AB244D"/>
    <w:rsid w:val="00AB56C9"/>
    <w:rsid w:val="00AC186F"/>
    <w:rsid w:val="00AC2CAB"/>
    <w:rsid w:val="00AC7275"/>
    <w:rsid w:val="00AC7760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8B0"/>
    <w:rsid w:val="00B1155A"/>
    <w:rsid w:val="00B16627"/>
    <w:rsid w:val="00B1752B"/>
    <w:rsid w:val="00B231E6"/>
    <w:rsid w:val="00B261B2"/>
    <w:rsid w:val="00B27BF5"/>
    <w:rsid w:val="00B30868"/>
    <w:rsid w:val="00B33B8B"/>
    <w:rsid w:val="00B343C6"/>
    <w:rsid w:val="00B37DE4"/>
    <w:rsid w:val="00B4012A"/>
    <w:rsid w:val="00B4701B"/>
    <w:rsid w:val="00B47E21"/>
    <w:rsid w:val="00B517E2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BF789E"/>
    <w:rsid w:val="00C0013C"/>
    <w:rsid w:val="00C002BA"/>
    <w:rsid w:val="00C01E5B"/>
    <w:rsid w:val="00C029AC"/>
    <w:rsid w:val="00C03D2C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1EA1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1F92"/>
    <w:rsid w:val="00CA3D1A"/>
    <w:rsid w:val="00CA5BB0"/>
    <w:rsid w:val="00CA71D5"/>
    <w:rsid w:val="00CA71DA"/>
    <w:rsid w:val="00CA767E"/>
    <w:rsid w:val="00CC1209"/>
    <w:rsid w:val="00CC5063"/>
    <w:rsid w:val="00CC6577"/>
    <w:rsid w:val="00CC669B"/>
    <w:rsid w:val="00CD131F"/>
    <w:rsid w:val="00CD34A0"/>
    <w:rsid w:val="00CD7636"/>
    <w:rsid w:val="00CE1E18"/>
    <w:rsid w:val="00CE20AE"/>
    <w:rsid w:val="00CE2E08"/>
    <w:rsid w:val="00CE3648"/>
    <w:rsid w:val="00CE521F"/>
    <w:rsid w:val="00CE6C35"/>
    <w:rsid w:val="00CE728E"/>
    <w:rsid w:val="00CF0065"/>
    <w:rsid w:val="00CF2CF4"/>
    <w:rsid w:val="00CF2F63"/>
    <w:rsid w:val="00CF50A8"/>
    <w:rsid w:val="00CF6087"/>
    <w:rsid w:val="00D003CB"/>
    <w:rsid w:val="00D02424"/>
    <w:rsid w:val="00D02E69"/>
    <w:rsid w:val="00D05F98"/>
    <w:rsid w:val="00D123CF"/>
    <w:rsid w:val="00D141EE"/>
    <w:rsid w:val="00D1745F"/>
    <w:rsid w:val="00D17CAD"/>
    <w:rsid w:val="00D17FA7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654"/>
    <w:rsid w:val="00D36F3A"/>
    <w:rsid w:val="00D40730"/>
    <w:rsid w:val="00D42F56"/>
    <w:rsid w:val="00D43D8C"/>
    <w:rsid w:val="00D45767"/>
    <w:rsid w:val="00D46905"/>
    <w:rsid w:val="00D47CAB"/>
    <w:rsid w:val="00D50B95"/>
    <w:rsid w:val="00D52ED0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02C6"/>
    <w:rsid w:val="00D815B9"/>
    <w:rsid w:val="00D815FC"/>
    <w:rsid w:val="00D841B0"/>
    <w:rsid w:val="00D85C51"/>
    <w:rsid w:val="00D935B5"/>
    <w:rsid w:val="00D95E8A"/>
    <w:rsid w:val="00D97441"/>
    <w:rsid w:val="00DA07A5"/>
    <w:rsid w:val="00DA1C3E"/>
    <w:rsid w:val="00DA1EC7"/>
    <w:rsid w:val="00DA2E18"/>
    <w:rsid w:val="00DA6731"/>
    <w:rsid w:val="00DA729A"/>
    <w:rsid w:val="00DB08A7"/>
    <w:rsid w:val="00DB1C96"/>
    <w:rsid w:val="00DB2370"/>
    <w:rsid w:val="00DB2451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5967"/>
    <w:rsid w:val="00DC5C9B"/>
    <w:rsid w:val="00DC764F"/>
    <w:rsid w:val="00DD29C6"/>
    <w:rsid w:val="00DD4589"/>
    <w:rsid w:val="00DD5EFA"/>
    <w:rsid w:val="00DE08F5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2C1C"/>
    <w:rsid w:val="00E24532"/>
    <w:rsid w:val="00E25A14"/>
    <w:rsid w:val="00E2718D"/>
    <w:rsid w:val="00E30135"/>
    <w:rsid w:val="00E31121"/>
    <w:rsid w:val="00E314BA"/>
    <w:rsid w:val="00E31904"/>
    <w:rsid w:val="00E36157"/>
    <w:rsid w:val="00E427EF"/>
    <w:rsid w:val="00E4299A"/>
    <w:rsid w:val="00E44F42"/>
    <w:rsid w:val="00E45593"/>
    <w:rsid w:val="00E45DD4"/>
    <w:rsid w:val="00E45E6D"/>
    <w:rsid w:val="00E50ED2"/>
    <w:rsid w:val="00E537DD"/>
    <w:rsid w:val="00E70212"/>
    <w:rsid w:val="00E7311F"/>
    <w:rsid w:val="00E74E40"/>
    <w:rsid w:val="00E75F33"/>
    <w:rsid w:val="00E82036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B96"/>
    <w:rsid w:val="00EA16B6"/>
    <w:rsid w:val="00EA2F76"/>
    <w:rsid w:val="00EA3AB2"/>
    <w:rsid w:val="00EA4F0D"/>
    <w:rsid w:val="00EA6F34"/>
    <w:rsid w:val="00EA7AC2"/>
    <w:rsid w:val="00EB03F4"/>
    <w:rsid w:val="00EB2BD7"/>
    <w:rsid w:val="00EB3FE7"/>
    <w:rsid w:val="00EB5DAF"/>
    <w:rsid w:val="00EC1471"/>
    <w:rsid w:val="00EC1498"/>
    <w:rsid w:val="00EC1783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28B2"/>
    <w:rsid w:val="00F453D7"/>
    <w:rsid w:val="00F45B75"/>
    <w:rsid w:val="00F47072"/>
    <w:rsid w:val="00F473FD"/>
    <w:rsid w:val="00F51903"/>
    <w:rsid w:val="00F530AF"/>
    <w:rsid w:val="00F552E1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3291"/>
    <w:rsid w:val="00F73FA5"/>
    <w:rsid w:val="00F752F5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77F"/>
    <w:rsid w:val="00FC1F79"/>
    <w:rsid w:val="00FC22DE"/>
    <w:rsid w:val="00FC6A1C"/>
    <w:rsid w:val="00FD0185"/>
    <w:rsid w:val="00FD020A"/>
    <w:rsid w:val="00FD04AD"/>
    <w:rsid w:val="00FD1482"/>
    <w:rsid w:val="00FD4FF7"/>
    <w:rsid w:val="00FD570D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4671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Lo (081822)</cp:lastModifiedBy>
  <cp:revision>134</cp:revision>
  <cp:lastPrinted>2002-04-23T07:10:00Z</cp:lastPrinted>
  <dcterms:created xsi:type="dcterms:W3CDTF">2022-08-18T14:27:00Z</dcterms:created>
  <dcterms:modified xsi:type="dcterms:W3CDTF">2022-08-18T19:27:00Z</dcterms:modified>
</cp:coreProperties>
</file>