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ldx" ContentType="application/vnd.openxmlformats-officedocument.presentationml.slide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F6C1F" w14:textId="765613FE" w:rsidR="00F853FA" w:rsidRPr="00051600" w:rsidRDefault="00F853FA" w:rsidP="00F853FA">
      <w:pPr>
        <w:tabs>
          <w:tab w:val="right" w:pos="9638"/>
        </w:tabs>
        <w:rPr>
          <w:rFonts w:ascii="Arial" w:eastAsia="MS Mincho" w:hAnsi="Arial" w:cs="Arial"/>
          <w:b/>
          <w:bCs/>
          <w:sz w:val="24"/>
          <w:szCs w:val="24"/>
          <w:lang w:eastAsia="ko-KR"/>
        </w:rPr>
      </w:pPr>
      <w:r>
        <w:rPr>
          <w:rFonts w:ascii="Arial" w:hAnsi="Arial" w:cs="Arial"/>
          <w:b/>
          <w:bCs/>
          <w:sz w:val="24"/>
          <w:szCs w:val="24"/>
        </w:rPr>
        <w:t>SA WG2 Meeting #140-e</w:t>
      </w:r>
      <w:r w:rsidRPr="00F76B76">
        <w:rPr>
          <w:rFonts w:ascii="Arial" w:hAnsi="Arial" w:cs="Arial"/>
          <w:b/>
          <w:bCs/>
          <w:sz w:val="24"/>
          <w:szCs w:val="24"/>
        </w:rPr>
        <w:tab/>
      </w:r>
      <w:r w:rsidRPr="00E21ABA">
        <w:rPr>
          <w:rFonts w:ascii="Arial" w:hAnsi="Arial" w:cs="Arial"/>
          <w:b/>
          <w:bCs/>
          <w:sz w:val="24"/>
          <w:szCs w:val="24"/>
        </w:rPr>
        <w:t>S2-200</w:t>
      </w:r>
      <w:r>
        <w:rPr>
          <w:rFonts w:ascii="Arial" w:hAnsi="Arial" w:cs="Arial"/>
          <w:b/>
          <w:bCs/>
          <w:sz w:val="24"/>
          <w:szCs w:val="24"/>
        </w:rPr>
        <w:t>xxxxx</w:t>
      </w:r>
    </w:p>
    <w:p w14:paraId="7223D33A" w14:textId="77777777" w:rsidR="00F853FA" w:rsidRPr="00F76B76" w:rsidRDefault="00F853FA" w:rsidP="00F853FA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August 19</w:t>
      </w:r>
      <w:r w:rsidRPr="00BD3540">
        <w:rPr>
          <w:rFonts w:ascii="Arial" w:hAnsi="Arial" w:cs="Arial"/>
          <w:b/>
          <w:bCs/>
          <w:sz w:val="24"/>
          <w:vertAlign w:val="superscript"/>
        </w:rPr>
        <w:t>th</w:t>
      </w:r>
      <w:r>
        <w:rPr>
          <w:rFonts w:ascii="Arial" w:hAnsi="Arial" w:cs="Arial"/>
          <w:b/>
          <w:bCs/>
          <w:sz w:val="24"/>
        </w:rPr>
        <w:t xml:space="preserve"> -September 2</w:t>
      </w:r>
      <w:r w:rsidRPr="00BD3540">
        <w:rPr>
          <w:rFonts w:ascii="Arial" w:hAnsi="Arial" w:cs="Arial"/>
          <w:b/>
          <w:bCs/>
          <w:sz w:val="24"/>
          <w:vertAlign w:val="superscript"/>
        </w:rPr>
        <w:t>nd</w:t>
      </w:r>
      <w:r>
        <w:rPr>
          <w:rFonts w:ascii="Arial" w:hAnsi="Arial" w:cs="Arial"/>
          <w:b/>
          <w:bCs/>
          <w:sz w:val="24"/>
        </w:rPr>
        <w:t xml:space="preserve"> </w:t>
      </w:r>
      <w:r w:rsidRPr="009C7CB1">
        <w:rPr>
          <w:rFonts w:ascii="Arial" w:hAnsi="Arial" w:cs="Arial"/>
          <w:b/>
          <w:bCs/>
          <w:sz w:val="24"/>
        </w:rPr>
        <w:t>2020,</w:t>
      </w:r>
      <w:r>
        <w:rPr>
          <w:rFonts w:ascii="Arial" w:hAnsi="Arial" w:cs="Arial"/>
          <w:b/>
          <w:bCs/>
          <w:sz w:val="24"/>
        </w:rPr>
        <w:t xml:space="preserve"> Online</w:t>
      </w:r>
      <w:r w:rsidRPr="00F76B76">
        <w:rPr>
          <w:rFonts w:ascii="Arial" w:hAnsi="Arial" w:cs="Arial"/>
          <w:b/>
          <w:bCs/>
        </w:rPr>
        <w:tab/>
      </w:r>
      <w:r w:rsidRPr="00894F6B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  <w:color w:val="0000FF"/>
        </w:rPr>
        <w:t xml:space="preserve">revision of </w:t>
      </w:r>
      <w:r w:rsidRPr="000263E1">
        <w:rPr>
          <w:rFonts w:ascii="Arial" w:hAnsi="Arial" w:cs="Arial"/>
          <w:b/>
          <w:bCs/>
          <w:sz w:val="24"/>
          <w:szCs w:val="24"/>
        </w:rPr>
        <w:t>S2-20</w:t>
      </w:r>
      <w:r>
        <w:rPr>
          <w:rFonts w:ascii="Arial" w:hAnsi="Arial" w:cs="Arial"/>
          <w:b/>
          <w:bCs/>
          <w:sz w:val="24"/>
          <w:szCs w:val="24"/>
        </w:rPr>
        <w:t>xxxx</w:t>
      </w:r>
      <w:r w:rsidRPr="00894F6B">
        <w:rPr>
          <w:rFonts w:ascii="Arial" w:hAnsi="Arial" w:cs="Arial"/>
          <w:b/>
          <w:bCs/>
        </w:rPr>
        <w:t>)</w:t>
      </w:r>
    </w:p>
    <w:p w14:paraId="636B3C79" w14:textId="7414C132" w:rsidR="00F853FA" w:rsidRPr="006C4EBD" w:rsidRDefault="00F853FA" w:rsidP="00F853FA">
      <w:pPr>
        <w:ind w:left="2127" w:hanging="2127"/>
        <w:rPr>
          <w:rFonts w:ascii="Arial" w:eastAsia="MS Mincho" w:hAnsi="Arial" w:cs="Arial"/>
          <w:b/>
          <w:lang w:eastAsia="ko-KR"/>
        </w:rPr>
      </w:pPr>
      <w:r w:rsidRPr="005D5DB8">
        <w:rPr>
          <w:rFonts w:ascii="Arial" w:hAnsi="Arial" w:cs="Arial"/>
          <w:b/>
        </w:rPr>
        <w:t>Source:</w:t>
      </w:r>
      <w:r w:rsidRPr="005D5DB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Nokia, Nokia Shanghai Bell</w:t>
      </w:r>
    </w:p>
    <w:p w14:paraId="23FBD715" w14:textId="51CFD73D" w:rsidR="00F853FA" w:rsidRDefault="00F853FA" w:rsidP="00F853FA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CC#4 S2-2005800 and KI#7 in general</w:t>
      </w:r>
    </w:p>
    <w:p w14:paraId="0F771467" w14:textId="6857502B" w:rsidR="00F853FA" w:rsidRDefault="00F853FA" w:rsidP="00F853FA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Discussion</w:t>
      </w:r>
    </w:p>
    <w:p w14:paraId="665669BD" w14:textId="77777777" w:rsidR="00F853FA" w:rsidRDefault="00F853FA" w:rsidP="00F853FA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  <w:t>8.4</w:t>
      </w:r>
    </w:p>
    <w:p w14:paraId="1C236BF4" w14:textId="77777777" w:rsidR="00F853FA" w:rsidRPr="005C2018" w:rsidRDefault="00F853FA" w:rsidP="00F853FA">
      <w:pPr>
        <w:ind w:left="2127" w:hanging="2127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eastAsia="ko-KR"/>
        </w:rPr>
        <w:t>FS_eNS_Ph2</w:t>
      </w:r>
    </w:p>
    <w:p w14:paraId="15F11F86" w14:textId="77777777" w:rsidR="00F853FA" w:rsidRDefault="00F853FA" w:rsidP="00F853FA">
      <w:pPr>
        <w:rPr>
          <w:rFonts w:ascii="Arial" w:hAnsi="Arial" w:cs="Arial"/>
          <w:i/>
          <w:lang w:eastAsia="zh-CN"/>
        </w:rPr>
      </w:pPr>
      <w:r>
        <w:rPr>
          <w:rFonts w:ascii="Arial" w:hAnsi="Arial" w:cs="Arial"/>
          <w:i/>
        </w:rPr>
        <w:t>Abstract of the contribution:</w:t>
      </w:r>
      <w:r w:rsidRPr="00F70E87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xxx</w:t>
      </w:r>
    </w:p>
    <w:p w14:paraId="6EB74099" w14:textId="77777777" w:rsidR="00F853FA" w:rsidRDefault="00F853FA" w:rsidP="007977B9">
      <w:pPr>
        <w:rPr>
          <w:b/>
          <w:bCs/>
        </w:rPr>
      </w:pPr>
    </w:p>
    <w:p w14:paraId="4492C940" w14:textId="77777777" w:rsidR="00F853FA" w:rsidRDefault="00F853FA" w:rsidP="007977B9">
      <w:pPr>
        <w:rPr>
          <w:b/>
          <w:bCs/>
        </w:rPr>
      </w:pPr>
    </w:p>
    <w:p w14:paraId="2B03DC5F" w14:textId="07362E16" w:rsidR="007977B9" w:rsidRPr="00F853FA" w:rsidRDefault="007977B9" w:rsidP="00F853FA">
      <w:pPr>
        <w:pStyle w:val="Heading1"/>
        <w:rPr>
          <w:b/>
          <w:bCs/>
          <w:color w:val="auto"/>
        </w:rPr>
      </w:pPr>
      <w:r w:rsidRPr="00F853FA">
        <w:rPr>
          <w:b/>
          <w:bCs/>
          <w:color w:val="auto"/>
        </w:rPr>
        <w:t>KI scope:</w:t>
      </w:r>
    </w:p>
    <w:p w14:paraId="4E29E008" w14:textId="77777777" w:rsidR="007977B9" w:rsidRDefault="007977B9" w:rsidP="007977B9">
      <w:r>
        <w:object w:dxaOrig="7209" w:dyaOrig="4056" w14:anchorId="6CA9F2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.75pt;height:304.5pt" o:ole="">
            <v:imagedata r:id="rId11" o:title=""/>
          </v:shape>
          <o:OLEObject Type="Embed" ProgID="PowerPoint.Slide.12" ShapeID="_x0000_i1025" DrawAspect="Content" ObjectID="_1660470283" r:id="rId12"/>
        </w:object>
      </w:r>
    </w:p>
    <w:p w14:paraId="37848399" w14:textId="77777777" w:rsidR="007977B9" w:rsidRDefault="007977B9" w:rsidP="007977B9"/>
    <w:p w14:paraId="71B9659D" w14:textId="77777777" w:rsidR="007977B9" w:rsidRDefault="007977B9" w:rsidP="007977B9">
      <w:r>
        <w:t>The scope is:  selection of a cell where to stand a chance to successfully register with a slice that is band specific (i.e. not supported in all bands of a PLMN).</w:t>
      </w:r>
    </w:p>
    <w:p w14:paraId="707C1A7D" w14:textId="77777777" w:rsidR="007977B9" w:rsidRPr="00F853FA" w:rsidRDefault="007977B9" w:rsidP="00F853FA">
      <w:pPr>
        <w:pStyle w:val="Heading1"/>
        <w:rPr>
          <w:b/>
          <w:bCs/>
          <w:color w:val="auto"/>
        </w:rPr>
      </w:pPr>
      <w:r w:rsidRPr="00F853FA">
        <w:rPr>
          <w:b/>
          <w:bCs/>
          <w:color w:val="auto"/>
        </w:rPr>
        <w:t>Discussion</w:t>
      </w:r>
    </w:p>
    <w:p w14:paraId="64112153" w14:textId="04BEC913" w:rsidR="007977B9" w:rsidRDefault="00733948" w:rsidP="007977B9">
      <w:r>
        <w:t xml:space="preserve">S2-2005800 however is not teaching how to steer a UE to select a cell suitable to execute </w:t>
      </w:r>
      <w:r w:rsidR="007977B9">
        <w:t>Unfortunately,</w:t>
      </w:r>
      <w:r>
        <w:t xml:space="preserve"> like most papers allocated to KI#7 at this meeting. It addresses deployments that depart from the assumption all the cells in a TA support the S-NSSAIs the TA is declared to support to </w:t>
      </w:r>
      <w:r>
        <w:lastRenderedPageBreak/>
        <w:t xml:space="preserve">the CN and other RAN nodes over Xn. </w:t>
      </w:r>
      <w:r w:rsidR="007977B9">
        <w:t>The following are scenarios that are considered in various papers.</w:t>
      </w:r>
    </w:p>
    <w:p w14:paraId="7BE64B09" w14:textId="2EA69875" w:rsidR="00F853FA" w:rsidRDefault="00F853FA" w:rsidP="007977B9">
      <w:r w:rsidRPr="00F853FA">
        <w:rPr>
          <w:b/>
          <w:bCs/>
        </w:rPr>
        <w:t>CASE A)</w:t>
      </w:r>
      <w:r w:rsidR="00733948">
        <w:rPr>
          <w:b/>
          <w:bCs/>
        </w:rPr>
        <w:t xml:space="preserve"> the baseline case (uniform support in TA)</w:t>
      </w:r>
    </w:p>
    <w:p w14:paraId="003846FF" w14:textId="7E50ADA8" w:rsidR="007977B9" w:rsidRDefault="007977B9" w:rsidP="007977B9">
      <w:r>
        <w:t>Some describe how band preference is done today. That is fine, but it does not qualify as a solution to the KI while it shows that a deployment can privilege some bands for certain PDU sessions (or even QoS flows even if it is not shown in any solution). The plus of this is that it show a way for operator to support all PLMN bands in the TA while steering in connected mode to preferred bands for optimal radio resource management. This is compatible with rel-15/16 network and UEs.</w:t>
      </w:r>
      <w:r w:rsidR="00F853FA">
        <w:t xml:space="preserve"> Example: the TA may include FB x at 700MHz and FB y ar 3.5 GHz. All bands support both S-NSSAIs but there is a preference to run S-NSSAI 2 on 3.5GHz (say URLLC) and eMBB can run on both bands.</w:t>
      </w:r>
      <w:r w:rsidR="00733948">
        <w:t xml:space="preserve"> So this can address most deployment issues and is compatible with rel-15/16 UEs</w:t>
      </w:r>
    </w:p>
    <w:p w14:paraId="0A084FF3" w14:textId="77777777" w:rsidR="007977B9" w:rsidRDefault="007977B9" w:rsidP="007977B9"/>
    <w:p w14:paraId="7BEFD04D" w14:textId="77777777" w:rsidR="007977B9" w:rsidRDefault="007977B9" w:rsidP="007977B9">
      <w:pPr>
        <w:jc w:val="center"/>
      </w:pPr>
      <w:r w:rsidRPr="00DE4A23">
        <w:rPr>
          <w:noProof/>
        </w:rPr>
        <w:drawing>
          <wp:inline distT="0" distB="0" distL="0" distR="0" wp14:anchorId="772BF9FD" wp14:editId="6D2265DB">
            <wp:extent cx="4264451" cy="1476919"/>
            <wp:effectExtent l="0" t="0" r="317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112" cy="147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71CF0" w14:textId="77777777" w:rsidR="007977B9" w:rsidRPr="00A81827" w:rsidRDefault="007977B9" w:rsidP="007977B9">
      <w:pPr>
        <w:jc w:val="center"/>
        <w:rPr>
          <w:b/>
          <w:bCs/>
        </w:rPr>
      </w:pPr>
      <w:r w:rsidRPr="00A81827">
        <w:rPr>
          <w:b/>
          <w:bCs/>
        </w:rPr>
        <w:t>Figure 1: band preference in TA</w:t>
      </w:r>
    </w:p>
    <w:p w14:paraId="23BE0160" w14:textId="77777777" w:rsidR="007977B9" w:rsidRDefault="007977B9" w:rsidP="007977B9"/>
    <w:p w14:paraId="357404C0" w14:textId="52360CF8" w:rsidR="00F853FA" w:rsidRDefault="00F853FA" w:rsidP="007977B9">
      <w:r w:rsidRPr="00F853FA">
        <w:rPr>
          <w:b/>
          <w:bCs/>
        </w:rPr>
        <w:t>CASE B)</w:t>
      </w:r>
      <w:r w:rsidRPr="00F853FA">
        <w:t xml:space="preserve"> </w:t>
      </w:r>
      <w:r w:rsidR="00733948">
        <w:t xml:space="preserve"> </w:t>
      </w:r>
      <w:r w:rsidR="00733948" w:rsidRPr="00733948">
        <w:rPr>
          <w:b/>
          <w:bCs/>
        </w:rPr>
        <w:t>the scenario of S2-2005800</w:t>
      </w:r>
    </w:p>
    <w:p w14:paraId="169FD080" w14:textId="7DF34E9C" w:rsidR="007977B9" w:rsidRDefault="002B084D" w:rsidP="007977B9">
      <w:r>
        <w:t>Other solutions</w:t>
      </w:r>
      <w:r w:rsidR="00733948">
        <w:t>, like the one in S2-200</w:t>
      </w:r>
      <w:r w:rsidR="00A81827">
        <w:t>5800</w:t>
      </w:r>
      <w:r w:rsidR="00733948">
        <w:t xml:space="preserve">, </w:t>
      </w:r>
      <w:r w:rsidR="007977B9">
        <w:t xml:space="preserve">assume there is a band inside a </w:t>
      </w:r>
      <w:r w:rsidR="00A81827">
        <w:t>T</w:t>
      </w:r>
      <w:r w:rsidR="007977B9">
        <w:t>A where some S-NSSAIs the TA supports just do not work</w:t>
      </w:r>
      <w:r>
        <w:t xml:space="preserve"> despite the related cells are in a TA.</w:t>
      </w:r>
      <w:r w:rsidR="007977B9">
        <w:t xml:space="preserve"> Then this requires some UE radio capability check (eg. See S2-2005800) to see if the UE can use both S-NSSAIs in the allowed NSSAI only as DC configuration</w:t>
      </w:r>
      <w:r w:rsidR="00F853FA">
        <w:t xml:space="preserve"> (BTW people seem to forget that in DC configuration the primary cell runs the C-plane for both S-NSSAIs as the rules for C-plane handling depend on the S-NSSAIs a RRC connection supports!)</w:t>
      </w:r>
      <w:r w:rsidR="007977B9">
        <w:t xml:space="preserve">. </w:t>
      </w:r>
      <w:r>
        <w:t xml:space="preserve"> </w:t>
      </w:r>
      <w:r w:rsidR="00A81827">
        <w:t>But, u</w:t>
      </w:r>
      <w:r w:rsidR="007977B9">
        <w:t xml:space="preserve">nfortunately, </w:t>
      </w:r>
      <w:r>
        <w:t xml:space="preserve">for a Ue that supports both bands, </w:t>
      </w:r>
      <w:r w:rsidR="007977B9">
        <w:t>this is not considering at all the case band x or band y band is the only one the UE can select in the RA</w:t>
      </w:r>
      <w:r>
        <w:t xml:space="preserve"> (non-overlapping coverage)</w:t>
      </w:r>
      <w:r w:rsidR="007977B9">
        <w:t>. So even if we can allow both S-NSSAIs in the overlapping area to UEs that support DC, the rest of RA/TA will have to a fall back to one S-NSSAI only</w:t>
      </w:r>
      <w:r>
        <w:t xml:space="preserve"> as</w:t>
      </w:r>
      <w:r w:rsidR="007977B9">
        <w:t xml:space="preserve"> unfortunately, even if the UE supports both bands</w:t>
      </w:r>
      <w:r w:rsidR="00A81827">
        <w:t xml:space="preserve"> and can go DC in areas where both are available, </w:t>
      </w:r>
      <w:r w:rsidR="007977B9">
        <w:t xml:space="preserve"> it can only use one of the S-NSSAIs at a time</w:t>
      </w:r>
      <w:r>
        <w:t xml:space="preserve"> in each band</w:t>
      </w:r>
      <w:r w:rsidR="00A81827">
        <w:t xml:space="preserve"> where these do not overlap</w:t>
      </w:r>
      <w:r w:rsidR="007977B9">
        <w:t>. This means that the determination of the Allowed NSSAI in the CN</w:t>
      </w:r>
      <w:r w:rsidR="00A81827">
        <w:t xml:space="preserve"> for a rel-15 UE</w:t>
      </w:r>
      <w:r w:rsidR="007977B9">
        <w:t xml:space="preserve"> cannot be based alone on the knowledge of the TA where the UE is, but also of the precise cell/band</w:t>
      </w:r>
      <w:r w:rsidR="00A81827">
        <w:t xml:space="preserve"> (the UE would get both S-NSSAIs accepted otherwise  but could only use one at a time in areas where the bands coverage does not overlap)</w:t>
      </w:r>
      <w:r w:rsidR="00F853FA">
        <w:t>. This information on BAND/Cell related policies however should be handled in the RAN like in CASE A</w:t>
      </w:r>
      <w:r w:rsidR="00A81827">
        <w:t>, where a preference of band is discussed rather that exclusive support (which means also exclusive support on C-plane!)</w:t>
      </w:r>
      <w:r w:rsidR="00F853FA">
        <w:t xml:space="preserve">.  </w:t>
      </w:r>
      <w:r w:rsidR="00A81827">
        <w:t>T</w:t>
      </w:r>
      <w:r w:rsidR="00F853FA">
        <w:t>he access stratum capabilities per cell should not burden the CN</w:t>
      </w:r>
      <w:r w:rsidR="00A81827">
        <w:t>.</w:t>
      </w:r>
      <w:r w:rsidR="00F853FA">
        <w:t xml:space="preserve"> Also,</w:t>
      </w:r>
      <w:r w:rsidR="007977B9">
        <w:t xml:space="preserve"> a </w:t>
      </w:r>
      <w:r w:rsidR="00A81827">
        <w:t xml:space="preserve">Rel-15/16 </w:t>
      </w:r>
      <w:r w:rsidR="007977B9">
        <w:t xml:space="preserve">UE that was allowed a single S-NSSAI in an area of non-overlapping coverage, would miss the opportunity to use both in the area of overlapping coverage as there is no trigger for the UE to renegotiate the Allowed NSSAI. </w:t>
      </w:r>
      <w:r w:rsidR="00F853FA">
        <w:t xml:space="preserve">In summary, this solution does not help in addressing the same deployment needs as CAE A. </w:t>
      </w:r>
      <w:r w:rsidR="00F853FA">
        <w:lastRenderedPageBreak/>
        <w:t>it just makes the operation more complicated and cumbersome, and it ignores that the c-plane should support all the allowed S-NSSAIs.</w:t>
      </w:r>
    </w:p>
    <w:p w14:paraId="0C0E7DD1" w14:textId="77777777" w:rsidR="007977B9" w:rsidRDefault="007977B9" w:rsidP="007977B9">
      <w:r>
        <w:object w:dxaOrig="9526" w:dyaOrig="3496" w14:anchorId="4EB73815">
          <v:shape id="_x0000_i1026" type="#_x0000_t75" style="width:450.75pt;height:165pt" o:ole="">
            <v:imagedata r:id="rId14" o:title=""/>
          </v:shape>
          <o:OLEObject Type="Embed" ProgID="Visio.Drawing.15" ShapeID="_x0000_i1026" DrawAspect="Content" ObjectID="_1660470284" r:id="rId15"/>
        </w:object>
      </w:r>
    </w:p>
    <w:p w14:paraId="22FD8110" w14:textId="77777777" w:rsidR="007977B9" w:rsidRPr="00A81827" w:rsidRDefault="007977B9" w:rsidP="007977B9">
      <w:pPr>
        <w:jc w:val="center"/>
        <w:rPr>
          <w:b/>
          <w:bCs/>
        </w:rPr>
      </w:pPr>
      <w:r w:rsidRPr="00A81827">
        <w:rPr>
          <w:b/>
          <w:bCs/>
        </w:rPr>
        <w:t>Figure 2: Some band in TA does not support certain S-NSSAI the TA supports. Only band combinations allow simultaneous use. In some case if a UE selects a certain band it can only use a subset of S-NSSAIs the TA supports</w:t>
      </w:r>
    </w:p>
    <w:p w14:paraId="39CAE817" w14:textId="4DC86D5F" w:rsidR="002B084D" w:rsidRDefault="00A81827" w:rsidP="007977B9">
      <w:r>
        <w:t>In summary: to be compatible with a rel-15 UE the network should be able to detect support per cell, and</w:t>
      </w:r>
      <w:r w:rsidR="002B084D">
        <w:t xml:space="preserve"> there is no trigger to perform mobility registration that lets a rel-15/16 UE understand that  a S-NSSAI is no longer supported in</w:t>
      </w:r>
      <w:r w:rsidR="00AB2427">
        <w:t xml:space="preserve"> a</w:t>
      </w:r>
      <w:r w:rsidR="002B084D">
        <w:t xml:space="preserve"> band.</w:t>
      </w:r>
    </w:p>
    <w:p w14:paraId="3586981F" w14:textId="701A3E0A" w:rsidR="002B084D" w:rsidRPr="002B084D" w:rsidRDefault="002B084D" w:rsidP="007977B9">
      <w:pPr>
        <w:rPr>
          <w:b/>
          <w:bCs/>
        </w:rPr>
      </w:pPr>
      <w:r w:rsidRPr="002B084D">
        <w:rPr>
          <w:b/>
          <w:bCs/>
        </w:rPr>
        <w:t xml:space="preserve">CASE C) </w:t>
      </w:r>
    </w:p>
    <w:p w14:paraId="628B24AC" w14:textId="4C606866" w:rsidR="007977B9" w:rsidRDefault="007977B9" w:rsidP="007977B9">
      <w:r>
        <w:t>The following in figure would however be compatible</w:t>
      </w:r>
      <w:r w:rsidR="002B084D">
        <w:t xml:space="preserve"> with rel-15/16 UEs</w:t>
      </w:r>
      <w:r>
        <w:t xml:space="preserve">: if TA x and TA y are in different RA, the UE and network are in sync on what can be used in Band x and Band y. </w:t>
      </w:r>
      <w:r w:rsidR="00A81827">
        <w:t>I</w:t>
      </w:r>
      <w:r>
        <w:t xml:space="preserve">n the area of overlapping coverage, a UE configuration or UE driven cell reselection based on receiving a cause code "not supported in </w:t>
      </w:r>
      <w:r w:rsidR="00A81827">
        <w:t>RA</w:t>
      </w:r>
      <w:r>
        <w:t>" would enable selection of right band. This would solve KI#7</w:t>
      </w:r>
      <w:r w:rsidR="00A81827">
        <w:t>. This cause code cannot be received in CASE B.</w:t>
      </w:r>
    </w:p>
    <w:p w14:paraId="0F0AC7A9" w14:textId="77777777" w:rsidR="007977B9" w:rsidRDefault="007977B9" w:rsidP="007977B9">
      <w:r w:rsidRPr="00B622D5">
        <w:rPr>
          <w:noProof/>
        </w:rPr>
        <w:drawing>
          <wp:inline distT="0" distB="0" distL="0" distR="0" wp14:anchorId="5BAA61A4" wp14:editId="3270BDC0">
            <wp:extent cx="5731510" cy="198501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A4476" w14:textId="77777777" w:rsidR="007977B9" w:rsidRDefault="007977B9" w:rsidP="007977B9"/>
    <w:p w14:paraId="584120D5" w14:textId="77777777" w:rsidR="007977B9" w:rsidRPr="00A81827" w:rsidRDefault="007977B9" w:rsidP="007977B9">
      <w:pPr>
        <w:jc w:val="center"/>
        <w:rPr>
          <w:b/>
          <w:bCs/>
        </w:rPr>
      </w:pPr>
      <w:r w:rsidRPr="00A81827">
        <w:rPr>
          <w:b/>
          <w:bCs/>
        </w:rPr>
        <w:t>Figure 3: different TAs for cells that support different set of S-NSSAIs</w:t>
      </w:r>
    </w:p>
    <w:p w14:paraId="55956D89" w14:textId="77777777" w:rsidR="007977B9" w:rsidRDefault="007977B9" w:rsidP="007977B9"/>
    <w:p w14:paraId="14806F32" w14:textId="77777777" w:rsidR="00A81827" w:rsidRDefault="00A81827" w:rsidP="007977B9">
      <w:pPr>
        <w:rPr>
          <w:b/>
          <w:bCs/>
        </w:rPr>
      </w:pPr>
    </w:p>
    <w:p w14:paraId="2CB9572F" w14:textId="77777777" w:rsidR="00A81827" w:rsidRDefault="00A81827" w:rsidP="007977B9">
      <w:pPr>
        <w:rPr>
          <w:b/>
          <w:bCs/>
        </w:rPr>
      </w:pPr>
    </w:p>
    <w:p w14:paraId="6097F8A9" w14:textId="1E3685D7" w:rsidR="007977B9" w:rsidRPr="00A81827" w:rsidRDefault="007977B9" w:rsidP="007977B9">
      <w:pPr>
        <w:rPr>
          <w:b/>
          <w:bCs/>
          <w:sz w:val="24"/>
          <w:szCs w:val="24"/>
        </w:rPr>
      </w:pPr>
      <w:r w:rsidRPr="00A81827">
        <w:rPr>
          <w:b/>
          <w:bCs/>
          <w:sz w:val="24"/>
          <w:szCs w:val="24"/>
        </w:rPr>
        <w:lastRenderedPageBreak/>
        <w:t>Conclusions</w:t>
      </w:r>
    </w:p>
    <w:p w14:paraId="412B47B5" w14:textId="2CDDD3C2" w:rsidR="007977B9" w:rsidRDefault="007977B9" w:rsidP="007977B9">
      <w:r>
        <w:t>In the scope of FS_eNS_Ph2</w:t>
      </w:r>
      <w:r w:rsidR="00A81827">
        <w:t xml:space="preserve"> KI#7 </w:t>
      </w:r>
      <w:r>
        <w:t xml:space="preserve"> we should only address the deployments t</w:t>
      </w:r>
      <w:r w:rsidR="00AB2427">
        <w:t>ha</w:t>
      </w:r>
      <w:r>
        <w:t>t allow a UE and network to be in synch and also provide triggers for UE and network to resync on what slices to use (which happens at RA boundaries – if Support of slices in cells of TAs is actually unknown, the network cannot even have proper strategies to allocate a RA)</w:t>
      </w:r>
      <w:r w:rsidR="00AB2427">
        <w:t>. So, CASE A and CAS</w:t>
      </w:r>
      <w:r w:rsidR="00A81827">
        <w:t>E</w:t>
      </w:r>
      <w:r w:rsidR="00AB2427">
        <w:t xml:space="preserve"> C are supported. CASE B is not.</w:t>
      </w:r>
      <w:r w:rsidR="00F912CA">
        <w:t xml:space="preserve"> The deployment use case underlying CASE B is also unclear why it cannot be satisfied by CASE A and CASE C strategies, even assuming this was desirable</w:t>
      </w:r>
      <w:bookmarkStart w:id="0" w:name="_GoBack"/>
      <w:bookmarkEnd w:id="0"/>
      <w:r w:rsidR="00F912CA">
        <w:t>.</w:t>
      </w:r>
    </w:p>
    <w:p w14:paraId="346ABC34" w14:textId="77777777" w:rsidR="007977B9" w:rsidRDefault="007977B9" w:rsidP="007977B9"/>
    <w:p w14:paraId="7DC2DB5F" w14:textId="77777777" w:rsidR="007977B9" w:rsidRDefault="007977B9" w:rsidP="007977B9"/>
    <w:p w14:paraId="3766CC77" w14:textId="77777777" w:rsidR="007977B9" w:rsidRDefault="007977B9" w:rsidP="007977B9"/>
    <w:p w14:paraId="7DBEBBEE" w14:textId="77777777" w:rsidR="007977B9" w:rsidRDefault="007977B9" w:rsidP="007977B9"/>
    <w:p w14:paraId="193C9D56" w14:textId="77777777" w:rsidR="007977B9" w:rsidRDefault="007977B9" w:rsidP="007977B9"/>
    <w:p w14:paraId="456CBA18" w14:textId="77777777" w:rsidR="007977B9" w:rsidRDefault="007977B9" w:rsidP="007977B9"/>
    <w:p w14:paraId="282BFD20" w14:textId="77777777" w:rsidR="004775C8" w:rsidRPr="007977B9" w:rsidRDefault="004775C8" w:rsidP="007977B9"/>
    <w:sectPr w:rsidR="004775C8" w:rsidRPr="00797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167E2" w14:textId="77777777" w:rsidR="00AB2427" w:rsidRDefault="00AB2427" w:rsidP="00A838EF">
      <w:pPr>
        <w:spacing w:after="0" w:line="240" w:lineRule="auto"/>
      </w:pPr>
      <w:r>
        <w:separator/>
      </w:r>
    </w:p>
  </w:endnote>
  <w:endnote w:type="continuationSeparator" w:id="0">
    <w:p w14:paraId="3D6D5D2A" w14:textId="77777777" w:rsidR="00AB2427" w:rsidRDefault="00AB2427" w:rsidP="00A8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FE367" w14:textId="77777777" w:rsidR="00AB2427" w:rsidRDefault="00AB2427" w:rsidP="00A838EF">
      <w:pPr>
        <w:spacing w:after="0" w:line="240" w:lineRule="auto"/>
      </w:pPr>
      <w:r>
        <w:separator/>
      </w:r>
    </w:p>
  </w:footnote>
  <w:footnote w:type="continuationSeparator" w:id="0">
    <w:p w14:paraId="70378A9E" w14:textId="77777777" w:rsidR="00AB2427" w:rsidRDefault="00AB2427" w:rsidP="00A83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7E"/>
    <w:rsid w:val="0004286B"/>
    <w:rsid w:val="0028207E"/>
    <w:rsid w:val="002B084D"/>
    <w:rsid w:val="004642CF"/>
    <w:rsid w:val="004775C8"/>
    <w:rsid w:val="005A5B09"/>
    <w:rsid w:val="00720C17"/>
    <w:rsid w:val="00733948"/>
    <w:rsid w:val="007977B9"/>
    <w:rsid w:val="007A3481"/>
    <w:rsid w:val="00A81827"/>
    <w:rsid w:val="00A838EF"/>
    <w:rsid w:val="00AB2427"/>
    <w:rsid w:val="00B622D5"/>
    <w:rsid w:val="00DE4A23"/>
    <w:rsid w:val="00E36F4C"/>
    <w:rsid w:val="00E9695C"/>
    <w:rsid w:val="00EA709B"/>
    <w:rsid w:val="00F853FA"/>
    <w:rsid w:val="00F912CA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572A5D"/>
  <w15:chartTrackingRefBased/>
  <w15:docId w15:val="{F4E81FFD-C183-4972-A04B-CB15F930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977B9"/>
  </w:style>
  <w:style w:type="paragraph" w:styleId="Heading1">
    <w:name w:val="heading 1"/>
    <w:basedOn w:val="Normal"/>
    <w:next w:val="Normal"/>
    <w:link w:val="Heading1Char"/>
    <w:uiPriority w:val="9"/>
    <w:qFormat/>
    <w:rsid w:val="00F85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PowerPoint_Slide.sld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Visio_Drawing.vsdx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82D54F3F10D468133B175E7F78D1A" ma:contentTypeVersion="10" ma:contentTypeDescription="Create a new document." ma:contentTypeScope="" ma:versionID="11e72739224d07602a0b7d67a7dd5953">
  <xsd:schema xmlns:xsd="http://www.w3.org/2001/XMLSchema" xmlns:xs="http://www.w3.org/2001/XMLSchema" xmlns:p="http://schemas.microsoft.com/office/2006/metadata/properties" xmlns:ns3="71c5aaf6-e6ce-465b-b873-5148d2a4c105" xmlns:ns4="a4ab1a16-c41d-4865-a433-ad08d2a54ac6" targetNamespace="http://schemas.microsoft.com/office/2006/metadata/properties" ma:root="true" ma:fieldsID="5f80424757442359b64cd7a8f2a45469" ns3:_="" ns4:_="">
    <xsd:import namespace="71c5aaf6-e6ce-465b-b873-5148d2a4c105"/>
    <xsd:import namespace="a4ab1a16-c41d-4865-a433-ad08d2a54ac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Location" minOccurs="0"/>
                <xsd:element ref="ns4:MediaServiceOCR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b1a16-c41d-4865-a433-ad08d2a54ac6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094BD056-3A15-4D81-9FA2-6B7C369F121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3B92F81-8158-407F-AC6A-5AEEAA88F0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22131F-5FF1-4E11-AEA3-3FD58B4DE9D0}">
  <ds:schemaRefs>
    <ds:schemaRef ds:uri="http://schemas.microsoft.com/office/2006/metadata/properties"/>
    <ds:schemaRef ds:uri="71c5aaf6-e6ce-465b-b873-5148d2a4c10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4ab1a16-c41d-4865-a433-ad08d2a54ac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C8DAE4A-403E-4F5A-B573-6591E3846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a4ab1a16-c41d-4865-a433-ad08d2a54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BED7360-E5FD-4BE3-83A5-28135D42C66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Nokia</cp:lastModifiedBy>
  <cp:revision>3</cp:revision>
  <dcterms:created xsi:type="dcterms:W3CDTF">2020-09-01T11:34:00Z</dcterms:created>
  <dcterms:modified xsi:type="dcterms:W3CDTF">2020-09-01T11:56:00Z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0x01010009E82D54F3F10D468133B175E7F78D1A</vt:lpwstr>
  </property>
</Properties>
</file>