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408D" w:rsidRPr="008C63EC" w:rsidRDefault="0045408D" w:rsidP="0045408D">
      <w:pPr>
        <w:pStyle w:val="NoSpacing"/>
        <w:rPr>
          <w:rFonts w:ascii="Arial" w:hAnsi="Arial" w:cs="Arial"/>
          <w:i/>
          <w:sz w:val="28"/>
          <w:szCs w:val="24"/>
        </w:rPr>
      </w:pPr>
      <w:r w:rsidRPr="008C63EC">
        <w:rPr>
          <w:rFonts w:ascii="Arial" w:hAnsi="Arial" w:cs="Arial"/>
          <w:sz w:val="28"/>
          <w:szCs w:val="24"/>
        </w:rPr>
        <w:t>3GPP TSG-RAN WG3 #95</w:t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Pr="008C63EC">
        <w:rPr>
          <w:rFonts w:ascii="Arial" w:hAnsi="Arial" w:cs="Arial"/>
          <w:sz w:val="28"/>
          <w:szCs w:val="24"/>
        </w:rPr>
        <w:tab/>
      </w:r>
      <w:r w:rsidR="00786955">
        <w:rPr>
          <w:rFonts w:ascii="Arial" w:hAnsi="Arial" w:cs="Arial"/>
          <w:sz w:val="28"/>
          <w:szCs w:val="24"/>
        </w:rPr>
        <w:tab/>
      </w:r>
      <w:r w:rsidRPr="00786955">
        <w:rPr>
          <w:rFonts w:ascii="Arial" w:hAnsi="Arial" w:cs="Arial"/>
          <w:iCs/>
          <w:sz w:val="28"/>
          <w:szCs w:val="24"/>
        </w:rPr>
        <w:t>R3-17</w:t>
      </w:r>
      <w:r w:rsidR="00786955" w:rsidRPr="00786955">
        <w:rPr>
          <w:rFonts w:ascii="Arial" w:hAnsi="Arial" w:cs="Arial"/>
          <w:iCs/>
          <w:sz w:val="28"/>
          <w:szCs w:val="24"/>
        </w:rPr>
        <w:t>0483</w:t>
      </w:r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  <w:r w:rsidRPr="008C63EC">
        <w:rPr>
          <w:rFonts w:ascii="Arial" w:eastAsia="Batang" w:hAnsi="Arial" w:cs="Arial"/>
          <w:color w:val="000000"/>
          <w:sz w:val="28"/>
          <w:szCs w:val="24"/>
          <w:lang w:eastAsia="ja-JP"/>
        </w:rPr>
        <w:t>Athens, Greece, 13</w:t>
      </w:r>
      <w:r w:rsidRPr="008C63EC">
        <w:rPr>
          <w:rFonts w:ascii="Arial" w:eastAsia="Batang" w:hAnsi="Arial" w:cs="Arial"/>
          <w:color w:val="000000"/>
          <w:sz w:val="28"/>
          <w:szCs w:val="24"/>
          <w:vertAlign w:val="superscript"/>
          <w:lang w:eastAsia="ja-JP"/>
        </w:rPr>
        <w:t>th</w:t>
      </w:r>
      <w:r w:rsidRPr="008C63EC">
        <w:rPr>
          <w:rFonts w:ascii="Arial" w:eastAsia="Batang" w:hAnsi="Arial" w:cs="Arial"/>
          <w:color w:val="000000"/>
          <w:sz w:val="28"/>
          <w:szCs w:val="24"/>
          <w:lang w:eastAsia="ja-JP"/>
        </w:rPr>
        <w:t xml:space="preserve"> – 17</w:t>
      </w:r>
      <w:r w:rsidRPr="008C63EC">
        <w:rPr>
          <w:rFonts w:ascii="Arial" w:eastAsia="Batang" w:hAnsi="Arial" w:cs="Arial"/>
          <w:color w:val="000000"/>
          <w:sz w:val="28"/>
          <w:szCs w:val="24"/>
          <w:vertAlign w:val="superscript"/>
          <w:lang w:eastAsia="ja-JP"/>
        </w:rPr>
        <w:t>th</w:t>
      </w:r>
      <w:r w:rsidRPr="008C63EC">
        <w:rPr>
          <w:rFonts w:ascii="Arial" w:eastAsia="Batang" w:hAnsi="Arial" w:cs="Arial"/>
          <w:color w:val="000000"/>
          <w:sz w:val="28"/>
          <w:szCs w:val="24"/>
          <w:lang w:eastAsia="ja-JP"/>
        </w:rPr>
        <w:t xml:space="preserve"> February 2017</w:t>
      </w:r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</w:p>
    <w:p w:rsidR="0045408D" w:rsidRPr="008C63EC" w:rsidRDefault="0045408D" w:rsidP="0045408D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 w:val="28"/>
          <w:szCs w:val="24"/>
          <w:lang w:eastAsia="ja-JP"/>
        </w:rPr>
      </w:pPr>
    </w:p>
    <w:p w:rsidR="0045408D" w:rsidRPr="008C63EC" w:rsidRDefault="0045408D" w:rsidP="0045408D">
      <w:pPr>
        <w:tabs>
          <w:tab w:val="left" w:pos="1985"/>
        </w:tabs>
        <w:spacing w:after="120"/>
        <w:rPr>
          <w:rFonts w:ascii="Arial" w:hAnsi="Arial"/>
        </w:rPr>
      </w:pPr>
      <w:r w:rsidRPr="008C63EC">
        <w:rPr>
          <w:rFonts w:ascii="Arial" w:hAnsi="Arial"/>
          <w:b/>
        </w:rPr>
        <w:t>Agenda Item:</w:t>
      </w:r>
      <w:r w:rsidRPr="008C63EC">
        <w:rPr>
          <w:rFonts w:ascii="Arial" w:hAnsi="Arial"/>
        </w:rPr>
        <w:tab/>
      </w:r>
      <w:bookmarkStart w:id="0" w:name="Source"/>
      <w:bookmarkEnd w:id="0"/>
      <w:r w:rsidR="00956773">
        <w:rPr>
          <w:rFonts w:ascii="Arial" w:hAnsi="Arial"/>
        </w:rPr>
        <w:t xml:space="preserve">10.7.2 </w:t>
      </w:r>
    </w:p>
    <w:p w:rsidR="0045408D" w:rsidRPr="008C63EC" w:rsidRDefault="0045408D" w:rsidP="0045408D">
      <w:pPr>
        <w:tabs>
          <w:tab w:val="left" w:pos="1985"/>
        </w:tabs>
        <w:spacing w:after="120"/>
        <w:rPr>
          <w:rFonts w:ascii="Arial" w:hAnsi="Arial"/>
        </w:rPr>
      </w:pPr>
      <w:r w:rsidRPr="008C63EC">
        <w:rPr>
          <w:rFonts w:ascii="Arial" w:hAnsi="Arial"/>
          <w:b/>
        </w:rPr>
        <w:t xml:space="preserve">Source: </w:t>
      </w:r>
      <w:r w:rsidRPr="008C63EC">
        <w:rPr>
          <w:rFonts w:ascii="Arial" w:hAnsi="Arial"/>
          <w:b/>
        </w:rPr>
        <w:tab/>
      </w:r>
      <w:r w:rsidRPr="00956773">
        <w:rPr>
          <w:rFonts w:ascii="Arial" w:hAnsi="Arial"/>
        </w:rPr>
        <w:t xml:space="preserve">Vodafone </w:t>
      </w:r>
    </w:p>
    <w:p w:rsidR="0045408D" w:rsidRPr="008C63EC" w:rsidRDefault="0045408D" w:rsidP="0045408D">
      <w:pPr>
        <w:spacing w:after="120"/>
        <w:ind w:left="1988" w:hanging="1988"/>
        <w:rPr>
          <w:rFonts w:ascii="Arial" w:hAnsi="Arial"/>
        </w:rPr>
      </w:pPr>
      <w:r w:rsidRPr="008C63EC">
        <w:rPr>
          <w:rFonts w:ascii="Arial" w:hAnsi="Arial"/>
          <w:b/>
        </w:rPr>
        <w:t>Title:</w:t>
      </w:r>
      <w:r w:rsidRPr="008C63EC">
        <w:rPr>
          <w:rFonts w:ascii="Arial" w:hAnsi="Arial"/>
        </w:rPr>
        <w:t xml:space="preserve"> </w:t>
      </w:r>
      <w:r w:rsidRPr="008C63EC">
        <w:rPr>
          <w:rFonts w:ascii="Arial" w:hAnsi="Arial"/>
        </w:rPr>
        <w:tab/>
      </w:r>
      <w:r w:rsidR="007A3B1F">
        <w:rPr>
          <w:rFonts w:ascii="Arial" w:hAnsi="Arial"/>
        </w:rPr>
        <w:t>High layer functional split and control-user planes separation</w:t>
      </w:r>
    </w:p>
    <w:p w:rsidR="0045408D" w:rsidRPr="008C63EC" w:rsidRDefault="0045408D" w:rsidP="0045408D">
      <w:pPr>
        <w:tabs>
          <w:tab w:val="left" w:pos="1985"/>
        </w:tabs>
        <w:spacing w:after="120"/>
        <w:ind w:right="-446"/>
        <w:rPr>
          <w:rFonts w:ascii="Arial" w:hAnsi="Arial"/>
        </w:rPr>
      </w:pPr>
      <w:r w:rsidRPr="008C63EC">
        <w:rPr>
          <w:rFonts w:ascii="Arial" w:hAnsi="Arial"/>
          <w:b/>
        </w:rPr>
        <w:t>Document for:</w:t>
      </w:r>
      <w:r w:rsidRPr="008C63EC">
        <w:rPr>
          <w:rFonts w:ascii="Arial" w:hAnsi="Arial"/>
        </w:rPr>
        <w:tab/>
      </w:r>
      <w:bookmarkStart w:id="1" w:name="DocumentFor"/>
      <w:bookmarkEnd w:id="1"/>
      <w:r w:rsidR="008C63EC">
        <w:rPr>
          <w:rFonts w:ascii="Arial" w:hAnsi="Arial"/>
        </w:rPr>
        <w:t xml:space="preserve">Discussion and Decision </w:t>
      </w:r>
    </w:p>
    <w:p w:rsidR="0045408D" w:rsidRPr="001552B3" w:rsidRDefault="0045408D" w:rsidP="0045408D">
      <w:pPr>
        <w:pBdr>
          <w:bottom w:val="single" w:sz="12" w:space="0" w:color="auto"/>
        </w:pBdr>
        <w:spacing w:after="0" w:line="240" w:lineRule="auto"/>
        <w:rPr>
          <w:rFonts w:ascii="Times New Roman" w:eastAsia="Batang" w:hAnsi="Times New Roman"/>
          <w:color w:val="000000"/>
          <w:sz w:val="20"/>
          <w:szCs w:val="20"/>
          <w:lang w:eastAsia="ja-JP"/>
        </w:rPr>
      </w:pPr>
    </w:p>
    <w:p w:rsidR="005136C1" w:rsidRPr="008C63EC" w:rsidRDefault="005136C1" w:rsidP="008C63EC">
      <w:pPr>
        <w:jc w:val="center"/>
        <w:rPr>
          <w:color w:val="FF0000"/>
          <w:sz w:val="28"/>
        </w:rPr>
      </w:pPr>
    </w:p>
    <w:p w:rsidR="008A0CBD" w:rsidRPr="004B210F" w:rsidRDefault="007A3B1F" w:rsidP="008A0CBD">
      <w:pPr>
        <w:pStyle w:val="Title"/>
      </w:pPr>
      <w:r w:rsidRPr="004B210F">
        <w:rPr>
          <w:sz w:val="52"/>
        </w:rPr>
        <w:t xml:space="preserve">High layer functional split and control-user planes separation </w:t>
      </w:r>
    </w:p>
    <w:p w:rsidR="0045408D" w:rsidRDefault="0045408D" w:rsidP="0045408D">
      <w:pPr>
        <w:pStyle w:val="Heading1"/>
      </w:pPr>
      <w:r>
        <w:t>Introduction</w:t>
      </w:r>
    </w:p>
    <w:p w:rsidR="0045408D" w:rsidRDefault="008C63EC" w:rsidP="0045408D">
      <w:r>
        <w:t>In this contribution</w:t>
      </w:r>
      <w:r w:rsidR="00587C92">
        <w:t xml:space="preserve">, </w:t>
      </w:r>
      <w:r w:rsidR="001974AF">
        <w:t>we</w:t>
      </w:r>
      <w:r>
        <w:t xml:space="preserve"> present</w:t>
      </w:r>
      <w:r w:rsidR="001974AF">
        <w:t xml:space="preserve"> further analysis </w:t>
      </w:r>
      <w:r w:rsidR="004E40B1">
        <w:t xml:space="preserve">(in addition to that in our R3-170085 [1]) </w:t>
      </w:r>
      <w:r w:rsidR="00560B16">
        <w:t xml:space="preserve">of </w:t>
      </w:r>
      <w:r w:rsidR="004E40B1">
        <w:t xml:space="preserve">the </w:t>
      </w:r>
      <w:r w:rsidR="001974AF">
        <w:t>high layer</w:t>
      </w:r>
      <w:r w:rsidR="00D77F94">
        <w:t xml:space="preserve"> </w:t>
      </w:r>
      <w:r w:rsidR="004E40B1">
        <w:t xml:space="preserve">Centralised </w:t>
      </w:r>
      <w:r w:rsidR="00C33AB3">
        <w:t>Distributed Unit</w:t>
      </w:r>
      <w:r w:rsidR="004E40B1">
        <w:t xml:space="preserve"> </w:t>
      </w:r>
      <w:r w:rsidR="00D77F94">
        <w:t xml:space="preserve">functional </w:t>
      </w:r>
      <w:r w:rsidR="001974AF">
        <w:t>split</w:t>
      </w:r>
      <w:r w:rsidR="00D77F94">
        <w:t xml:space="preserve"> of</w:t>
      </w:r>
      <w:r w:rsidR="001974AF">
        <w:t xml:space="preserve"> </w:t>
      </w:r>
      <w:r w:rsidR="00D77F94">
        <w:t>O</w:t>
      </w:r>
      <w:r w:rsidR="00882762">
        <w:t>ption</w:t>
      </w:r>
      <w:r w:rsidR="00D77F94">
        <w:t xml:space="preserve">-2 </w:t>
      </w:r>
      <w:r w:rsidR="004E40B1">
        <w:t xml:space="preserve">(TR 38.801 </w:t>
      </w:r>
      <w:r w:rsidR="00EA7937">
        <w:t>[2]</w:t>
      </w:r>
      <w:r w:rsidR="004E40B1">
        <w:t>)</w:t>
      </w:r>
      <w:r w:rsidR="00560B16">
        <w:t xml:space="preserve"> and provide further discussion on the need for separating control and user planes. </w:t>
      </w:r>
      <w:r w:rsidR="00EA7937">
        <w:t xml:space="preserve">Furthermore, we have provided an architectural concept where user traffic and control signalling are </w:t>
      </w:r>
      <w:r w:rsidR="00D77F94">
        <w:t>hosted on</w:t>
      </w:r>
      <w:r w:rsidR="00EA7937">
        <w:t xml:space="preserve"> separate network entities. </w:t>
      </w:r>
    </w:p>
    <w:p w:rsidR="00EA7937" w:rsidRDefault="00EA7937" w:rsidP="0045408D">
      <w:r>
        <w:t xml:space="preserve">This separation of control and user planes will allow control signalling resources to be </w:t>
      </w:r>
      <w:r w:rsidR="004E40B1">
        <w:t>dimensioned (</w:t>
      </w:r>
      <w:r w:rsidR="00C33AB3">
        <w:t>scaled) and</w:t>
      </w:r>
      <w:r w:rsidR="004E40B1">
        <w:t xml:space="preserve"> evolved </w:t>
      </w:r>
      <w:r>
        <w:t>separate</w:t>
      </w:r>
      <w:r w:rsidR="004E40B1">
        <w:t>ly</w:t>
      </w:r>
      <w:r>
        <w:t xml:space="preserve"> from the user traffic network entities; </w:t>
      </w:r>
      <w:r w:rsidR="00C33AB3">
        <w:t>allowing,</w:t>
      </w:r>
      <w:r>
        <w:t xml:space="preserve"> the user </w:t>
      </w:r>
      <w:r w:rsidR="004E40B1">
        <w:t xml:space="preserve">plane </w:t>
      </w:r>
      <w:r>
        <w:t xml:space="preserve">resources </w:t>
      </w:r>
      <w:r w:rsidR="004E40B1">
        <w:t>to</w:t>
      </w:r>
      <w:r>
        <w:t xml:space="preserve"> be</w:t>
      </w:r>
      <w:r w:rsidR="004E40B1">
        <w:t>come</w:t>
      </w:r>
      <w:r>
        <w:t xml:space="preserve"> commoditized</w:t>
      </w:r>
      <w:r w:rsidR="004E40B1">
        <w:t>.</w:t>
      </w:r>
    </w:p>
    <w:p w:rsidR="00560B16" w:rsidRDefault="00560B16" w:rsidP="0045408D">
      <w:r>
        <w:t xml:space="preserve">For these discussions we have used the Rel12 LTE </w:t>
      </w:r>
      <w:r w:rsidR="00D77F94">
        <w:t>Dual C</w:t>
      </w:r>
      <w:r>
        <w:t>onnectivity as the starting point for discussion.</w:t>
      </w:r>
    </w:p>
    <w:p w:rsidR="00560B16" w:rsidRDefault="00560B16" w:rsidP="0045408D">
      <w:r>
        <w:t xml:space="preserve">In the proceeding sections we have provided a brief analysis </w:t>
      </w:r>
      <w:r w:rsidR="00D77F94">
        <w:t>of Dual C</w:t>
      </w:r>
      <w:r>
        <w:t xml:space="preserve">onnectivity based on Alternative 1A and Alternative 3C </w:t>
      </w:r>
      <w:r w:rsidR="004E40B1">
        <w:t xml:space="preserve">(3GPP TR 36.842 </w:t>
      </w:r>
      <w:r w:rsidR="00EA7937">
        <w:t>[3]</w:t>
      </w:r>
      <w:r w:rsidR="004E40B1">
        <w:t>)</w:t>
      </w:r>
      <w:r w:rsidR="00EA7937">
        <w:t xml:space="preserve">. </w:t>
      </w:r>
    </w:p>
    <w:p w:rsidR="00560B16" w:rsidRDefault="004E40B1" w:rsidP="0045408D">
      <w:pPr>
        <w:pStyle w:val="Heading1"/>
      </w:pPr>
      <w:r>
        <w:t xml:space="preserve">Dual Connectivity </w:t>
      </w:r>
      <w:r w:rsidR="00EA7937">
        <w:t>Alternative 1A</w:t>
      </w:r>
    </w:p>
    <w:p w:rsidR="00EA7937" w:rsidRDefault="00EA7937" w:rsidP="00EA7937">
      <w:r>
        <w:t xml:space="preserve">With this option as described in TR 36.842 [3] separate EPS bearers are assigned </w:t>
      </w:r>
      <w:r w:rsidR="004E40B1">
        <w:t xml:space="preserve">by </w:t>
      </w:r>
      <w:r>
        <w:t>the core</w:t>
      </w:r>
      <w:r w:rsidR="004E40B1">
        <w:t xml:space="preserve"> network and the RAN decides to terminate one </w:t>
      </w:r>
      <w:r>
        <w:t xml:space="preserve">to </w:t>
      </w:r>
      <w:r w:rsidR="009047E8">
        <w:t xml:space="preserve">the Master </w:t>
      </w:r>
      <w:proofErr w:type="spellStart"/>
      <w:r w:rsidR="004E40B1">
        <w:t>eNB</w:t>
      </w:r>
      <w:proofErr w:type="spellEnd"/>
      <w:r w:rsidR="004E40B1">
        <w:t xml:space="preserve"> </w:t>
      </w:r>
      <w:r w:rsidR="009047E8">
        <w:t xml:space="preserve">and </w:t>
      </w:r>
      <w:r w:rsidR="004E40B1">
        <w:t xml:space="preserve">one in the </w:t>
      </w:r>
      <w:r w:rsidR="009047E8">
        <w:t xml:space="preserve">Secondary </w:t>
      </w:r>
      <w:proofErr w:type="spellStart"/>
      <w:r w:rsidR="004E40B1">
        <w:t>e</w:t>
      </w:r>
      <w:r w:rsidR="009047E8">
        <w:t>NodeB</w:t>
      </w:r>
      <w:proofErr w:type="spellEnd"/>
      <w:r w:rsidR="004E40B1">
        <w:t>. The EPS bearers</w:t>
      </w:r>
      <w:r w:rsidR="009047E8">
        <w:t xml:space="preserve"> are terminated in two separate PDCP</w:t>
      </w:r>
      <w:r w:rsidR="004E40B1">
        <w:t xml:space="preserve"> entitie</w:t>
      </w:r>
      <w:r w:rsidR="009047E8">
        <w:t>s.</w:t>
      </w:r>
    </w:p>
    <w:p w:rsidR="00EA680D" w:rsidRDefault="009047E8" w:rsidP="007C6543">
      <w:r>
        <w:t>The control signalling</w:t>
      </w:r>
      <w:r w:rsidR="00D77F94">
        <w:t>, from MME, is</w:t>
      </w:r>
      <w:r>
        <w:t xml:space="preserve"> terminated into a RRM functional block in the Master </w:t>
      </w:r>
      <w:proofErr w:type="spellStart"/>
      <w:r>
        <w:t>eNodeB</w:t>
      </w:r>
      <w:proofErr w:type="spellEnd"/>
      <w:r>
        <w:t>; this RRM unit also controls the radio resources</w:t>
      </w:r>
      <w:r w:rsidR="004E40B1">
        <w:t>, and configuration of PDCP-</w:t>
      </w:r>
      <w:r w:rsidR="00C33AB3">
        <w:t>U, of</w:t>
      </w:r>
      <w:r>
        <w:t xml:space="preserve"> the secondary </w:t>
      </w:r>
      <w:proofErr w:type="spellStart"/>
      <w:r>
        <w:t>eNodeB</w:t>
      </w:r>
      <w:proofErr w:type="spellEnd"/>
      <w:r w:rsidR="00A00358">
        <w:t xml:space="preserve">. The control signalling is fed over the </w:t>
      </w:r>
      <w:proofErr w:type="spellStart"/>
      <w:r w:rsidR="00A00358">
        <w:t>X</w:t>
      </w:r>
      <w:r w:rsidR="00D97CFC">
        <w:t>n</w:t>
      </w:r>
      <w:proofErr w:type="spellEnd"/>
      <w:r w:rsidR="00A00358">
        <w:t xml:space="preserve"> interface between the two </w:t>
      </w:r>
      <w:proofErr w:type="spellStart"/>
      <w:r w:rsidR="00A00358">
        <w:t>eNodeBs</w:t>
      </w:r>
      <w:proofErr w:type="spellEnd"/>
      <w:r w:rsidR="007C6543">
        <w:t>.</w:t>
      </w:r>
    </w:p>
    <w:p w:rsidR="00EA680D" w:rsidRDefault="00EA680D" w:rsidP="00EA680D">
      <w:r>
        <w:lastRenderedPageBreak/>
        <w:t xml:space="preserve">The </w:t>
      </w:r>
      <w:r w:rsidR="007C6543">
        <w:t xml:space="preserve">Alternative 1A </w:t>
      </w:r>
      <w:r>
        <w:t xml:space="preserve">architecture can be </w:t>
      </w:r>
      <w:r w:rsidR="004E40B1">
        <w:t>depicted</w:t>
      </w:r>
      <w:r>
        <w:t xml:space="preserve"> to include the control signall</w:t>
      </w:r>
      <w:r w:rsidR="00C33AB3">
        <w:t>ing, as shown in the following F</w:t>
      </w:r>
      <w:r>
        <w:t>igure</w:t>
      </w:r>
      <w:r w:rsidR="004E40B1">
        <w:t xml:space="preserve"> 1</w:t>
      </w:r>
      <w:r>
        <w:t>:</w:t>
      </w:r>
    </w:p>
    <w:p w:rsidR="00EA680D" w:rsidRDefault="00EA680D" w:rsidP="00EA680D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468760" cy="4178056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LT1A_4G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7744" cy="418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80D" w:rsidRPr="00EA7937" w:rsidRDefault="00EA680D" w:rsidP="00EA680D">
      <w:pPr>
        <w:pStyle w:val="Caption"/>
        <w:jc w:val="center"/>
      </w:pPr>
      <w:bookmarkStart w:id="2" w:name="_Ref473906491"/>
      <w:r>
        <w:t xml:space="preserve">Figure </w:t>
      </w:r>
      <w:fldSimple w:instr=" SEQ Figure \* ARABIC ">
        <w:r w:rsidR="006D76B5">
          <w:rPr>
            <w:noProof/>
          </w:rPr>
          <w:t>1</w:t>
        </w:r>
      </w:fldSimple>
      <w:bookmarkEnd w:id="2"/>
      <w:r>
        <w:t xml:space="preserve"> Alternative 1A with control signalling functional blocks</w:t>
      </w:r>
    </w:p>
    <w:p w:rsidR="00EA7937" w:rsidRDefault="007C6543" w:rsidP="00EA7937">
      <w:r w:rsidRPr="00C33AB3">
        <w:rPr>
          <w:b/>
          <w:i/>
        </w:rPr>
        <w:t>Observation 1: The Alternat</w:t>
      </w:r>
      <w:r w:rsidR="004E40B1" w:rsidRPr="00C33AB3">
        <w:rPr>
          <w:b/>
          <w:i/>
        </w:rPr>
        <w:t>iv</w:t>
      </w:r>
      <w:r w:rsidRPr="00C33AB3">
        <w:rPr>
          <w:b/>
          <w:i/>
        </w:rPr>
        <w:t xml:space="preserve">e 1A architecture </w:t>
      </w:r>
      <w:r w:rsidR="004E40B1" w:rsidRPr="00C33AB3">
        <w:rPr>
          <w:b/>
          <w:i/>
        </w:rPr>
        <w:t>shows how</w:t>
      </w:r>
      <w:r w:rsidRPr="00C33AB3">
        <w:rPr>
          <w:b/>
          <w:i/>
        </w:rPr>
        <w:t xml:space="preserve"> control and user planes </w:t>
      </w:r>
      <w:r w:rsidR="004E40B1" w:rsidRPr="00C33AB3">
        <w:rPr>
          <w:b/>
          <w:i/>
        </w:rPr>
        <w:t xml:space="preserve">can be </w:t>
      </w:r>
      <w:r w:rsidRPr="00C33AB3">
        <w:rPr>
          <w:b/>
          <w:i/>
        </w:rPr>
        <w:t>split between the Master cell and remote PDCP-U.</w:t>
      </w:r>
      <w:r w:rsidR="004E40B1" w:rsidRPr="00C33AB3">
        <w:rPr>
          <w:b/>
          <w:i/>
        </w:rPr>
        <w:t xml:space="preserve"> This is part of the Release 12 specifications.</w:t>
      </w:r>
      <w:r>
        <w:t xml:space="preserve"> </w:t>
      </w:r>
    </w:p>
    <w:p w:rsidR="00EA7937" w:rsidRDefault="004E40B1" w:rsidP="00EA7937">
      <w:pPr>
        <w:pStyle w:val="Heading1"/>
      </w:pPr>
      <w:r>
        <w:t xml:space="preserve">Dual Connectivity </w:t>
      </w:r>
      <w:r w:rsidR="00EA7937">
        <w:t xml:space="preserve">Alternative 3C </w:t>
      </w:r>
    </w:p>
    <w:p w:rsidR="004E40B1" w:rsidRDefault="004E40B1" w:rsidP="00EA7937">
      <w:r>
        <w:t>A</w:t>
      </w:r>
      <w:r w:rsidR="00EA7937">
        <w:t xml:space="preserve">s described in TR 36.842 [3] the Master </w:t>
      </w:r>
      <w:proofErr w:type="spellStart"/>
      <w:r w:rsidR="00EA7937">
        <w:t>eNodeB</w:t>
      </w:r>
      <w:proofErr w:type="spellEnd"/>
      <w:r>
        <w:t xml:space="preserve"> receives the</w:t>
      </w:r>
      <w:r w:rsidR="00EA7937">
        <w:t xml:space="preserve"> EPS bearer</w:t>
      </w:r>
      <w:r>
        <w:t>(s)</w:t>
      </w:r>
      <w:r w:rsidR="00EA7937">
        <w:t xml:space="preserve"> from the core</w:t>
      </w:r>
      <w:r w:rsidR="00A00358">
        <w:t xml:space="preserve"> </w:t>
      </w:r>
      <w:r>
        <w:t xml:space="preserve">network and </w:t>
      </w:r>
      <w:r w:rsidR="00A00358">
        <w:t>terminate</w:t>
      </w:r>
      <w:r>
        <w:t>s</w:t>
      </w:r>
      <w:r w:rsidR="00A00358">
        <w:t xml:space="preserve"> </w:t>
      </w:r>
      <w:r>
        <w:t xml:space="preserve">them </w:t>
      </w:r>
      <w:r w:rsidR="00A00358">
        <w:t>into a PDCP functional block.</w:t>
      </w:r>
      <w:r w:rsidR="00EA7937">
        <w:t xml:space="preserve"> The </w:t>
      </w:r>
      <w:r w:rsidR="00A00358">
        <w:t xml:space="preserve">user </w:t>
      </w:r>
      <w:r w:rsidR="00EA7937">
        <w:t xml:space="preserve">traffic is then split </w:t>
      </w:r>
      <w:r>
        <w:t>by</w:t>
      </w:r>
      <w:r w:rsidR="00A00358">
        <w:t xml:space="preserve"> </w:t>
      </w:r>
      <w:r w:rsidR="00D77F94">
        <w:t>PDCP</w:t>
      </w:r>
      <w:r>
        <w:t xml:space="preserve"> (</w:t>
      </w:r>
      <w:r w:rsidR="00D77F94">
        <w:t xml:space="preserve">which resides in the Master </w:t>
      </w:r>
      <w:proofErr w:type="spellStart"/>
      <w:r w:rsidR="00D77F94">
        <w:t>eNode</w:t>
      </w:r>
      <w:r>
        <w:t>B</w:t>
      </w:r>
      <w:proofErr w:type="spellEnd"/>
      <w:r>
        <w:t>)</w:t>
      </w:r>
      <w:r w:rsidR="00D77F94">
        <w:t xml:space="preserve"> and is </w:t>
      </w:r>
      <w:r w:rsidR="00EA7937">
        <w:t xml:space="preserve">fed into RLC-MAC-PHY layer in both </w:t>
      </w:r>
      <w:r>
        <w:t xml:space="preserve">Master and Secondary </w:t>
      </w:r>
      <w:proofErr w:type="spellStart"/>
      <w:r w:rsidR="00956773">
        <w:t>eNodeBs</w:t>
      </w:r>
      <w:proofErr w:type="spellEnd"/>
      <w:r w:rsidR="00956773">
        <w:t xml:space="preserve">. </w:t>
      </w:r>
    </w:p>
    <w:p w:rsidR="004E40B1" w:rsidRDefault="004E40B1" w:rsidP="004E40B1">
      <w:r>
        <w:t xml:space="preserve">The control signalling, from MME, is terminated into a RRM functional block in the Master </w:t>
      </w:r>
      <w:proofErr w:type="spellStart"/>
      <w:r>
        <w:t>eNodeB</w:t>
      </w:r>
      <w:proofErr w:type="spellEnd"/>
      <w:r>
        <w:t xml:space="preserve">; this RRM unit also controls the radio resources, and the RLC configuration, of the secondary </w:t>
      </w:r>
      <w:proofErr w:type="spellStart"/>
      <w:r>
        <w:t>eNodeB</w:t>
      </w:r>
      <w:proofErr w:type="spellEnd"/>
      <w:r>
        <w:t xml:space="preserve">. The control signalling is fed over the X2 interface between the two </w:t>
      </w:r>
      <w:proofErr w:type="spellStart"/>
      <w:r>
        <w:t>eNodeBs</w:t>
      </w:r>
      <w:proofErr w:type="spellEnd"/>
      <w:r>
        <w:t>.</w:t>
      </w:r>
    </w:p>
    <w:p w:rsidR="00EA7937" w:rsidRDefault="00C33AB3" w:rsidP="00EA7937">
      <w:r>
        <w:t>See the following F</w:t>
      </w:r>
      <w:r w:rsidR="009047E8">
        <w:t>igure</w:t>
      </w:r>
      <w:r w:rsidR="004E40B1">
        <w:t xml:space="preserve"> 2.</w:t>
      </w:r>
    </w:p>
    <w:p w:rsidR="008D539F" w:rsidRDefault="008D539F" w:rsidP="008D539F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3266378" cy="4191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LT3C_4G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9164" cy="419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358" w:rsidRDefault="008D539F" w:rsidP="008D539F">
      <w:pPr>
        <w:pStyle w:val="Caption"/>
        <w:jc w:val="center"/>
      </w:pPr>
      <w:r>
        <w:t xml:space="preserve">Figure </w:t>
      </w:r>
      <w:fldSimple w:instr=" SEQ Figure \* ARABIC ">
        <w:r w:rsidR="006D76B5">
          <w:rPr>
            <w:noProof/>
          </w:rPr>
          <w:t>2</w:t>
        </w:r>
      </w:fldSimple>
      <w:r>
        <w:t xml:space="preserve"> Alternative 3C with control signalling functional block</w:t>
      </w:r>
    </w:p>
    <w:p w:rsidR="004E40B1" w:rsidRDefault="004E40B1" w:rsidP="007C6543">
      <w:r>
        <w:rPr>
          <w:b/>
          <w:i/>
        </w:rPr>
        <w:t>Observation 2</w:t>
      </w:r>
      <w:r w:rsidRPr="00F25996">
        <w:rPr>
          <w:b/>
          <w:i/>
        </w:rPr>
        <w:t>: The Alternativ</w:t>
      </w:r>
      <w:r>
        <w:rPr>
          <w:b/>
          <w:i/>
        </w:rPr>
        <w:t>e 3C</w:t>
      </w:r>
      <w:r w:rsidRPr="00F25996">
        <w:rPr>
          <w:b/>
          <w:i/>
        </w:rPr>
        <w:t xml:space="preserve"> architecture shows how control and user planes can be split between the Master cell and remote </w:t>
      </w:r>
      <w:r>
        <w:rPr>
          <w:b/>
          <w:i/>
        </w:rPr>
        <w:t>RLC</w:t>
      </w:r>
      <w:r w:rsidRPr="00F25996">
        <w:rPr>
          <w:b/>
          <w:i/>
        </w:rPr>
        <w:t>. This is part of the Release 12 specifications.</w:t>
      </w:r>
    </w:p>
    <w:p w:rsidR="007A3B1F" w:rsidRDefault="007A3B1F" w:rsidP="007A3B1F">
      <w:pPr>
        <w:pStyle w:val="Heading1"/>
      </w:pPr>
      <w:r>
        <w:t xml:space="preserve">CU-DU Functional Split </w:t>
      </w:r>
    </w:p>
    <w:p w:rsidR="007A3B1F" w:rsidRDefault="007A3B1F" w:rsidP="007A3B1F">
      <w:r>
        <w:t xml:space="preserve">The following figure illustrates the Option 2 functional split, as presented in R3-170085. </w:t>
      </w:r>
    </w:p>
    <w:p w:rsidR="00D77F94" w:rsidRDefault="00D77F94" w:rsidP="00D77F94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29EDFAE1" wp14:editId="29BE4DDA">
            <wp:extent cx="5073650" cy="358737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ption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4598" cy="3658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F94" w:rsidRPr="007A3B1F" w:rsidRDefault="00D77F94" w:rsidP="00D77F94">
      <w:pPr>
        <w:pStyle w:val="Caption"/>
        <w:jc w:val="center"/>
      </w:pPr>
      <w:bookmarkStart w:id="3" w:name="_Ref473906496"/>
      <w:r>
        <w:t xml:space="preserve">Figure </w:t>
      </w:r>
      <w:fldSimple w:instr=" SEQ Figure \* ARABIC ">
        <w:r w:rsidR="006D76B5">
          <w:rPr>
            <w:noProof/>
          </w:rPr>
          <w:t>3</w:t>
        </w:r>
      </w:fldSimple>
      <w:bookmarkEnd w:id="3"/>
      <w:r>
        <w:t xml:space="preserve"> Option 2 Functional Split</w:t>
      </w:r>
    </w:p>
    <w:p w:rsidR="007A3B1F" w:rsidRDefault="001D7438" w:rsidP="007C6543">
      <w:r>
        <w:t xml:space="preserve">The advantages of Option 2 functional split are as </w:t>
      </w:r>
      <w:r w:rsidR="00F84622">
        <w:t>follows:</w:t>
      </w:r>
    </w:p>
    <w:p w:rsidR="00442495" w:rsidRDefault="00442495" w:rsidP="00442495">
      <w:pPr>
        <w:pStyle w:val="ListParagraph"/>
        <w:numPr>
          <w:ilvl w:val="0"/>
          <w:numId w:val="5"/>
        </w:numPr>
      </w:pPr>
      <w:r>
        <w:t>In the case of inter-site dual connectivity, it avoids sending data down the “last mile” transmission to the master cell, returning it up that “last mile”, and then sending the data down a different “last mile” of transmission to the secondary cell</w:t>
      </w:r>
      <w:bookmarkStart w:id="4" w:name="_GoBack"/>
      <w:bookmarkEnd w:id="4"/>
      <w:r>
        <w:t xml:space="preserve">. Furthermore, the capacity of the </w:t>
      </w:r>
      <w:proofErr w:type="spellStart"/>
      <w:r>
        <w:t>fronthaul</w:t>
      </w:r>
      <w:proofErr w:type="spellEnd"/>
      <w:r>
        <w:t xml:space="preserve"> transmission is simpler to dimension</w:t>
      </w:r>
    </w:p>
    <w:p w:rsidR="001D7438" w:rsidRDefault="007A3B1F" w:rsidP="007A3B1F">
      <w:pPr>
        <w:pStyle w:val="ListParagraph"/>
        <w:numPr>
          <w:ilvl w:val="0"/>
          <w:numId w:val="5"/>
        </w:numPr>
      </w:pPr>
      <w:r>
        <w:t>Allows PDC</w:t>
      </w:r>
      <w:r w:rsidR="001D7438">
        <w:t>P</w:t>
      </w:r>
      <w:r>
        <w:t xml:space="preserve"> to be hosted in a</w:t>
      </w:r>
      <w:r w:rsidR="001D7438">
        <w:t xml:space="preserve"> centralised </w:t>
      </w:r>
      <w:r>
        <w:t>data centre</w:t>
      </w:r>
      <w:r w:rsidR="001D7438">
        <w:t xml:space="preserve"> location and avoids the need for </w:t>
      </w:r>
      <w:proofErr w:type="spellStart"/>
      <w:r w:rsidR="001D7438">
        <w:t>IPSec</w:t>
      </w:r>
      <w:proofErr w:type="spellEnd"/>
      <w:r w:rsidR="001D7438">
        <w:t xml:space="preserve"> on </w:t>
      </w:r>
      <w:proofErr w:type="spellStart"/>
      <w:r w:rsidR="001D7438">
        <w:t>fronthaul</w:t>
      </w:r>
      <w:proofErr w:type="spellEnd"/>
      <w:r w:rsidR="001D7438">
        <w:t xml:space="preserve"> bearer</w:t>
      </w:r>
    </w:p>
    <w:p w:rsidR="001D7438" w:rsidRDefault="001D7438" w:rsidP="007A3B1F">
      <w:pPr>
        <w:pStyle w:val="ListParagraph"/>
        <w:numPr>
          <w:ilvl w:val="0"/>
          <w:numId w:val="5"/>
        </w:numPr>
      </w:pPr>
      <w:r>
        <w:t xml:space="preserve">No latency dependency for RLC ARQ </w:t>
      </w:r>
    </w:p>
    <w:p w:rsidR="00F84622" w:rsidRDefault="001D7438" w:rsidP="007A3B1F">
      <w:pPr>
        <w:pStyle w:val="ListParagraph"/>
        <w:numPr>
          <w:ilvl w:val="0"/>
          <w:numId w:val="5"/>
        </w:numPr>
      </w:pPr>
      <w:r>
        <w:t xml:space="preserve">Allows PDCP </w:t>
      </w:r>
      <w:r w:rsidR="00F84622">
        <w:t>resilience by moving secondary PDCP to an alternative data centre</w:t>
      </w:r>
    </w:p>
    <w:p w:rsidR="00F84622" w:rsidRDefault="004E40B1" w:rsidP="007A3B1F">
      <w:pPr>
        <w:pStyle w:val="ListParagraph"/>
        <w:numPr>
          <w:ilvl w:val="0"/>
          <w:numId w:val="5"/>
        </w:numPr>
      </w:pPr>
      <w:r>
        <w:t>Supports o</w:t>
      </w:r>
      <w:r w:rsidR="00F84622">
        <w:t xml:space="preserve">ne-way latency from </w:t>
      </w:r>
      <w:proofErr w:type="spellStart"/>
      <w:r w:rsidR="00F84622">
        <w:t>eNodeB</w:t>
      </w:r>
      <w:proofErr w:type="spellEnd"/>
      <w:r w:rsidR="00F84622">
        <w:t xml:space="preserve"> –</w:t>
      </w:r>
      <w:r>
        <w:t xml:space="preserve"> primary </w:t>
      </w:r>
      <w:r w:rsidR="00F84622">
        <w:t xml:space="preserve">data centre </w:t>
      </w:r>
      <w:r>
        <w:t>of</w:t>
      </w:r>
      <w:r w:rsidR="00F84622">
        <w:t xml:space="preserve"> approximately 5-10ms</w:t>
      </w:r>
      <w:r>
        <w:t>, and to ‘fail-over’ data centre of 10-15ms</w:t>
      </w:r>
      <w:r w:rsidR="00F84622">
        <w:t>.</w:t>
      </w:r>
    </w:p>
    <w:p w:rsidR="007A3B1F" w:rsidRPr="007C6543" w:rsidRDefault="004E40B1" w:rsidP="007A3B1F">
      <w:pPr>
        <w:pStyle w:val="ListParagraph"/>
        <w:numPr>
          <w:ilvl w:val="0"/>
          <w:numId w:val="5"/>
        </w:numPr>
      </w:pPr>
      <w:r>
        <w:t xml:space="preserve">With </w:t>
      </w:r>
      <w:r w:rsidR="00F84622">
        <w:t xml:space="preserve">“per bearer” and “per UE” selection of where PDCP-U goes, </w:t>
      </w:r>
      <w:r>
        <w:t>supports both, e.g.</w:t>
      </w:r>
      <w:r w:rsidR="00F84622">
        <w:t xml:space="preserve"> local breakouts in enterprise near </w:t>
      </w:r>
      <w:proofErr w:type="spellStart"/>
      <w:r w:rsidR="00F84622">
        <w:t>basestation</w:t>
      </w:r>
      <w:proofErr w:type="spellEnd"/>
      <w:r w:rsidR="00F84622">
        <w:t xml:space="preserve"> </w:t>
      </w:r>
      <w:r>
        <w:t>and</w:t>
      </w:r>
      <w:r w:rsidR="00F84622">
        <w:t>. centralised internet connections</w:t>
      </w:r>
      <w:r>
        <w:t>.</w:t>
      </w:r>
      <w:r w:rsidR="007A3B1F">
        <w:t xml:space="preserve"> </w:t>
      </w:r>
    </w:p>
    <w:p w:rsidR="00A00358" w:rsidRDefault="00A00358" w:rsidP="00A00358">
      <w:pPr>
        <w:pStyle w:val="Heading1"/>
      </w:pPr>
      <w:r>
        <w:t>User and Control Plane Separation</w:t>
      </w:r>
    </w:p>
    <w:p w:rsidR="00F54BAE" w:rsidRDefault="0085416B" w:rsidP="00D77F94">
      <w:r>
        <w:t xml:space="preserve">Using the capabilities described in Observations 1 and 2, </w:t>
      </w:r>
      <w:r w:rsidR="00D77F94">
        <w:t>Option 2</w:t>
      </w:r>
      <w:r>
        <w:t xml:space="preserve"> </w:t>
      </w:r>
      <w:r w:rsidR="00A00358">
        <w:t>provide</w:t>
      </w:r>
      <w:r w:rsidR="00D77F94">
        <w:t>s</w:t>
      </w:r>
      <w:r w:rsidR="00A00358">
        <w:t xml:space="preserve"> the </w:t>
      </w:r>
      <w:r>
        <w:t>capabilities</w:t>
      </w:r>
      <w:r w:rsidR="00A00358">
        <w:t xml:space="preserve"> to separate the User and Control planes.</w:t>
      </w:r>
    </w:p>
    <w:p w:rsidR="0085416B" w:rsidRDefault="00A00358" w:rsidP="00EA7937">
      <w:r>
        <w:t>In order to maintain tight interworking and synchronisations between RLC-MAC-PHY functional block</w:t>
      </w:r>
      <w:r w:rsidR="00F54BAE">
        <w:t>s</w:t>
      </w:r>
      <w:r>
        <w:t xml:space="preserve">, they are maintained tightly bound in the </w:t>
      </w:r>
      <w:r w:rsidR="00F54BAE">
        <w:t>DU</w:t>
      </w:r>
      <w:r>
        <w:t xml:space="preserve">. </w:t>
      </w:r>
    </w:p>
    <w:p w:rsidR="0085416B" w:rsidRDefault="00A00358" w:rsidP="00EA7937">
      <w:r>
        <w:t xml:space="preserve">Option 2 split allows </w:t>
      </w:r>
      <w:r w:rsidR="0085416B">
        <w:t>operators implementation flexibility and evolution options: e.g.</w:t>
      </w:r>
    </w:p>
    <w:p w:rsidR="00A00358" w:rsidRDefault="0085416B" w:rsidP="00C33AB3">
      <w:pPr>
        <w:ind w:left="720"/>
      </w:pPr>
      <w:r>
        <w:lastRenderedPageBreak/>
        <w:t xml:space="preserve">a) </w:t>
      </w:r>
      <w:r w:rsidR="0002451D">
        <w:t>to move</w:t>
      </w:r>
      <w:r w:rsidR="00C13B19">
        <w:t xml:space="preserve"> </w:t>
      </w:r>
      <w:r w:rsidR="00842CCA">
        <w:t>the PDCP</w:t>
      </w:r>
      <w:r w:rsidR="00A00358">
        <w:t xml:space="preserve"> to a Central Unit</w:t>
      </w:r>
      <w:r>
        <w:t xml:space="preserve"> while keeping RRM in a master 4G cell</w:t>
      </w:r>
      <w:r w:rsidR="00CF6BF6">
        <w:t>.</w:t>
      </w:r>
      <w:r>
        <w:t xml:space="preserve"> (This might be useful as a complement to “overall architecture option 3”). See Figure 4, below.</w:t>
      </w:r>
    </w:p>
    <w:p w:rsidR="0085416B" w:rsidRDefault="0085416B" w:rsidP="00C33AB3">
      <w:pPr>
        <w:ind w:left="720"/>
      </w:pPr>
      <w:r>
        <w:t xml:space="preserve">b) to move RRM to a more central location where it has oversight over multiple cells; while allowing independent scalability of user plane and control plane. </w:t>
      </w:r>
    </w:p>
    <w:p w:rsidR="0085416B" w:rsidRDefault="0085416B" w:rsidP="00C33AB3">
      <w:pPr>
        <w:ind w:left="720"/>
      </w:pPr>
      <w:r>
        <w:t>c) central RRM with local breakout of some data connections of some UEs nearer (or at) the base station site</w:t>
      </w:r>
    </w:p>
    <w:p w:rsidR="0085416B" w:rsidRDefault="0085416B" w:rsidP="00C33AB3">
      <w:pPr>
        <w:ind w:left="720"/>
      </w:pPr>
      <w:r>
        <w:t>d) common, national data centre fabric with single vendor PDCP-U interacting with multiple RAN (or RRM) vendors, each RAN vendor in a different geographic region. Failover to 2</w:t>
      </w:r>
      <w:r w:rsidRPr="00C33AB3">
        <w:rPr>
          <w:vertAlign w:val="superscript"/>
        </w:rPr>
        <w:t>nd</w:t>
      </w:r>
      <w:r>
        <w:t>/3</w:t>
      </w:r>
      <w:r w:rsidRPr="00C33AB3">
        <w:rPr>
          <w:vertAlign w:val="superscript"/>
        </w:rPr>
        <w:t>rd</w:t>
      </w:r>
      <w:r>
        <w:t xml:space="preserve"> choice data centre makes geographical vendor specific PDCP-U impractical. See Figure 5, below.</w:t>
      </w:r>
    </w:p>
    <w:p w:rsidR="0085416B" w:rsidRDefault="0085416B" w:rsidP="00C33AB3">
      <w:pPr>
        <w:ind w:left="720"/>
      </w:pPr>
      <w:r>
        <w:t>e) etc.</w:t>
      </w:r>
    </w:p>
    <w:p w:rsidR="00842CCA" w:rsidRDefault="0085416B" w:rsidP="00842CCA">
      <w:r>
        <w:t xml:space="preserve">Some of these options are shown in the following figures. </w:t>
      </w:r>
    </w:p>
    <w:p w:rsidR="00842CCA" w:rsidRDefault="00842CCA" w:rsidP="00842CCA">
      <w:pPr>
        <w:keepNext/>
        <w:jc w:val="center"/>
      </w:pPr>
    </w:p>
    <w:p w:rsidR="00C33AB3" w:rsidRDefault="00C33AB3" w:rsidP="00842CCA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028360" cy="464629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DCP_centre_rrm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619" cy="465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16B" w:rsidRDefault="00842CCA" w:rsidP="0085416B">
      <w:pPr>
        <w:pStyle w:val="Caption"/>
        <w:jc w:val="center"/>
      </w:pPr>
      <w:r>
        <w:t xml:space="preserve">Figure </w:t>
      </w:r>
      <w:fldSimple w:instr=" SEQ Figure \* ARABIC ">
        <w:r w:rsidR="006D76B5">
          <w:rPr>
            <w:noProof/>
          </w:rPr>
          <w:t>4</w:t>
        </w:r>
      </w:fldSimple>
      <w:r>
        <w:t xml:space="preserve"> Centralised PDCP</w:t>
      </w:r>
      <w:r w:rsidR="0085416B">
        <w:t>-U</w:t>
      </w:r>
      <w:r>
        <w:t xml:space="preserve"> with RRM and control signalling </w:t>
      </w:r>
      <w:r w:rsidR="0085416B">
        <w:t xml:space="preserve">in </w:t>
      </w:r>
      <w:proofErr w:type="spellStart"/>
      <w:r w:rsidR="0085416B">
        <w:t>eN</w:t>
      </w:r>
      <w:r w:rsidR="00C33AB3">
        <w:t>ode</w:t>
      </w:r>
      <w:r w:rsidR="0085416B">
        <w:t>B</w:t>
      </w:r>
      <w:proofErr w:type="spellEnd"/>
      <w:r w:rsidR="0085416B">
        <w:t xml:space="preserve"> </w:t>
      </w:r>
    </w:p>
    <w:p w:rsidR="00842CCA" w:rsidRDefault="00842CCA" w:rsidP="00842CCA">
      <w:pPr>
        <w:pStyle w:val="Caption"/>
        <w:jc w:val="center"/>
      </w:pPr>
    </w:p>
    <w:p w:rsidR="0085416B" w:rsidRDefault="0085416B" w:rsidP="00842CCA"/>
    <w:p w:rsidR="00955B0C" w:rsidRDefault="00955B0C" w:rsidP="00955B0C">
      <w:pPr>
        <w:keepNext/>
        <w:jc w:val="center"/>
      </w:pPr>
    </w:p>
    <w:p w:rsidR="00C33AB3" w:rsidRDefault="00C33AB3" w:rsidP="00955B0C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556598" cy="5562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DCP_centre_rrm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8458" cy="5564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B0C" w:rsidRDefault="00955B0C" w:rsidP="00955B0C">
      <w:pPr>
        <w:pStyle w:val="Caption"/>
        <w:jc w:val="center"/>
      </w:pPr>
      <w:r>
        <w:t xml:space="preserve">Figure </w:t>
      </w:r>
      <w:fldSimple w:instr=" SEQ Figure \* ARABIC ">
        <w:r w:rsidR="006D76B5">
          <w:rPr>
            <w:noProof/>
          </w:rPr>
          <w:t>5</w:t>
        </w:r>
      </w:fldSimple>
      <w:r>
        <w:t xml:space="preserve"> Centralised PDCP with Centralised RRM in separate platform</w:t>
      </w:r>
      <w:r w:rsidR="0085416B">
        <w:t xml:space="preserve">s  </w:t>
      </w:r>
    </w:p>
    <w:p w:rsidR="0085416B" w:rsidRDefault="00037E5E" w:rsidP="00037E5E">
      <w:r>
        <w:t>The above figure</w:t>
      </w:r>
      <w:r w:rsidR="0085416B">
        <w:t>s</w:t>
      </w:r>
      <w:r>
        <w:t xml:space="preserve"> illustrate </w:t>
      </w:r>
      <w:r w:rsidR="0085416B">
        <w:t>how</w:t>
      </w:r>
      <w:r>
        <w:t xml:space="preserve"> Option 2 </w:t>
      </w:r>
      <w:r w:rsidR="0085416B">
        <w:t xml:space="preserve">CU/DU </w:t>
      </w:r>
      <w:r>
        <w:t>functional split would allow for user and control planes separation</w:t>
      </w:r>
      <w:r w:rsidR="0085416B">
        <w:t xml:space="preserve">, and allow for the independent scalability and evolution (e.g. addition of new encryption </w:t>
      </w:r>
      <w:r w:rsidR="00C33AB3">
        <w:t>algorithms</w:t>
      </w:r>
      <w:r w:rsidR="0085416B">
        <w:t xml:space="preserve">) of control and user </w:t>
      </w:r>
      <w:r w:rsidR="00C33AB3">
        <w:t>planes.</w:t>
      </w:r>
      <w:r>
        <w:t xml:space="preserve"> </w:t>
      </w:r>
    </w:p>
    <w:p w:rsidR="0045408D" w:rsidRDefault="0045408D" w:rsidP="0045408D">
      <w:pPr>
        <w:pStyle w:val="Heading1"/>
      </w:pPr>
      <w:r>
        <w:t>Conclusion and Proposal</w:t>
      </w:r>
    </w:p>
    <w:p w:rsidR="00C13B19" w:rsidRDefault="00C13B19" w:rsidP="00C13B19">
      <w:r>
        <w:t>In our view</w:t>
      </w:r>
      <w:r w:rsidR="008D539F">
        <w:t>:</w:t>
      </w:r>
      <w:r>
        <w:t xml:space="preserve"> </w:t>
      </w:r>
    </w:p>
    <w:p w:rsidR="00C13B19" w:rsidRDefault="00C13B19" w:rsidP="00C13B19">
      <w:pPr>
        <w:pStyle w:val="ListParagraph"/>
        <w:numPr>
          <w:ilvl w:val="0"/>
          <w:numId w:val="4"/>
        </w:numPr>
      </w:pPr>
      <w:r>
        <w:t xml:space="preserve">Option 2 provides </w:t>
      </w:r>
      <w:r w:rsidR="00060636">
        <w:t>a</w:t>
      </w:r>
      <w:r>
        <w:t xml:space="preserve"> practical functional split allowing separation of PDCP functional block to be moved to a central unit whilst </w:t>
      </w:r>
      <w:r w:rsidR="0085416B">
        <w:t>maintaining</w:t>
      </w:r>
      <w:r>
        <w:t xml:space="preserve"> tight integration and synchronisation between RLC-MAC-PHY functional blocks</w:t>
      </w:r>
      <w:r w:rsidR="0085416B">
        <w:t>.</w:t>
      </w:r>
    </w:p>
    <w:p w:rsidR="00060636" w:rsidRDefault="00060636" w:rsidP="00C13B19">
      <w:pPr>
        <w:pStyle w:val="ListParagraph"/>
        <w:numPr>
          <w:ilvl w:val="0"/>
          <w:numId w:val="4"/>
        </w:numPr>
      </w:pPr>
      <w:r>
        <w:t xml:space="preserve">Option 2 re-uses the established Release 12 Dual connectivity </w:t>
      </w:r>
      <w:r w:rsidR="00C33AB3">
        <w:t>functionality.</w:t>
      </w:r>
      <w:r>
        <w:t xml:space="preserve"> </w:t>
      </w:r>
    </w:p>
    <w:p w:rsidR="0085416B" w:rsidRDefault="0085416B" w:rsidP="00C13B19">
      <w:pPr>
        <w:pStyle w:val="ListParagraph"/>
        <w:numPr>
          <w:ilvl w:val="0"/>
          <w:numId w:val="4"/>
        </w:numPr>
      </w:pPr>
      <w:r>
        <w:lastRenderedPageBreak/>
        <w:t xml:space="preserve">Option 2 allows effective Dual Connectivity </w:t>
      </w:r>
      <w:r w:rsidR="00C33AB3">
        <w:t>of LTE</w:t>
      </w:r>
      <w:r>
        <w:t xml:space="preserve"> and NR.</w:t>
      </w:r>
    </w:p>
    <w:p w:rsidR="00C13B19" w:rsidRDefault="0002451D" w:rsidP="00C13B19">
      <w:pPr>
        <w:pStyle w:val="ListParagraph"/>
        <w:numPr>
          <w:ilvl w:val="0"/>
          <w:numId w:val="4"/>
        </w:numPr>
      </w:pPr>
      <w:r>
        <w:t xml:space="preserve">Option 2 </w:t>
      </w:r>
      <w:r w:rsidR="00060636">
        <w:t xml:space="preserve">adds very small overhead to radio and data rate </w:t>
      </w:r>
      <w:r w:rsidR="0085416B">
        <w:t>on the ‘</w:t>
      </w:r>
      <w:proofErr w:type="spellStart"/>
      <w:r w:rsidR="0085416B">
        <w:t>fronthaul</w:t>
      </w:r>
      <w:proofErr w:type="spellEnd"/>
      <w:r w:rsidR="0085416B">
        <w:t>’.</w:t>
      </w:r>
    </w:p>
    <w:p w:rsidR="0002451D" w:rsidRDefault="0002451D" w:rsidP="00C13B19">
      <w:pPr>
        <w:pStyle w:val="ListParagraph"/>
        <w:numPr>
          <w:ilvl w:val="0"/>
          <w:numId w:val="4"/>
        </w:numPr>
      </w:pPr>
      <w:r>
        <w:t xml:space="preserve">Option </w:t>
      </w:r>
      <w:r w:rsidR="00060636">
        <w:t xml:space="preserve">2 and Release12 Dual connectivity allows for scalability and evolution of </w:t>
      </w:r>
      <w:r>
        <w:t xml:space="preserve">Control and User planes. </w:t>
      </w:r>
    </w:p>
    <w:p w:rsidR="0085416B" w:rsidRDefault="0085416B" w:rsidP="00C13B19">
      <w:pPr>
        <w:pStyle w:val="ListParagraph"/>
        <w:numPr>
          <w:ilvl w:val="0"/>
          <w:numId w:val="4"/>
        </w:numPr>
      </w:pPr>
      <w:r>
        <w:t>Option 2 allows operation with high latency links to a “fail-over” data centre.</w:t>
      </w:r>
    </w:p>
    <w:p w:rsidR="0002451D" w:rsidRDefault="0002451D" w:rsidP="00C13B19">
      <w:pPr>
        <w:pStyle w:val="ListParagraph"/>
        <w:numPr>
          <w:ilvl w:val="0"/>
          <w:numId w:val="4"/>
        </w:numPr>
      </w:pPr>
      <w:r>
        <w:t>The evolved architecture, with separated user and control planes, could allow for signalling and user traffic entities to be deployed separately</w:t>
      </w:r>
      <w:r w:rsidR="0085416B">
        <w:t>.</w:t>
      </w:r>
    </w:p>
    <w:p w:rsidR="0085416B" w:rsidRDefault="00A14B35" w:rsidP="0085416B">
      <w:pPr>
        <w:pStyle w:val="ListParagraph"/>
        <w:numPr>
          <w:ilvl w:val="0"/>
          <w:numId w:val="4"/>
        </w:numPr>
      </w:pPr>
      <w:r>
        <w:t>We propose RAN3 to adopt Option 2 Functional Split Architecture as the high layer split candidate</w:t>
      </w:r>
    </w:p>
    <w:p w:rsidR="00D97CFC" w:rsidRDefault="0085416B" w:rsidP="00D97CFC">
      <w:r>
        <w:t xml:space="preserve">Note: we are </w:t>
      </w:r>
      <w:r w:rsidRPr="00C33AB3">
        <w:rPr>
          <w:u w:val="single"/>
        </w:rPr>
        <w:t>not</w:t>
      </w:r>
      <w:r>
        <w:t xml:space="preserve"> fundamentally opposed to the Option 3-1 architecture, but 3-1 seems to have user plane latency constraints; less certainty over its ability to provide LTE-NR ‘dual connectivity’; and less certainty over its ability to have a multi-vendor CP-UP interface.</w:t>
      </w:r>
      <w:r w:rsidR="00D97CFC" w:rsidRPr="00D97CFC">
        <w:t xml:space="preserve"> </w:t>
      </w:r>
      <w:r w:rsidR="00D97CFC">
        <w:t xml:space="preserve">Furthermore, the efficiency of option 3-1 may rely on proprietary mechanisms and implementation which </w:t>
      </w:r>
      <w:r w:rsidR="001974C7">
        <w:t>could</w:t>
      </w:r>
      <w:r w:rsidR="00D97CFC">
        <w:t xml:space="preserve"> make it more difficult to realise this option in a multi-vendor environment.</w:t>
      </w:r>
    </w:p>
    <w:p w:rsidR="0045408D" w:rsidRDefault="00560B16" w:rsidP="0045408D">
      <w:pPr>
        <w:pStyle w:val="Heading1"/>
      </w:pPr>
      <w:r>
        <w:t>References</w:t>
      </w:r>
    </w:p>
    <w:p w:rsidR="00560B16" w:rsidRDefault="00560B16" w:rsidP="00560B16">
      <w:pPr>
        <w:pStyle w:val="ListParagraph"/>
        <w:numPr>
          <w:ilvl w:val="0"/>
          <w:numId w:val="3"/>
        </w:numPr>
      </w:pPr>
      <w:r>
        <w:t xml:space="preserve">3GPP R3-170085 </w:t>
      </w:r>
    </w:p>
    <w:p w:rsidR="00560B16" w:rsidRDefault="00560B16" w:rsidP="00560B16">
      <w:pPr>
        <w:pStyle w:val="ListParagraph"/>
        <w:numPr>
          <w:ilvl w:val="0"/>
          <w:numId w:val="3"/>
        </w:numPr>
      </w:pPr>
      <w:r>
        <w:t>3GPP TR 38.801 V1.1.0</w:t>
      </w:r>
    </w:p>
    <w:p w:rsidR="00560B16" w:rsidRDefault="00560B16" w:rsidP="00560B16">
      <w:pPr>
        <w:pStyle w:val="ListParagraph"/>
        <w:numPr>
          <w:ilvl w:val="0"/>
          <w:numId w:val="3"/>
        </w:numPr>
      </w:pPr>
      <w:r>
        <w:t xml:space="preserve">3GPP TR 36.842 V12.0.0 </w:t>
      </w:r>
    </w:p>
    <w:p w:rsidR="00560B16" w:rsidRPr="00560B16" w:rsidRDefault="00560B16" w:rsidP="00560B16"/>
    <w:sectPr w:rsidR="00560B16" w:rsidRPr="00560B16" w:rsidSect="008C63EC">
      <w:footerReference w:type="default" r:id="rId13"/>
      <w:headerReference w:type="first" r:id="rId14"/>
      <w:footerReference w:type="first" r:id="rId15"/>
      <w:pgSz w:w="11906" w:h="16838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77FF" w:rsidRDefault="005677FF" w:rsidP="00E2249A">
      <w:pPr>
        <w:spacing w:after="0" w:line="240" w:lineRule="auto"/>
      </w:pPr>
      <w:r>
        <w:separator/>
      </w:r>
    </w:p>
  </w:endnote>
  <w:endnote w:type="continuationSeparator" w:id="0">
    <w:p w:rsidR="005677FF" w:rsidRDefault="005677FF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12401A83-CB38-4C3A-9AE4-47FBF355D8F9}"/>
    <w:embedItalic r:id="rId2" w:fontKey="{3B95F42C-ED6F-4727-BCD4-55A70FA741AA}"/>
    <w:embedBoldItalic r:id="rId3" w:fontKey="{AF5B1D58-5F4D-4F92-878C-B16D8BA0A079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9DA86D6C-D20D-4216-8299-A0C63A885929}"/>
    <w:embedBold r:id="rId5" w:fontKey="{0F28AA68-A95A-459E-9867-FB6E772E399A}"/>
    <w:embedItalic r:id="rId6" w:fontKey="{4CB14C2C-A871-418B-9C0F-D61B80051EDE}"/>
    <w:embedBoldItalic r:id="rId7" w:fontKey="{22DCDC7E-3DA9-4AF7-9DCF-1774F4BCDAA6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8" w:fontKey="{8F386BB1-A665-458A-9444-7D50E09D36C9}"/>
    <w:embedBold r:id="rId9" w:fontKey="{427029E7-CEEE-4BA3-836C-95BE228DBA16}"/>
    <w:embedItalic r:id="rId10" w:fontKey="{B9E7C5FC-5248-40FA-9A60-A88A3E7D618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C75CA477-5036-4418-9607-D41BAA32C74E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8C63EC">
    <w:pPr>
      <w:pStyle w:val="Footer"/>
    </w:pPr>
    <w:r>
      <w:rPr>
        <w:color w:val="645C54" w:themeColor="text2"/>
      </w:rPr>
      <w:t>R3-</w:t>
    </w:r>
    <w:r w:rsidR="00786955">
      <w:rPr>
        <w:color w:val="645C54" w:themeColor="text2"/>
      </w:rPr>
      <w:t>170483</w:t>
    </w:r>
    <w:r w:rsidR="005136C1">
      <w:rPr>
        <w:color w:val="645C54" w:themeColor="text2"/>
      </w:rPr>
      <w:tab/>
    </w:r>
    <w:r w:rsidR="005136C1"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 w:rsidR="00381BA4">
      <w:rPr>
        <w:noProof/>
        <w:color w:val="645C54" w:themeColor="text2"/>
      </w:rPr>
      <w:t>4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 w:rsidR="00381BA4">
      <w:rPr>
        <w:noProof/>
        <w:color w:val="645C54" w:themeColor="text2"/>
      </w:rPr>
      <w:t>7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77FF" w:rsidRDefault="005677FF" w:rsidP="00E2249A">
      <w:pPr>
        <w:spacing w:after="0" w:line="240" w:lineRule="auto"/>
      </w:pPr>
      <w:r>
        <w:separator/>
      </w:r>
    </w:p>
  </w:footnote>
  <w:footnote w:type="continuationSeparator" w:id="0">
    <w:p w:rsidR="005677FF" w:rsidRDefault="005677FF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95122"/>
    <w:multiLevelType w:val="multilevel"/>
    <w:tmpl w:val="2D00BF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24475F80"/>
    <w:multiLevelType w:val="multilevel"/>
    <w:tmpl w:val="BD143262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5E2F0969"/>
    <w:multiLevelType w:val="hybridMultilevel"/>
    <w:tmpl w:val="4C8C07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911107"/>
    <w:multiLevelType w:val="hybridMultilevel"/>
    <w:tmpl w:val="8B9C55BE"/>
    <w:lvl w:ilvl="0" w:tplc="A94EAD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093070"/>
    <w:multiLevelType w:val="hybridMultilevel"/>
    <w:tmpl w:val="06BCC0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408D"/>
    <w:rsid w:val="0002451D"/>
    <w:rsid w:val="00037E5E"/>
    <w:rsid w:val="00060636"/>
    <w:rsid w:val="000C7EAB"/>
    <w:rsid w:val="00136948"/>
    <w:rsid w:val="001943CB"/>
    <w:rsid w:val="001974AF"/>
    <w:rsid w:val="001974C7"/>
    <w:rsid w:val="001D7438"/>
    <w:rsid w:val="002172A3"/>
    <w:rsid w:val="00252942"/>
    <w:rsid w:val="00253341"/>
    <w:rsid w:val="002543C8"/>
    <w:rsid w:val="00254722"/>
    <w:rsid w:val="002908A0"/>
    <w:rsid w:val="002B36C6"/>
    <w:rsid w:val="00363A2C"/>
    <w:rsid w:val="00381BA4"/>
    <w:rsid w:val="00442495"/>
    <w:rsid w:val="0045408D"/>
    <w:rsid w:val="004574F3"/>
    <w:rsid w:val="004B210F"/>
    <w:rsid w:val="004E40B1"/>
    <w:rsid w:val="005136C1"/>
    <w:rsid w:val="00560B16"/>
    <w:rsid w:val="005677FF"/>
    <w:rsid w:val="00587C92"/>
    <w:rsid w:val="00635CAC"/>
    <w:rsid w:val="006966E3"/>
    <w:rsid w:val="006D76B5"/>
    <w:rsid w:val="00786955"/>
    <w:rsid w:val="007A3B1F"/>
    <w:rsid w:val="007C6543"/>
    <w:rsid w:val="00831E04"/>
    <w:rsid w:val="00842CCA"/>
    <w:rsid w:val="0085416B"/>
    <w:rsid w:val="00882762"/>
    <w:rsid w:val="00891B52"/>
    <w:rsid w:val="008A0CBD"/>
    <w:rsid w:val="008C1104"/>
    <w:rsid w:val="008C4EC5"/>
    <w:rsid w:val="008C63EC"/>
    <w:rsid w:val="008D539F"/>
    <w:rsid w:val="008E1EB0"/>
    <w:rsid w:val="008F3983"/>
    <w:rsid w:val="009047E8"/>
    <w:rsid w:val="0091508E"/>
    <w:rsid w:val="00915C75"/>
    <w:rsid w:val="00931757"/>
    <w:rsid w:val="00955B0C"/>
    <w:rsid w:val="00956773"/>
    <w:rsid w:val="009C5FC1"/>
    <w:rsid w:val="00A00358"/>
    <w:rsid w:val="00A14B35"/>
    <w:rsid w:val="00A503D6"/>
    <w:rsid w:val="00A74657"/>
    <w:rsid w:val="00AC4D66"/>
    <w:rsid w:val="00B749DC"/>
    <w:rsid w:val="00BD72BD"/>
    <w:rsid w:val="00C073C5"/>
    <w:rsid w:val="00C1259C"/>
    <w:rsid w:val="00C13B19"/>
    <w:rsid w:val="00C24150"/>
    <w:rsid w:val="00C33AB3"/>
    <w:rsid w:val="00CF6BF6"/>
    <w:rsid w:val="00D77F94"/>
    <w:rsid w:val="00D85226"/>
    <w:rsid w:val="00D9222E"/>
    <w:rsid w:val="00D97CFC"/>
    <w:rsid w:val="00E2249A"/>
    <w:rsid w:val="00E30824"/>
    <w:rsid w:val="00EA06D5"/>
    <w:rsid w:val="00EA680D"/>
    <w:rsid w:val="00EA7937"/>
    <w:rsid w:val="00EB6998"/>
    <w:rsid w:val="00F44310"/>
    <w:rsid w:val="00F52315"/>
    <w:rsid w:val="00F54BAE"/>
    <w:rsid w:val="00F84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57948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539F"/>
    <w:pPr>
      <w:jc w:val="both"/>
    </w:pPr>
    <w:rPr>
      <w:rFonts w:ascii="Vodafone Rg" w:eastAsia="Calibri" w:hAnsi="Vodafone Rg" w:cs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5408D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5408D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NoSpacing">
    <w:name w:val="No Spacing"/>
    <w:basedOn w:val="Normal"/>
    <w:uiPriority w:val="1"/>
    <w:qFormat/>
    <w:rsid w:val="0045408D"/>
    <w:pPr>
      <w:spacing w:after="0" w:line="240" w:lineRule="auto"/>
    </w:pPr>
    <w:rPr>
      <w:lang w:eastAsia="en-GB"/>
    </w:rPr>
  </w:style>
  <w:style w:type="paragraph" w:styleId="ListParagraph">
    <w:name w:val="List Paragraph"/>
    <w:basedOn w:val="Normal"/>
    <w:uiPriority w:val="34"/>
    <w:qFormat/>
    <w:rsid w:val="0045408D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45408D"/>
    <w:rPr>
      <w:rFonts w:asciiTheme="majorHAnsi" w:eastAsiaTheme="majorEastAsia" w:hAnsiTheme="majorHAnsi" w:cstheme="majorBidi"/>
      <w:color w:val="720000" w:themeColor="accent1" w:themeShade="7F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45408D"/>
    <w:rPr>
      <w:rFonts w:asciiTheme="majorHAnsi" w:eastAsiaTheme="majorEastAsia" w:hAnsiTheme="majorHAnsi" w:cstheme="majorBidi"/>
      <w:i/>
      <w:iCs/>
      <w:color w:val="AC0000" w:themeColor="accent1" w:themeShade="BF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842CCA"/>
    <w:pPr>
      <w:spacing w:line="240" w:lineRule="auto"/>
    </w:pPr>
    <w:rPr>
      <w:i/>
      <w:iCs/>
      <w:color w:val="645C54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55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B5E20D-1A45-4842-8BF0-1D08622C8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1078</Words>
  <Characters>6146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2017-02-06T13:26:00Z</dcterms:created>
  <dcterms:modified xsi:type="dcterms:W3CDTF">2017-02-06T20:41:00Z</dcterms:modified>
</cp:coreProperties>
</file>