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lastRenderedPageBreak/>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lastRenderedPageBreak/>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 o:ole="">
                  <v:imagedata r:id="rId11" o:title=""/>
                </v:shape>
                <o:OLEObject Type="Embed" ProgID="Equation.3" ShapeID="_x0000_i1025" DrawAspect="Content" ObjectID="_1830169879"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pt;height:10pt" o:ole="">
                  <v:imagedata r:id="rId11" o:title=""/>
                </v:shape>
                <o:OLEObject Type="Embed" ProgID="Equation.3" ShapeID="_x0000_i1026" DrawAspect="Content" ObjectID="_1830169880"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pt;height:10pt" o:ole="">
                  <v:imagedata r:id="rId11" o:title=""/>
                </v:shape>
                <o:OLEObject Type="Embed" ProgID="Equation.3" ShapeID="_x0000_i1027" DrawAspect="Content" ObjectID="_1830169881"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830169882"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830169883"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830169884"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830169885"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830169886"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830169887"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830169888"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830169889"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830169890"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830169891"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830169892"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830169893"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7pt" o:ole="">
            <v:imagedata r:id="rId32" o:title=""/>
          </v:shape>
          <o:OLEObject Type="Embed" ProgID="Equation.3" ShapeID="_x0000_i1040" DrawAspect="Content" ObjectID="_1830169894"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30169895"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830169896"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5pt;height:20.5pt" o:ole="">
            <v:imagedata r:id="rId38" o:title=""/>
          </v:shape>
          <o:OLEObject Type="Embed" ProgID="Equation.3" ShapeID="_x0000_i1043" DrawAspect="Content" ObjectID="_1830169897"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30169898"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30169899"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30169900"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pt;height:1in" o:ole="">
            <v:imagedata r:id="rId45" o:title=""/>
          </v:shape>
          <o:OLEObject Type="Embed" ProgID="Equation.3" ShapeID="_x0000_i1047" DrawAspect="Content" ObjectID="_1830169901"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30169902"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30169903"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30169904"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5pt" o:ole="">
            <v:imagedata r:id="rId53" o:title=""/>
          </v:shape>
          <o:OLEObject Type="Embed" ProgID="Equation.3" ShapeID="_x0000_i1051" DrawAspect="Content" ObjectID="_1830169905" r:id="rId54"/>
        </w:object>
      </w:r>
      <w:r w:rsidRPr="00BC078D">
        <w:t xml:space="preserve"> or </w:t>
      </w:r>
      <w:r w:rsidRPr="00BC078D">
        <w:rPr>
          <w:position w:val="-10"/>
        </w:rPr>
        <w:object w:dxaOrig="920" w:dyaOrig="340" w14:anchorId="44B9777D">
          <v:shape id="_x0000_i1052" type="#_x0000_t75" style="width:42pt;height:20.5pt" o:ole="">
            <v:imagedata r:id="rId55" o:title=""/>
          </v:shape>
          <o:OLEObject Type="Embed" ProgID="Equation.3" ShapeID="_x0000_i1052" DrawAspect="Content" ObjectID="_1830169906"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30169907"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30169908"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30169909" r:id="rId62"/>
        </w:object>
      </w:r>
      <w:r w:rsidRPr="00BC078D">
        <w:t xml:space="preserve"> and </w:t>
      </w:r>
      <w:r w:rsidRPr="00BC078D">
        <w:rPr>
          <w:position w:val="-12"/>
        </w:rPr>
        <w:object w:dxaOrig="279" w:dyaOrig="360" w14:anchorId="7E7D06D9">
          <v:shape id="_x0000_i1056" type="#_x0000_t75" style="width:15pt;height:20.5pt" o:ole="">
            <v:imagedata r:id="rId63" o:title=""/>
          </v:shape>
          <o:OLEObject Type="Embed" ProgID="Equation.3" ShapeID="_x0000_i1056" DrawAspect="Content" ObjectID="_1830169910"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5pt" o:ole="">
            <v:imagedata r:id="rId65" o:title=""/>
          </v:shape>
          <o:OLEObject Type="Embed" ProgID="Equation.3" ShapeID="_x0000_i1057" DrawAspect="Content" ObjectID="_1830169911"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pt;height:57pt" o:ole="">
            <v:imagedata r:id="rId67" o:title=""/>
          </v:shape>
          <o:OLEObject Type="Embed" ProgID="Equation.3" ShapeID="_x0000_i1058" DrawAspect="Content" ObjectID="_1830169912"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830169913"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5pt" o:ole="" fillcolor="window">
            <v:imagedata r:id="rId71" o:title=""/>
          </v:shape>
          <o:OLEObject Type="Embed" ProgID="Equation.3" ShapeID="_x0000_i1060" DrawAspect="Content" ObjectID="_1830169914"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30169915" r:id="rId74"/>
        </w:object>
      </w:r>
      <w:r w:rsidRPr="00BC078D">
        <w:t xml:space="preserve"> and </w:t>
      </w:r>
      <w:r w:rsidRPr="00BC078D">
        <w:rPr>
          <w:position w:val="-6"/>
        </w:rPr>
        <w:object w:dxaOrig="360" w:dyaOrig="279" w14:anchorId="240B8DA9">
          <v:shape id="_x0000_i1062" type="#_x0000_t75" style="width:20.5pt;height:15pt" o:ole="" fillcolor="window">
            <v:imagedata r:id="rId75" o:title=""/>
          </v:shape>
          <o:OLEObject Type="Embed" ProgID="Equation.3" ShapeID="_x0000_i1062" DrawAspect="Content" ObjectID="_1830169916"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2.5pt" o:ole="">
            <v:imagedata r:id="rId77" o:title=""/>
          </v:shape>
          <o:OLEObject Type="Embed" ProgID="Equation.3" ShapeID="_x0000_i1063" DrawAspect="Content" ObjectID="_1830169917"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30169918"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5pt" o:ole="">
            <v:imagedata r:id="rId81" o:title=""/>
          </v:shape>
          <o:OLEObject Type="Embed" ProgID="Equation.3" ShapeID="_x0000_i1065" DrawAspect="Content" ObjectID="_1830169919"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30169920"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30169921"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830169922"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pt;height:20.5pt" o:ole="" fillcolor="window">
            <v:imagedata r:id="rId88" o:title=""/>
          </v:shape>
          <o:OLEObject Type="Embed" ProgID="Equation.3" ShapeID="_x0000_i1069" DrawAspect="Content" ObjectID="_1830169923"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pt;height:20.5pt" o:ole="" fillcolor="window">
            <v:imagedata r:id="rId90" o:title=""/>
          </v:shape>
          <o:OLEObject Type="Embed" ProgID="Equation.3" ShapeID="_x0000_i1070" DrawAspect="Content" ObjectID="_1830169924"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pt" o:ole="" fillcolor="window">
            <v:imagedata r:id="rId75" o:title=""/>
          </v:shape>
          <o:OLEObject Type="Embed" ProgID="Equation.3" ShapeID="_x0000_i1071" DrawAspect="Content" ObjectID="_1830169925"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30169926"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30169927"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30169928"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830169929"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30169930"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30169931"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30169932"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830169933"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30169934"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pt;height:10pt" o:ole="" fillcolor="window">
            <v:imagedata r:id="rId90" o:title=""/>
          </v:shape>
          <o:OLEObject Type="Embed" ProgID="Equation.3" ShapeID="_x0000_i1081" DrawAspect="Content" ObjectID="_1830169935" r:id="rId105"/>
        </w:object>
      </w:r>
      <w:r w:rsidRPr="00BC078D">
        <w:t xml:space="preserve">and </w:t>
      </w:r>
      <w:r w:rsidRPr="00BC078D">
        <w:rPr>
          <w:position w:val="-10"/>
        </w:rPr>
        <w:object w:dxaOrig="720" w:dyaOrig="320" w14:anchorId="1358906F">
          <v:shape id="_x0000_i1082" type="#_x0000_t75" style="width:36.5pt;height:10pt" o:ole="" fillcolor="window">
            <v:imagedata r:id="rId88" o:title=""/>
          </v:shape>
          <o:OLEObject Type="Embed" ProgID="Equation.3" ShapeID="_x0000_i1082" DrawAspect="Content" ObjectID="_1830169936"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830169937"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30169938"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30169939"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30169940"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30169941"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830169942" r:id="rId116"/>
        </w:object>
      </w:r>
      <w:r w:rsidRPr="00BC078D">
        <w:t xml:space="preserve">, </w:t>
      </w:r>
      <w:r w:rsidRPr="00BC078D">
        <w:rPr>
          <w:position w:val="-10"/>
        </w:rPr>
        <w:object w:dxaOrig="720" w:dyaOrig="320" w14:anchorId="30BA57D8">
          <v:shape id="_x0000_i1089" type="#_x0000_t75" style="width:36.5pt;height:10pt" o:ole="" fillcolor="window">
            <v:imagedata r:id="rId90" o:title=""/>
          </v:shape>
          <o:OLEObject Type="Embed" ProgID="Equation.3" ShapeID="_x0000_i1089" DrawAspect="Content" ObjectID="_1830169943" r:id="rId117"/>
        </w:object>
      </w:r>
      <w:r w:rsidRPr="00BC078D">
        <w:t xml:space="preserve">, </w:t>
      </w:r>
      <w:r w:rsidRPr="00BC078D">
        <w:rPr>
          <w:position w:val="-10"/>
        </w:rPr>
        <w:object w:dxaOrig="720" w:dyaOrig="320" w14:anchorId="33155116">
          <v:shape id="_x0000_i1090" type="#_x0000_t75" style="width:36.5pt;height:10pt" o:ole="" fillcolor="window">
            <v:imagedata r:id="rId88" o:title=""/>
          </v:shape>
          <o:OLEObject Type="Embed" ProgID="Equation.3" ShapeID="_x0000_i1090" DrawAspect="Content" ObjectID="_1830169944"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30169945"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30169946"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30169947"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30169948" r:id="rId122"/>
        </w:object>
      </w:r>
      <w:r w:rsidRPr="00BC078D">
        <w:t xml:space="preserve">can be </w:t>
      </w:r>
      <w:r w:rsidRPr="00BC078D">
        <w:rPr>
          <w:position w:val="-28"/>
        </w:rPr>
        <w:object w:dxaOrig="1440" w:dyaOrig="680" w14:anchorId="5CFF49F2">
          <v:shape id="_x0000_i1095" type="#_x0000_t75" style="width:1in;height:36.5pt" o:ole="" fillcolor="window">
            <v:imagedata r:id="rId123" o:title=""/>
          </v:shape>
          <o:OLEObject Type="Embed" ProgID="Equation.3" ShapeID="_x0000_i1095" DrawAspect="Content" ObjectID="_1830169949" r:id="rId124"/>
        </w:object>
      </w:r>
      <w:r w:rsidRPr="00BC078D">
        <w:t xml:space="preserve"> or </w:t>
      </w:r>
      <w:r w:rsidRPr="00BC078D">
        <w:rPr>
          <w:position w:val="-28"/>
        </w:rPr>
        <w:object w:dxaOrig="1060" w:dyaOrig="680" w14:anchorId="2F4D53F9">
          <v:shape id="_x0000_i1096" type="#_x0000_t75" style="width:46.5pt;height:36.5pt" o:ole="" fillcolor="window">
            <v:imagedata r:id="rId125" o:title=""/>
          </v:shape>
          <o:OLEObject Type="Embed" ProgID="Equation.3" ShapeID="_x0000_i1096" DrawAspect="Content" ObjectID="_1830169950"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30169951"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30169952" r:id="rId130"/>
        </w:object>
      </w:r>
      <w:r w:rsidRPr="00BC078D">
        <w:t xml:space="preserve"> is odd and </w:t>
      </w:r>
      <w:r w:rsidRPr="00BC078D">
        <w:rPr>
          <w:position w:val="-6"/>
        </w:rPr>
        <w:object w:dxaOrig="560" w:dyaOrig="279" w14:anchorId="20259744">
          <v:shape id="_x0000_i1099" type="#_x0000_t75" style="width:29.5pt;height:10pt" o:ole="" fillcolor="window">
            <v:imagedata r:id="rId131" o:title=""/>
          </v:shape>
          <o:OLEObject Type="Embed" ProgID="Equation.3" ShapeID="_x0000_i1099" DrawAspect="Content" ObjectID="_1830169953"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30169954"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30169955" r:id="rId135"/>
        </w:object>
      </w:r>
      <w:r w:rsidRPr="00BC078D">
        <w:t xml:space="preserve"> set to </w:t>
      </w:r>
      <w:r w:rsidRPr="00BC078D">
        <w:rPr>
          <w:position w:val="-28"/>
        </w:rPr>
        <w:object w:dxaOrig="1440" w:dyaOrig="680" w14:anchorId="19240C56">
          <v:shape id="_x0000_i1102" type="#_x0000_t75" style="width:1in;height:36.5pt" o:ole="" fillcolor="window">
            <v:imagedata r:id="rId123" o:title=""/>
          </v:shape>
          <o:OLEObject Type="Embed" ProgID="Equation.3" ShapeID="_x0000_i1102" DrawAspect="Content" ObjectID="_1830169956"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30169957" r:id="rId137"/>
        </w:object>
      </w:r>
      <w:r w:rsidRPr="00BC078D">
        <w:t xml:space="preserve"> set to </w:t>
      </w:r>
      <w:r w:rsidRPr="00BC078D">
        <w:rPr>
          <w:position w:val="-28"/>
        </w:rPr>
        <w:object w:dxaOrig="1060" w:dyaOrig="680" w14:anchorId="67280FF3">
          <v:shape id="_x0000_i1104" type="#_x0000_t75" style="width:46.5pt;height:36.5pt" o:ole="" fillcolor="window">
            <v:imagedata r:id="rId125" o:title=""/>
          </v:shape>
          <o:OLEObject Type="Embed" ProgID="Equation.3" ShapeID="_x0000_i1104" DrawAspect="Content" ObjectID="_1830169958"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30169959"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30169960"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30169961"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30169962"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30169963"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30169964"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30169965"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5pt;height:10pt" o:ole="">
            <v:imagedata r:id="rId153" o:title=""/>
          </v:shape>
          <o:OLEObject Type="Embed" ProgID="Equation.3" ShapeID="_x0000_i1112" DrawAspect="Content" ObjectID="_1830169966"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5pt;height:10pt" o:ole="" fillcolor="window">
            <v:imagedata r:id="rId155" o:title=""/>
          </v:shape>
          <o:OLEObject Type="Embed" ProgID="Equation.3" ShapeID="_x0000_i1113" DrawAspect="Content" ObjectID="_1830169967" r:id="rId156"/>
        </w:object>
      </w:r>
      <w:r w:rsidRPr="00BC078D">
        <w:t xml:space="preserve">in the expressions above and </w:t>
      </w:r>
      <w:r w:rsidRPr="00BC078D">
        <w:rPr>
          <w:rFonts w:eastAsia="×–¾’©‘Ì"/>
          <w:position w:val="-6"/>
        </w:rPr>
        <w:object w:dxaOrig="720" w:dyaOrig="340" w14:anchorId="6AA430C2">
          <v:shape id="_x0000_i1114" type="#_x0000_t75" style="width:36.5pt;height:10pt" o:ole="">
            <v:imagedata r:id="rId157" o:title=""/>
          </v:shape>
          <o:OLEObject Type="Embed" ProgID="Equation.3" ShapeID="_x0000_i1114" DrawAspect="Content" ObjectID="_1830169968" r:id="rId158"/>
        </w:object>
      </w:r>
      <w:r w:rsidRPr="00BC078D">
        <w:t xml:space="preserve">is calculated using </w:t>
      </w:r>
      <w:r w:rsidRPr="00BC078D">
        <w:rPr>
          <w:position w:val="-12"/>
        </w:rPr>
        <w:object w:dxaOrig="900" w:dyaOrig="360" w14:anchorId="14B73FA2">
          <v:shape id="_x0000_i1115" type="#_x0000_t75" style="width:42.5pt;height:10pt" o:ole="" fillcolor="window">
            <v:imagedata r:id="rId159" o:title=""/>
          </v:shape>
          <o:OLEObject Type="Embed" ProgID="Equation.3" ShapeID="_x0000_i1115" DrawAspect="Content" ObjectID="_1830169969"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30169970"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30169971"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30169972"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30169973"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30169974"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5pt;height:10pt" o:ole="" fillcolor="window">
            <v:imagedata r:id="rId155" o:title=""/>
          </v:shape>
          <o:OLEObject Type="Embed" ProgID="Equation.3" ShapeID="_x0000_i1121" DrawAspect="Content" ObjectID="_1830169975" r:id="rId170"/>
        </w:object>
      </w:r>
      <w:r w:rsidRPr="00BC078D">
        <w:t xml:space="preserve"> if </w:t>
      </w:r>
      <w:r w:rsidRPr="00BC078D">
        <w:rPr>
          <w:rFonts w:eastAsia="×–¾’©‘Ì"/>
          <w:position w:val="-6"/>
        </w:rPr>
        <w:object w:dxaOrig="1560" w:dyaOrig="340" w14:anchorId="1F4F162C">
          <v:shape id="_x0000_i1122" type="#_x0000_t75" style="width:76.5pt;height:10pt" o:ole="">
            <v:imagedata r:id="rId171" o:title=""/>
          </v:shape>
          <o:OLEObject Type="Embed" ProgID="Equation.3" ShapeID="_x0000_i1122" DrawAspect="Content" ObjectID="_1830169976"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5pt;height:10pt" o:ole="" fillcolor="window">
            <v:imagedata r:id="rId159" o:title=""/>
          </v:shape>
          <o:OLEObject Type="Embed" ProgID="Equation.3" ShapeID="_x0000_i1123" DrawAspect="Content" ObjectID="_1830169977" r:id="rId173"/>
        </w:object>
      </w:r>
      <w:r w:rsidRPr="00BC078D">
        <w:t xml:space="preserve"> otherwise, where </w:t>
      </w:r>
      <w:r w:rsidRPr="00BC078D">
        <w:rPr>
          <w:rFonts w:eastAsia="×–¾’©‘Ì"/>
          <w:position w:val="-6"/>
        </w:rPr>
        <w:object w:dxaOrig="660" w:dyaOrig="340" w14:anchorId="7EA44FFD">
          <v:shape id="_x0000_i1124" type="#_x0000_t75" style="width:36.5pt;height:10pt" o:ole="">
            <v:imagedata r:id="rId153" o:title=""/>
          </v:shape>
          <o:OLEObject Type="Embed" ProgID="Equation.3" ShapeID="_x0000_i1124" DrawAspect="Content" ObjectID="_1830169978"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pt;height:10pt" o:ole="">
            <v:imagedata r:id="rId157" o:title=""/>
          </v:shape>
          <o:OLEObject Type="Embed" ProgID="Equation.3" ShapeID="_x0000_i1125" DrawAspect="Content" ObjectID="_1830169979"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30169980"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30169981"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50pt;height:35.5pt" o:ole="">
            <v:imagedata r:id="rId178" o:title=""/>
          </v:shape>
          <o:OLEObject Type="Embed" ProgID="Equation.3" ShapeID="_x0000_i1128" DrawAspect="Content" ObjectID="_1830169982"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30169983"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30169984"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10pt" o:ole="" fillcolor="window">
            <v:imagedata r:id="rId155" o:title=""/>
          </v:shape>
          <o:OLEObject Type="Embed" ProgID="Equation.3" ShapeID="_x0000_i1131" DrawAspect="Content" ObjectID="_1830169985"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30169986" r:id="rId186"/>
        </w:object>
      </w:r>
      <w:r w:rsidRPr="00BC078D">
        <w:t xml:space="preserve">is calculated using </w:t>
      </w:r>
      <w:r w:rsidRPr="00BC078D">
        <w:rPr>
          <w:position w:val="-12"/>
        </w:rPr>
        <w:object w:dxaOrig="900" w:dyaOrig="360" w14:anchorId="1CE5B4DF">
          <v:shape id="_x0000_i1133" type="#_x0000_t75" style="width:40.5pt;height:10pt" o:ole="" fillcolor="window">
            <v:imagedata r:id="rId159" o:title=""/>
          </v:shape>
          <o:OLEObject Type="Embed" ProgID="Equation.3" ShapeID="_x0000_i1133" DrawAspect="Content" ObjectID="_1830169987"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30169988"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5pt;height:103.5pt" o:ole="">
            <v:imagedata r:id="rId190" o:title=""/>
          </v:shape>
          <o:OLEObject Type="Embed" ProgID="Visio.Drawing.15" ShapeID="_x0000_i1135" DrawAspect="Content" ObjectID="_1830169989"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pt;height:15.5pt" o:ole="" fillcolor="window">
            <v:imagedata r:id="rId88" o:title=""/>
          </v:shape>
          <o:OLEObject Type="Embed" ProgID="Equation.3" ShapeID="_x0000_i1136" DrawAspect="Content" ObjectID="_1830169990"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30169991"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66D8060D"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r>
              <w:rPr>
                <w:rFonts w:cs="Arial"/>
              </w:rPr>
              <w:t xml:space="preserve">9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2636B1"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this release</w:t>
            </w:r>
            <w:r w:rsidRPr="00BC078D">
              <w:rPr>
                <w:rFonts w:cs="Arial"/>
              </w:rPr>
              <w:t xml:space="preserve"> of</w:t>
            </w:r>
            <w:r>
              <w:rPr>
                <w:rFonts w:cs="Arial"/>
              </w:rPr>
              <w:t xml:space="preserve"> </w:t>
            </w:r>
            <w:r w:rsidRPr="00BC078D">
              <w:rPr>
                <w:rFonts w:cs="Arial"/>
              </w:rPr>
              <w:t>the</w:t>
            </w:r>
            <w:r>
              <w:rPr>
                <w:rFonts w:cs="Arial"/>
              </w:rPr>
              <w:t xml:space="preserve"> </w:t>
            </w:r>
            <w:r w:rsidRPr="00BC078D">
              <w:rPr>
                <w:rFonts w:cs="Arial"/>
              </w:rPr>
              <w:t>specification.</w:t>
            </w:r>
          </w:p>
          <w:p w14:paraId="03619BF5" w14:textId="5E56DF0C" w:rsidR="003E3969" w:rsidRPr="00BC078D" w:rsidRDefault="003E3969" w:rsidP="003E3969">
            <w:pPr>
              <w:pStyle w:val="TAL"/>
              <w:rPr>
                <w:rFonts w:cs="Arial"/>
              </w:rPr>
            </w:pPr>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lastRenderedPageBreak/>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08BCA5A5"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lastRenderedPageBreak/>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chipset unit antenna 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 Note that 3GPP specifications mandate cab-radio UE manufacturer declaration of the post chipset unit antenna connector gains G</w:t>
      </w:r>
      <w:r w:rsidRPr="00F553BF">
        <w:rPr>
          <w:vertAlign w:val="subscript"/>
        </w:rPr>
        <w:t>n100post connector</w:t>
      </w:r>
      <w:r w:rsidRPr="00F553BF">
        <w:t xml:space="preserve"> and G</w:t>
      </w:r>
      <w:r w:rsidRPr="00F553BF">
        <w:rPr>
          <w:vertAlign w:val="subscript"/>
        </w:rPr>
        <w:t>n101post connector</w:t>
      </w:r>
      <w:r w:rsidRPr="00F553BF">
        <w:t>.</w:t>
      </w:r>
    </w:p>
    <w:p w14:paraId="7B0BF501" w14:textId="3A802407" w:rsidR="009D66A8" w:rsidRPr="00BC078D" w:rsidRDefault="006A245E" w:rsidP="006A245E">
      <w:pPr>
        <w:rPr>
          <w:lang w:eastAsia="ko-KR"/>
        </w:rPr>
      </w:pPr>
      <w:r w:rsidRPr="00F553BF">
        <w:t>If no external antenna is used, the value of 0dBi will be applied. If an external antenna is used, the cab-radio</w:t>
      </w:r>
      <w:r w:rsidRPr="00F553BF">
        <w:rPr>
          <w:lang w:eastAsia="en-GB"/>
        </w:rPr>
        <w:t xml:space="preserve"> UE </w:t>
      </w:r>
      <w:r w:rsidRPr="00F553BF">
        <w:t>P</w:t>
      </w:r>
      <w:r w:rsidRPr="00F553BF">
        <w:rPr>
          <w:vertAlign w:val="subscript"/>
        </w:rPr>
        <w:t>EIRP</w:t>
      </w:r>
      <w:r w:rsidRPr="00F553BF">
        <w:t xml:space="preserve"> </w:t>
      </w:r>
      <w:r w:rsidRPr="00F553BF">
        <w:rPr>
          <w:lang w:eastAsia="en-GB"/>
        </w:rPr>
        <w:t xml:space="preserve">shall be computed as the summation in dB of the </w:t>
      </w:r>
      <w:r w:rsidRPr="00F553BF">
        <w:t>cab-radio</w:t>
      </w:r>
      <w:r w:rsidRPr="00F553BF">
        <w:rPr>
          <w:lang w:eastAsia="en-GB"/>
        </w:rPr>
        <w:t xml:space="preserve"> UE maximum conducted output power specified in Table 6.2.1-1 and the declared </w:t>
      </w:r>
      <w:r w:rsidRPr="00F553BF">
        <w:t>G</w:t>
      </w:r>
      <w:r w:rsidRPr="00F553BF">
        <w:rPr>
          <w:vertAlign w:val="subscript"/>
        </w:rPr>
        <w:t>n100post connector</w:t>
      </w:r>
      <w:r w:rsidRPr="00F553BF">
        <w:t xml:space="preserve"> or G</w:t>
      </w:r>
      <w:r w:rsidRPr="00F553BF">
        <w:rPr>
          <w:vertAlign w:val="subscript"/>
        </w:rPr>
        <w:t xml:space="preserve">n101post connector </w:t>
      </w:r>
      <w:r w:rsidRPr="00F553BF">
        <w:rPr>
          <w:lang w:eastAsia="en-GB"/>
        </w:rPr>
        <w:t>in dB</w:t>
      </w:r>
      <w:r w:rsidRPr="00F553BF">
        <w:t>. If the resulting cab-radio</w:t>
      </w:r>
      <w:r w:rsidRPr="00F553BF">
        <w:rPr>
          <w:lang w:eastAsia="en-GB"/>
        </w:rPr>
        <w:t xml:space="preserve"> UE </w:t>
      </w:r>
      <w:r w:rsidRPr="00F553BF">
        <w:t>P</w:t>
      </w:r>
      <w:r w:rsidRPr="00F553BF">
        <w:rPr>
          <w:vertAlign w:val="subscript"/>
        </w:rPr>
        <w:t xml:space="preserve">EIRP </w:t>
      </w:r>
      <w:r w:rsidRPr="00F553BF">
        <w:t>is larger  than 33 dBm,</w:t>
      </w:r>
      <w:r w:rsidRPr="00F553BF">
        <w:rPr>
          <w:rFonts w:cstheme="minorBidi"/>
          <w:kern w:val="24"/>
          <w:sz w:val="36"/>
          <w:szCs w:val="36"/>
        </w:rPr>
        <w:t xml:space="preserve"> </w:t>
      </w:r>
      <w:r w:rsidRPr="00F553BF">
        <w:t>the transmitter conducted requirements shall be scaled by subtracting the difference in dB between the UE P</w:t>
      </w:r>
      <w:r w:rsidRPr="00F553BF">
        <w:rPr>
          <w:vertAlign w:val="subscript"/>
        </w:rPr>
        <w:t>EIRP</w:t>
      </w:r>
      <w:r w:rsidRPr="00F553BF">
        <w:t xml:space="preserve"> and 33 dBm from the transmitter conducted requirements. If the resulting cab-radio</w:t>
      </w:r>
      <w:r w:rsidRPr="00F553BF">
        <w:rPr>
          <w:lang w:eastAsia="en-GB"/>
        </w:rPr>
        <w:t xml:space="preserve"> UE </w:t>
      </w:r>
      <w:r w:rsidRPr="00F553BF">
        <w:t>P</w:t>
      </w:r>
      <w:r w:rsidRPr="00F553BF">
        <w:rPr>
          <w:vertAlign w:val="subscript"/>
        </w:rPr>
        <w:t xml:space="preserve">EIRP </w:t>
      </w:r>
      <w:r w:rsidRPr="00F553BF">
        <w:t>is less than or equal to 33 dBm, no additional scaling of conducted requirements is needed</w:t>
      </w:r>
      <w:r>
        <w:rPr>
          <w:rFonts w:hint="eastAsia"/>
          <w:lang w:eastAsia="ko-KR"/>
        </w:rPr>
        <w:t>.</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lastRenderedPageBreak/>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lastRenderedPageBreak/>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lastRenderedPageBreak/>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lastRenderedPageBreak/>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lastRenderedPageBreak/>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lastRenderedPageBreak/>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lastRenderedPageBreak/>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lastRenderedPageBreak/>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lastRenderedPageBreak/>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lastRenderedPageBreak/>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lastRenderedPageBreak/>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lastRenderedPageBreak/>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lastRenderedPageBreak/>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lastRenderedPageBreak/>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lastRenderedPageBreak/>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lastRenderedPageBreak/>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lastRenderedPageBreak/>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lastRenderedPageBreak/>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lastRenderedPageBreak/>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lastRenderedPageBreak/>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lastRenderedPageBreak/>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lastRenderedPageBreak/>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lastRenderedPageBreak/>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lastRenderedPageBreak/>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lastRenderedPageBreak/>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lastRenderedPageBreak/>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lastRenderedPageBreak/>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7A3FA6">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A713B2">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pPr>
            <w:r w:rsidRPr="00FF1784">
              <w:t>RP-253667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sz w:val="16"/>
                <w:szCs w:val="16"/>
              </w:rPr>
            </w:pPr>
            <w:r w:rsidRPr="00FF1784">
              <w:rPr>
                <w:sz w:val="16"/>
                <w:szCs w:val="16"/>
              </w:rPr>
              <w:t>3088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sz w:val="16"/>
                <w:szCs w:val="16"/>
              </w:rPr>
            </w:pPr>
            <w:r w:rsidRPr="00FF1784">
              <w:rPr>
                <w:sz w:val="16"/>
                <w:szCs w:val="16"/>
              </w:rPr>
              <w:t>(HPUE_FR1_TDD_NR_CADC_SUL_R18-Core) CR for 38.101-1: Rel-18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sz w:val="16"/>
                <w:szCs w:val="16"/>
              </w:rPr>
            </w:pPr>
            <w:r w:rsidRPr="00FF1784">
              <w:rPr>
                <w:sz w:val="16"/>
                <w:szCs w:val="16"/>
              </w:rPr>
              <w:t>18.12.0</w:t>
            </w:r>
          </w:p>
        </w:tc>
      </w:tr>
      <w:tr w:rsidR="00FF1784" w:rsidRPr="00FF1784" w14:paraId="79DB9C2B"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pPr>
            <w:r w:rsidRPr="00FF1784">
              <w:t>RP-253670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sz w:val="16"/>
                <w:szCs w:val="16"/>
              </w:rPr>
            </w:pPr>
            <w:r w:rsidRPr="00FF1784">
              <w:rPr>
                <w:sz w:val="16"/>
                <w:szCs w:val="16"/>
              </w:rPr>
              <w:t>3062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sz w:val="16"/>
                <w:szCs w:val="16"/>
              </w:rPr>
            </w:pPr>
            <w:r w:rsidRPr="00FF1784">
              <w:rPr>
                <w:sz w:val="16"/>
                <w:szCs w:val="16"/>
              </w:rPr>
              <w:t>(4Rx_low_NR_band_handheld_3Tx_NR_CA_ENDC-Core) Correction CR for TS 38.101-1 general description of MSD requirements for 3Tx CA_R18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sz w:val="16"/>
                <w:szCs w:val="16"/>
              </w:rPr>
            </w:pPr>
            <w:r w:rsidRPr="00FF1784">
              <w:rPr>
                <w:sz w:val="16"/>
                <w:szCs w:val="16"/>
              </w:rPr>
              <w:t>18.12.0</w:t>
            </w:r>
          </w:p>
        </w:tc>
      </w:tr>
      <w:tr w:rsidR="00FF1784" w:rsidRPr="00FF1784" w14:paraId="75E13EA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sz w:val="16"/>
                <w:szCs w:val="16"/>
              </w:rPr>
            </w:pPr>
            <w:r w:rsidRPr="00FF1784">
              <w:rPr>
                <w:sz w:val="16"/>
                <w:szCs w:val="16"/>
              </w:rPr>
              <w:t>3051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sz w:val="16"/>
                <w:szCs w:val="16"/>
              </w:rPr>
            </w:pPr>
            <w:r w:rsidRPr="00FF1784">
              <w:rPr>
                <w:sz w:val="16"/>
                <w:szCs w:val="16"/>
              </w:rPr>
              <w:t>(NR_CADC_R17_2BDL_xBUL-Core) CR for TS 38.101-1 to modify the RB allocations for MSD tests of 30kHz SCS bands.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sz w:val="16"/>
                <w:szCs w:val="16"/>
              </w:rPr>
            </w:pPr>
            <w:r w:rsidRPr="00FF1784">
              <w:rPr>
                <w:sz w:val="16"/>
                <w:szCs w:val="16"/>
              </w:rPr>
              <w:t>18.12.0</w:t>
            </w:r>
          </w:p>
        </w:tc>
      </w:tr>
      <w:tr w:rsidR="00FF1784" w:rsidRPr="00FF1784" w14:paraId="179E5BF9"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sz w:val="16"/>
                <w:szCs w:val="16"/>
              </w:rPr>
            </w:pPr>
            <w:r w:rsidRPr="00FF1784">
              <w:rPr>
                <w:sz w:val="16"/>
                <w:szCs w:val="16"/>
              </w:rPr>
              <w:t>3068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sz w:val="16"/>
                <w:szCs w:val="16"/>
              </w:rPr>
            </w:pPr>
            <w:r w:rsidRPr="00FF1784">
              <w:rPr>
                <w:sz w:val="16"/>
                <w:szCs w:val="16"/>
              </w:rPr>
              <w:t>(NR_CADC_R17_2BDL_xBUL) CR to correct the n70 UL and DL CHBWs used for CA_n48-n70 requirement in clause 7.3A.5 -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sz w:val="16"/>
                <w:szCs w:val="16"/>
              </w:rPr>
            </w:pPr>
            <w:r w:rsidRPr="00FF1784">
              <w:rPr>
                <w:sz w:val="16"/>
                <w:szCs w:val="16"/>
              </w:rPr>
              <w:t>18.12.0</w:t>
            </w:r>
          </w:p>
        </w:tc>
      </w:tr>
      <w:tr w:rsidR="00FF1784" w:rsidRPr="00FF1784" w14:paraId="3BE6638E"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sz w:val="16"/>
                <w:szCs w:val="16"/>
              </w:rPr>
            </w:pPr>
            <w:r w:rsidRPr="00FF1784">
              <w:rPr>
                <w:sz w:val="16"/>
                <w:szCs w:val="16"/>
              </w:rPr>
              <w:t>3086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sz w:val="16"/>
                <w:szCs w:val="16"/>
              </w:rPr>
            </w:pPr>
            <w:r w:rsidRPr="00FF1784">
              <w:rPr>
                <w:sz w:val="16"/>
                <w:szCs w:val="16"/>
              </w:rPr>
              <w:t>(NR_CADC_R17_3BDL_2BUL-Core) CR for 38.101-1: Rel-17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sz w:val="16"/>
                <w:szCs w:val="16"/>
              </w:rPr>
            </w:pPr>
            <w:r w:rsidRPr="00FF1784">
              <w:rPr>
                <w:sz w:val="16"/>
                <w:szCs w:val="16"/>
              </w:rPr>
              <w:t>18.12.0</w:t>
            </w:r>
          </w:p>
        </w:tc>
      </w:tr>
      <w:tr w:rsidR="00FF1784" w:rsidRPr="00FF1784" w14:paraId="74F30E56"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sz w:val="16"/>
                <w:szCs w:val="16"/>
              </w:rPr>
            </w:pPr>
            <w:r w:rsidRPr="00FF1784">
              <w:rPr>
                <w:sz w:val="16"/>
                <w:szCs w:val="16"/>
              </w:rPr>
              <w:t>3134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sz w:val="16"/>
                <w:szCs w:val="16"/>
              </w:rPr>
            </w:pPr>
            <w:r w:rsidRPr="00FF1784">
              <w:rPr>
                <w:sz w:val="16"/>
                <w:szCs w:val="16"/>
              </w:rPr>
              <w:t>(NR_RAIL_EU_1900MHz_TDD-Core) CR to TS 38.101-1: Annex M corrections for FRMCS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sz w:val="16"/>
                <w:szCs w:val="16"/>
              </w:rPr>
            </w:pPr>
            <w:r w:rsidRPr="00FF1784">
              <w:rPr>
                <w:sz w:val="16"/>
                <w:szCs w:val="16"/>
              </w:rPr>
              <w:t>18.12.0</w:t>
            </w:r>
          </w:p>
        </w:tc>
      </w:tr>
      <w:tr w:rsidR="00FF1784" w:rsidRPr="00FF1784" w14:paraId="10FD9332"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sz w:val="16"/>
                <w:szCs w:val="16"/>
              </w:rPr>
            </w:pPr>
            <w:r w:rsidRPr="00FF1784">
              <w:rPr>
                <w:sz w:val="16"/>
                <w:szCs w:val="16"/>
              </w:rPr>
              <w:t>3144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sz w:val="16"/>
                <w:szCs w:val="16"/>
              </w:rPr>
            </w:pPr>
            <w:r w:rsidRPr="00FF1784">
              <w:rPr>
                <w:sz w:val="16"/>
                <w:szCs w:val="16"/>
              </w:rPr>
              <w:t>(NR_RAIL_HPUE_n100_n101-Core) CR to TS 38.101-1: n101 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sz w:val="16"/>
                <w:szCs w:val="16"/>
              </w:rPr>
            </w:pPr>
            <w:r w:rsidRPr="00FF1784">
              <w:rPr>
                <w:sz w:val="16"/>
                <w:szCs w:val="16"/>
              </w:rPr>
              <w:t>18.12.0</w:t>
            </w:r>
          </w:p>
        </w:tc>
      </w:tr>
      <w:tr w:rsidR="00FF1784" w:rsidRPr="00FF1784" w14:paraId="1A65ED5F"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pPr>
            <w:r w:rsidRPr="00FF1784">
              <w:t>RP-253681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sz w:val="16"/>
                <w:szCs w:val="16"/>
              </w:rPr>
            </w:pPr>
            <w:r w:rsidRPr="00FF1784">
              <w:rPr>
                <w:sz w:val="16"/>
                <w:szCs w:val="16"/>
              </w:rPr>
              <w:t>3146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sz w:val="16"/>
                <w:szCs w:val="16"/>
              </w:rPr>
            </w:pPr>
            <w:r w:rsidRPr="00FF1784">
              <w:rPr>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sz w:val="16"/>
                <w:szCs w:val="16"/>
              </w:rPr>
            </w:pPr>
            <w:r w:rsidRPr="00FF1784">
              <w:rPr>
                <w:sz w:val="16"/>
                <w:szCs w:val="16"/>
              </w:rPr>
              <w:t>CR to 38.101-1 for eRedCap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sz w:val="16"/>
                <w:szCs w:val="16"/>
              </w:rPr>
            </w:pPr>
            <w:r w:rsidRPr="00FF1784">
              <w:rPr>
                <w:sz w:val="16"/>
                <w:szCs w:val="16"/>
              </w:rPr>
              <w:t>18.12.0</w:t>
            </w:r>
          </w:p>
        </w:tc>
      </w:tr>
      <w:tr w:rsidR="00FF1784" w:rsidRPr="00FF1784" w14:paraId="316B7E93"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sz w:val="16"/>
                <w:szCs w:val="16"/>
              </w:rPr>
            </w:pPr>
            <w:r w:rsidRPr="00FF1784">
              <w:rPr>
                <w:sz w:val="16"/>
                <w:szCs w:val="16"/>
              </w:rPr>
              <w:t>3100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sz w:val="16"/>
                <w:szCs w:val="16"/>
              </w:rPr>
            </w:pPr>
            <w:r w:rsidRPr="00FF1784">
              <w:rPr>
                <w:sz w:val="16"/>
                <w:szCs w:val="16"/>
              </w:rPr>
              <w:t>(NR_RF_FR1-Core) Correction to Rel-16 inter-band CA time mask</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sz w:val="16"/>
                <w:szCs w:val="16"/>
              </w:rPr>
            </w:pPr>
            <w:r w:rsidRPr="00FF1784">
              <w:rPr>
                <w:sz w:val="16"/>
                <w:szCs w:val="16"/>
              </w:rPr>
              <w:t>18.12.0</w:t>
            </w:r>
          </w:p>
        </w:tc>
      </w:tr>
      <w:tr w:rsidR="00FF1784" w:rsidRPr="00FF1784" w14:paraId="012C5BEC"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sz w:val="16"/>
                <w:szCs w:val="16"/>
              </w:rPr>
            </w:pPr>
            <w:r w:rsidRPr="00FF1784">
              <w:rPr>
                <w:sz w:val="16"/>
                <w:szCs w:val="16"/>
              </w:rPr>
              <w:t>3104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sz w:val="16"/>
                <w:szCs w:val="16"/>
              </w:rPr>
            </w:pPr>
            <w:r w:rsidRPr="00FF1784">
              <w:rPr>
                <w:sz w:val="16"/>
                <w:szCs w:val="16"/>
              </w:rPr>
              <w:t>Clarification of the bandwidth of guard bands for intra-band contiguous CA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sz w:val="16"/>
                <w:szCs w:val="16"/>
              </w:rPr>
            </w:pPr>
            <w:r w:rsidRPr="00FF1784">
              <w:rPr>
                <w:sz w:val="16"/>
                <w:szCs w:val="16"/>
              </w:rPr>
              <w:t>18.12.0</w:t>
            </w:r>
          </w:p>
        </w:tc>
      </w:tr>
      <w:tr w:rsidR="00FF1784" w:rsidRPr="00FF1784" w14:paraId="00004C87" w14:textId="77777777" w:rsidTr="00FF1784">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sz w:val="16"/>
                <w:szCs w:val="16"/>
              </w:rPr>
            </w:pPr>
            <w:r w:rsidRPr="00FF1784">
              <w:rPr>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sz w:val="14"/>
                <w:szCs w:val="14"/>
              </w:rPr>
            </w:pPr>
            <w:r w:rsidRPr="00FF1784">
              <w:rPr>
                <w:sz w:val="14"/>
                <w:szCs w:val="14"/>
              </w:rPr>
              <w:t>RAN#110</w:t>
            </w:r>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619C95B0"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4F277D8B" w14:textId="77777777" w:rsidR="00FF1784" w:rsidRPr="00FF1784" w:rsidRDefault="00FF1784" w:rsidP="00FF1784">
            <w:pPr>
              <w:pStyle w:val="TAC"/>
              <w:rPr>
                <w:sz w:val="16"/>
                <w:szCs w:val="16"/>
              </w:rPr>
            </w:pPr>
            <w:r w:rsidRPr="00FF1784">
              <w:rPr>
                <w:sz w:val="16"/>
                <w:szCs w:val="16"/>
              </w:rPr>
              <w:t>3120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0819F5"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6D8AB64"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133D792" w14:textId="77777777" w:rsidR="00FF1784" w:rsidRPr="00FF1784" w:rsidRDefault="00FF1784" w:rsidP="00FF1784">
            <w:pPr>
              <w:pStyle w:val="TAL"/>
              <w:rPr>
                <w:sz w:val="16"/>
                <w:szCs w:val="16"/>
              </w:rPr>
            </w:pPr>
            <w:r w:rsidRPr="00FF1784">
              <w:rPr>
                <w:sz w:val="16"/>
                <w:szCs w:val="16"/>
              </w:rPr>
              <w:t>(NR_RF_FR1) R18 correction on modifiedMPR-Behaviour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sz w:val="16"/>
                <w:szCs w:val="16"/>
              </w:rPr>
            </w:pPr>
            <w:r w:rsidRPr="00FF1784">
              <w:rPr>
                <w:sz w:val="16"/>
                <w:szCs w:val="16"/>
              </w:rPr>
              <w:t>18.12.0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432B4" w14:textId="77777777" w:rsidR="004875D0" w:rsidRDefault="004875D0">
      <w:r>
        <w:separator/>
      </w:r>
    </w:p>
  </w:endnote>
  <w:endnote w:type="continuationSeparator" w:id="0">
    <w:p w14:paraId="5D3939E1" w14:textId="77777777" w:rsidR="004875D0" w:rsidRDefault="00487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C9E95" w14:textId="77777777" w:rsidR="004875D0" w:rsidRDefault="004875D0">
      <w:r>
        <w:separator/>
      </w:r>
    </w:p>
  </w:footnote>
  <w:footnote w:type="continuationSeparator" w:id="0">
    <w:p w14:paraId="3EBFC875" w14:textId="77777777" w:rsidR="004875D0" w:rsidRDefault="004875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AC9BBD0"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1E4F57">
      <w:rPr>
        <w:rFonts w:ascii="Arial" w:hAnsi="Arial"/>
        <w:b/>
        <w:noProof/>
        <w:sz w:val="18"/>
        <w:lang w:eastAsia="en-GB"/>
      </w:rPr>
      <w:t>1</w:t>
    </w:r>
    <w:r w:rsidR="003E3969">
      <w:rPr>
        <w:rFonts w:ascii="Arial" w:hAnsi="Arial" w:hint="eastAsia"/>
        <w:b/>
        <w:noProof/>
        <w:sz w:val="18"/>
        <w:lang w:eastAsia="ko-KR"/>
      </w:rPr>
      <w:t>2</w:t>
    </w:r>
    <w:r w:rsidRPr="004130AD">
      <w:rPr>
        <w:rFonts w:ascii="Arial" w:hAnsi="Arial"/>
        <w:b/>
        <w:noProof/>
        <w:sz w:val="18"/>
        <w:lang w:eastAsia="en-GB"/>
      </w:rPr>
      <w:t>.0 (202</w:t>
    </w:r>
    <w:r w:rsidR="00DF20BB">
      <w:rPr>
        <w:rFonts w:ascii="Arial" w:hAnsi="Arial"/>
        <w:b/>
        <w:noProof/>
        <w:sz w:val="18"/>
        <w:lang w:eastAsia="en-GB"/>
      </w:rPr>
      <w:t>5</w:t>
    </w:r>
    <w:r w:rsidRPr="004130AD">
      <w:rPr>
        <w:rFonts w:ascii="Arial" w:hAnsi="Arial"/>
        <w:b/>
        <w:noProof/>
        <w:sz w:val="18"/>
        <w:lang w:eastAsia="en-GB"/>
      </w:rPr>
      <w:t>-</w:t>
    </w:r>
    <w:r w:rsidR="003E3969">
      <w:rPr>
        <w:rFonts w:ascii="Arial" w:hAnsi="Arial" w:hint="eastAsia"/>
        <w:b/>
        <w:noProof/>
        <w:sz w:val="18"/>
        <w:lang w:eastAsia="ko-KR"/>
      </w:rPr>
      <w:t>12</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069E"/>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875D0"/>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912"/>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D7D3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461</TotalTime>
  <Pages>117</Pages>
  <Words>43348</Words>
  <Characters>247086</Characters>
  <Application>Microsoft Office Word</Application>
  <DocSecurity>0</DocSecurity>
  <Lines>2059</Lines>
  <Paragraphs>579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228</cp:revision>
  <cp:lastPrinted>2019-02-25T14:05:00Z</cp:lastPrinted>
  <dcterms:created xsi:type="dcterms:W3CDTF">2021-12-22T15:47:00Z</dcterms:created>
  <dcterms:modified xsi:type="dcterms:W3CDTF">2026-01-17T12:44:00Z</dcterms:modified>
</cp:coreProperties>
</file>