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6A6D">
      <w:pPr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 xml:space="preserve">                                                      </w:t>
      </w:r>
      <w:ins w:id="0" w:author="cmcc" w:date="2025-08-25T17:54:3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draft</w:t>
        </w:r>
      </w:ins>
      <w:ins w:id="1" w:author="cmcc" w:date="2025-08-25T17:54:3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  <w:lang w:val="en-US" w:eastAsia="zh-CN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2822</w:t>
      </w:r>
      <w:ins w:id="2" w:author="cmcc" w:date="2025-08-25T17:57:3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3" w:author="cmcc" w:date="2025-08-25T17:56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4" w:author="cmcc" w:date="2025-08-25T17:56:5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</w:p>
    <w:p w14:paraId="45A26A6F">
      <w:pPr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Goteborg, Sweden, 25 – 29 August 2025</w:t>
      </w:r>
    </w:p>
    <w:p w14:paraId="14366DA5"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cs="Arial"/>
          <w:b/>
          <w:bCs/>
          <w:sz w:val="22"/>
          <w:szCs w:val="22"/>
          <w:lang w:eastAsia="zh-CN"/>
        </w:rPr>
      </w:pPr>
    </w:p>
    <w:p w14:paraId="45A26A70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 xml:space="preserve">China Mobile, Johns Hopkins University, </w:t>
      </w:r>
      <w:bookmarkStart w:id="0" w:name="OLE_LINK2"/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Deu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>t</w:t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sch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>e</w:t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 xml:space="preserve"> Telekom</w:t>
      </w:r>
      <w:bookmarkEnd w:id="0"/>
    </w:p>
    <w:p w14:paraId="45A26A71">
      <w:pPr>
        <w:tabs>
          <w:tab w:val="left" w:pos="2127"/>
        </w:tabs>
        <w:ind w:left="2127" w:hanging="2127"/>
        <w:jc w:val="left"/>
        <w:outlineLvl w:val="0"/>
        <w:rPr>
          <w:rFonts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Study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on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 xml:space="preserve">feasibility of </w:t>
      </w:r>
      <w:r>
        <w:rPr>
          <w:rFonts w:hint="eastAsia" w:ascii="Arial" w:hAnsi="Arial" w:eastAsia="Batang" w:cs="Arial"/>
          <w:b/>
          <w:bCs w:val="0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decentralized trust enablement</w:t>
      </w:r>
      <w:r>
        <w:rPr>
          <w:rFonts w:ascii="Arial" w:hAnsi="Arial" w:eastAsia="Batang" w:cs="Arial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auto"/>
          <w:lang w:eastAsia="zh-CN"/>
        </w:rPr>
        <w:t> for 6G </w:t>
      </w:r>
    </w:p>
    <w:p w14:paraId="45A26A72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45A26A73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6.3</w:t>
      </w:r>
    </w:p>
    <w:p w14:paraId="45A26A74">
      <w:pPr>
        <w:rPr>
          <w:rFonts w:eastAsia="Batang"/>
          <w:lang w:val="en-US" w:eastAsia="zh-CN"/>
        </w:rPr>
      </w:pPr>
    </w:p>
    <w:p w14:paraId="45A26A75">
      <w:pPr>
        <w:pStyle w:val="8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45A26A7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45A26A77">
      <w:pPr>
        <w:pStyle w:val="8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New study on feasibility of decentralized trust enablement for 6G</w:t>
      </w:r>
    </w:p>
    <w:p w14:paraId="45A26A78">
      <w:pPr>
        <w:pStyle w:val="27"/>
        <w:rPr>
          <w:highlight w:val="yellow"/>
        </w:rPr>
      </w:pPr>
    </w:p>
    <w:p w14:paraId="45A26A79">
      <w:pPr>
        <w:pStyle w:val="8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FS_DecenTrust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45A26A7A">
      <w:pPr>
        <w:pStyle w:val="27"/>
      </w:pPr>
      <w:r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45A26A7B">
      <w:pPr>
        <w:pStyle w:val="8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45A26A7C">
      <w:pPr>
        <w:pStyle w:val="27"/>
      </w:pPr>
      <w:r>
        <w:t xml:space="preserve">{A number to be provided by MCC at the plenary} </w:t>
      </w:r>
    </w:p>
    <w:p w14:paraId="45A26A7D">
      <w:pPr>
        <w:pStyle w:val="8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45A26A7E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1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45A26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45A26A7F">
            <w:pPr>
              <w:pStyle w:val="30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45A26A80">
            <w:pPr>
              <w:pStyle w:val="30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45A26A81">
            <w:pPr>
              <w:pStyle w:val="30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45A26A82">
            <w:pPr>
              <w:pStyle w:val="30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45A26A83">
            <w:pPr>
              <w:pStyle w:val="30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45A26A84">
            <w:pPr>
              <w:pStyle w:val="30"/>
            </w:pPr>
            <w:r>
              <w:t>Others (specify)</w:t>
            </w:r>
          </w:p>
        </w:tc>
      </w:tr>
      <w:tr w14:paraId="45A26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45A26A86">
            <w:pPr>
              <w:pStyle w:val="30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5A26A87">
            <w:pPr>
              <w:pStyle w:val="31"/>
            </w:pPr>
          </w:p>
        </w:tc>
        <w:tc>
          <w:tcPr>
            <w:tcW w:w="1037" w:type="dxa"/>
            <w:tcBorders>
              <w:top w:val="nil"/>
            </w:tcBorders>
          </w:tcPr>
          <w:p w14:paraId="45A26A88">
            <w:pPr>
              <w:pStyle w:val="31"/>
            </w:pPr>
          </w:p>
        </w:tc>
        <w:tc>
          <w:tcPr>
            <w:tcW w:w="850" w:type="dxa"/>
            <w:tcBorders>
              <w:top w:val="nil"/>
            </w:tcBorders>
          </w:tcPr>
          <w:p w14:paraId="45A26A89">
            <w:pPr>
              <w:pStyle w:val="31"/>
            </w:pPr>
          </w:p>
        </w:tc>
        <w:tc>
          <w:tcPr>
            <w:tcW w:w="851" w:type="dxa"/>
            <w:tcBorders>
              <w:top w:val="nil"/>
            </w:tcBorders>
          </w:tcPr>
          <w:p w14:paraId="45A26A8A">
            <w:pPr>
              <w:pStyle w:val="31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5A26A8B">
            <w:pPr>
              <w:pStyle w:val="31"/>
            </w:pPr>
          </w:p>
        </w:tc>
      </w:tr>
      <w:tr w14:paraId="45A26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45A26A8D">
            <w:pPr>
              <w:pStyle w:val="30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5A26A8E">
            <w:pPr>
              <w:pStyle w:val="31"/>
              <w:rPr>
                <w:rFonts w:hint="default"/>
              </w:rPr>
            </w:pPr>
            <w:r>
              <w:t>X</w:t>
            </w:r>
          </w:p>
        </w:tc>
        <w:tc>
          <w:tcPr>
            <w:tcW w:w="1037" w:type="dxa"/>
          </w:tcPr>
          <w:p w14:paraId="45A26A8F">
            <w:pPr>
              <w:pStyle w:val="31"/>
              <w:rPr>
                <w:rFonts w:hint="default"/>
              </w:rPr>
            </w:pPr>
            <w:r>
              <w:t>X</w:t>
            </w:r>
          </w:p>
        </w:tc>
        <w:tc>
          <w:tcPr>
            <w:tcW w:w="850" w:type="dxa"/>
          </w:tcPr>
          <w:p w14:paraId="45A26A90">
            <w:pPr>
              <w:pStyle w:val="31"/>
              <w:rPr>
                <w:rFonts w:hint="default"/>
              </w:rPr>
            </w:pPr>
            <w:r>
              <w:t>X</w:t>
            </w:r>
          </w:p>
        </w:tc>
        <w:tc>
          <w:tcPr>
            <w:tcW w:w="851" w:type="dxa"/>
          </w:tcPr>
          <w:p w14:paraId="45A26A91">
            <w:pPr>
              <w:pStyle w:val="31"/>
            </w:pPr>
          </w:p>
        </w:tc>
        <w:tc>
          <w:tcPr>
            <w:tcW w:w="1752" w:type="dxa"/>
          </w:tcPr>
          <w:p w14:paraId="45A26A92">
            <w:pPr>
              <w:pStyle w:val="31"/>
            </w:pPr>
          </w:p>
        </w:tc>
      </w:tr>
      <w:tr w14:paraId="45A26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45A26A94">
            <w:pPr>
              <w:pStyle w:val="30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5A26A95">
            <w:pPr>
              <w:pStyle w:val="31"/>
            </w:pPr>
          </w:p>
        </w:tc>
        <w:tc>
          <w:tcPr>
            <w:tcW w:w="1037" w:type="dxa"/>
          </w:tcPr>
          <w:p w14:paraId="45A26A96">
            <w:pPr>
              <w:pStyle w:val="31"/>
            </w:pPr>
          </w:p>
        </w:tc>
        <w:tc>
          <w:tcPr>
            <w:tcW w:w="850" w:type="dxa"/>
          </w:tcPr>
          <w:p w14:paraId="45A26A97">
            <w:pPr>
              <w:pStyle w:val="31"/>
            </w:pPr>
          </w:p>
        </w:tc>
        <w:tc>
          <w:tcPr>
            <w:tcW w:w="851" w:type="dxa"/>
          </w:tcPr>
          <w:p w14:paraId="45A26A98">
            <w:pPr>
              <w:pStyle w:val="31"/>
            </w:pPr>
          </w:p>
        </w:tc>
        <w:tc>
          <w:tcPr>
            <w:tcW w:w="1752" w:type="dxa"/>
          </w:tcPr>
          <w:p w14:paraId="45A26A99">
            <w:pPr>
              <w:pStyle w:val="31"/>
            </w:pPr>
          </w:p>
        </w:tc>
      </w:tr>
    </w:tbl>
    <w:p w14:paraId="45A26A9B"/>
    <w:p w14:paraId="45A26A9C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45A26A9D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45A26A9E">
      <w:pPr>
        <w:pStyle w:val="4"/>
      </w:pPr>
      <w:r>
        <w:t>This work item is a …</w:t>
      </w:r>
    </w:p>
    <w:tbl>
      <w:tblPr>
        <w:tblStyle w:val="1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45A26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9F">
            <w:pPr>
              <w:pStyle w:val="31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5A26AA0">
            <w:pPr>
              <w:pStyle w:val="30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45A26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2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45A26AA3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45A2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5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45A26AA6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45A26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8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45A26AA9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45A26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B"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 w14:paraId="45A26AAC">
            <w:pPr>
              <w:pStyle w:val="30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5A26AAE">
      <w:pPr>
        <w:ind w:right="-99"/>
        <w:rPr>
          <w:b/>
        </w:rPr>
      </w:pPr>
      <w:r>
        <w:rPr>
          <w:b/>
        </w:rPr>
        <w:t>* Other = e.g. testing</w:t>
      </w:r>
    </w:p>
    <w:p w14:paraId="45A26AAF">
      <w:pPr>
        <w:ind w:right="-99"/>
        <w:rPr>
          <w:b/>
        </w:rPr>
      </w:pPr>
    </w:p>
    <w:p w14:paraId="45A26AB0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1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45A26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45A26AB1">
            <w:pPr>
              <w:pStyle w:val="30"/>
              <w:ind w:right="-99"/>
              <w:jc w:val="left"/>
            </w:pPr>
            <w:r>
              <w:t xml:space="preserve">Parent Work / Study Items </w:t>
            </w:r>
          </w:p>
        </w:tc>
      </w:tr>
      <w:tr w14:paraId="45A26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5A26AB3">
            <w:pPr>
              <w:pStyle w:val="30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A26AB4">
            <w:pPr>
              <w:pStyle w:val="30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5A26AB5">
            <w:pPr>
              <w:pStyle w:val="30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5A26AB6">
            <w:pPr>
              <w:pStyle w:val="30"/>
              <w:ind w:right="-99"/>
              <w:jc w:val="left"/>
            </w:pPr>
            <w:r>
              <w:t>Title (as in 3GPP Work Plan)</w:t>
            </w:r>
          </w:p>
        </w:tc>
      </w:tr>
      <w:tr w14:paraId="45A26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45A26AB8">
            <w:pPr>
              <w:pStyle w:val="29"/>
              <w:rPr>
                <w:rFonts w:eastAsia="宋体"/>
                <w:lang w:val="en-US" w:eastAsia="zh-CN"/>
              </w:rPr>
            </w:pPr>
            <w:bookmarkStart w:id="1" w:name="OLE_LINK1"/>
            <w:r>
              <w:rPr>
                <w:rFonts w:hint="eastAsia" w:eastAsia="宋体"/>
                <w:lang w:val="en-US" w:eastAsia="zh-CN"/>
              </w:rPr>
              <w:t>N/A</w:t>
            </w:r>
            <w:bookmarkEnd w:id="1"/>
          </w:p>
        </w:tc>
        <w:tc>
          <w:tcPr>
            <w:tcW w:w="1101" w:type="dxa"/>
          </w:tcPr>
          <w:p w14:paraId="45A26AB9">
            <w:pPr>
              <w:pStyle w:val="29"/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45A26ABA">
            <w:pPr>
              <w:pStyle w:val="29"/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6010" w:type="dxa"/>
          </w:tcPr>
          <w:p w14:paraId="45A26ABB">
            <w:pPr>
              <w:pStyle w:val="29"/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</w:tr>
    </w:tbl>
    <w:p w14:paraId="45A26ABD"/>
    <w:p w14:paraId="45A26ABE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sz w:val="28"/>
          <w:lang w:eastAsia="ja-JP"/>
        </w:rPr>
      </w:pPr>
      <w:r>
        <w:rPr>
          <w:sz w:val="28"/>
          <w:lang w:eastAsia="ja-JP"/>
        </w:rPr>
        <w:t>2.3</w:t>
      </w:r>
      <w:r>
        <w:rPr>
          <w:sz w:val="28"/>
          <w:lang w:eastAsia="ja-JP"/>
        </w:rPr>
        <w:tab/>
      </w:r>
      <w:r>
        <w:rPr>
          <w:sz w:val="28"/>
          <w:lang w:eastAsia="ja-JP"/>
        </w:rPr>
        <w:t>Other related Work Items and dependencies</w:t>
      </w:r>
    </w:p>
    <w:tbl>
      <w:tblPr>
        <w:tblStyle w:val="1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45A26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5A26ABF">
            <w:pPr>
              <w:pStyle w:val="30"/>
            </w:pPr>
            <w:r>
              <w:t>Other related Work /Study Items (if any)</w:t>
            </w:r>
          </w:p>
        </w:tc>
      </w:tr>
      <w:tr w14:paraId="45A26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5A26AC1">
            <w:pPr>
              <w:pStyle w:val="3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5A26AC2">
            <w:pPr>
              <w:pStyle w:val="3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5A26AC3">
            <w:pPr>
              <w:pStyle w:val="30"/>
            </w:pPr>
            <w:r>
              <w:t>Nature of relationship</w:t>
            </w:r>
          </w:p>
        </w:tc>
      </w:tr>
      <w:tr w14:paraId="45A26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45A26AC5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3326" w:type="dxa"/>
          </w:tcPr>
          <w:p w14:paraId="45A26AC6">
            <w:pPr>
              <w:pStyle w:val="29"/>
            </w:pPr>
          </w:p>
        </w:tc>
        <w:tc>
          <w:tcPr>
            <w:tcW w:w="5099" w:type="dxa"/>
          </w:tcPr>
          <w:p w14:paraId="45A26AC7">
            <w:pPr>
              <w:pStyle w:val="27"/>
            </w:pPr>
            <w:r>
              <w:t xml:space="preserve">{optional free text} </w:t>
            </w:r>
          </w:p>
        </w:tc>
      </w:tr>
    </w:tbl>
    <w:p w14:paraId="45A26AC9">
      <w:pPr>
        <w:pStyle w:val="32"/>
      </w:pPr>
    </w:p>
    <w:p w14:paraId="45A26ACA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45A26ACB">
      <w:pPr>
        <w:rPr>
          <w:rFonts w:ascii="Arial" w:hAnsi="Arial" w:eastAsia="宋体"/>
          <w:color w:val="000000"/>
          <w:sz w:val="18"/>
          <w:lang w:val="en-US" w:eastAsia="zh-CN"/>
        </w:rPr>
      </w:pPr>
      <w:r>
        <w:rPr>
          <w:rFonts w:hint="eastAsia" w:ascii="Arial" w:hAnsi="Arial" w:eastAsia="宋体"/>
          <w:color w:val="000000"/>
          <w:sz w:val="18"/>
          <w:lang w:val="en-US" w:eastAsia="zh-CN"/>
        </w:rPr>
        <w:t>N/A</w:t>
      </w:r>
    </w:p>
    <w:p w14:paraId="45A26ACC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45A26ACD">
      <w:pPr>
        <w:jc w:val="both"/>
      </w:pPr>
      <w:r>
        <w:rPr>
          <w:rFonts w:hint="eastAsia" w:eastAsia="宋体"/>
          <w:lang w:val="en-US" w:eastAsia="zh-CN"/>
        </w:rPr>
        <w:t>In TR 22.870</w:t>
      </w:r>
      <w:ins w:id="5" w:author="cmcc" w:date="2025-08-26T01:11:31Z">
        <w:r>
          <w:rPr>
            <w:rFonts w:hint="eastAsia" w:eastAsia="宋体"/>
            <w:lang w:val="en-US" w:eastAsia="zh-CN"/>
          </w:rPr>
          <w:t>[</w:t>
        </w:r>
      </w:ins>
      <w:ins w:id="6" w:author="cmcc" w:date="2025-08-26T01:11:33Z">
        <w:r>
          <w:rPr>
            <w:rFonts w:hint="eastAsia" w:eastAsia="宋体"/>
            <w:lang w:val="en-US" w:eastAsia="zh-CN"/>
          </w:rPr>
          <w:t>1</w:t>
        </w:r>
      </w:ins>
      <w:ins w:id="7" w:author="cmcc" w:date="2025-08-26T01:11:32Z">
        <w:r>
          <w:rPr>
            <w:rFonts w:hint="eastAsia" w:eastAsia="宋体"/>
            <w:lang w:val="en-US" w:eastAsia="zh-CN"/>
          </w:rPr>
          <w:t>]</w:t>
        </w:r>
      </w:ins>
      <w:r>
        <w:rPr>
          <w:rFonts w:hint="eastAsia" w:eastAsia="宋体"/>
          <w:lang w:val="en-US" w:eastAsia="zh-CN"/>
        </w:rPr>
        <w:t xml:space="preserve">, the security issues of </w:t>
      </w:r>
      <w:r>
        <w:t>operators strugg</w:t>
      </w:r>
      <w:r>
        <w:rPr>
          <w:rFonts w:hint="eastAsia" w:eastAsia="宋体"/>
          <w:lang w:val="en-US" w:eastAsia="zh-CN"/>
        </w:rPr>
        <w:t>ling</w:t>
      </w:r>
      <w:r>
        <w:t xml:space="preserve"> with the bilateral administration of security </w:t>
      </w:r>
      <w:ins w:id="8" w:author="cmcc" w:date="2025-08-26T01:11:09Z">
        <w:r>
          <w:rPr>
            <w:rFonts w:hint="eastAsia" w:eastAsia="宋体"/>
            <w:lang w:val="en-US" w:eastAsia="zh-CN"/>
          </w:rPr>
          <w:t>a</w:t>
        </w:r>
      </w:ins>
      <w:ins w:id="9" w:author="cmcc" w:date="2025-08-26T01:11:10Z">
        <w:r>
          <w:rPr>
            <w:rFonts w:hint="eastAsia" w:eastAsia="宋体"/>
            <w:lang w:val="en-US" w:eastAsia="zh-CN"/>
          </w:rPr>
          <w:t>nd</w:t>
        </w:r>
      </w:ins>
      <w:ins w:id="10" w:author="cmcc" w:date="2025-08-26T01:11:11Z">
        <w:r>
          <w:rPr>
            <w:rFonts w:hint="eastAsia" w:eastAsia="宋体"/>
            <w:lang w:val="en-US" w:eastAsia="zh-CN"/>
          </w:rPr>
          <w:t xml:space="preserve"> tr</w:t>
        </w:r>
      </w:ins>
      <w:ins w:id="11" w:author="cmcc" w:date="2025-08-26T01:11:12Z">
        <w:r>
          <w:rPr>
            <w:rFonts w:hint="eastAsia" w:eastAsia="宋体"/>
            <w:lang w:val="en-US" w:eastAsia="zh-CN"/>
          </w:rPr>
          <w:t xml:space="preserve">ust </w:t>
        </w:r>
      </w:ins>
      <w:ins w:id="12" w:author="cmcc" w:date="2025-08-26T01:11:13Z">
        <w:r>
          <w:rPr>
            <w:rFonts w:hint="eastAsia" w:eastAsia="宋体"/>
            <w:lang w:val="en-US" w:eastAsia="zh-CN"/>
          </w:rPr>
          <w:t>est</w:t>
        </w:r>
      </w:ins>
      <w:ins w:id="13" w:author="cmcc" w:date="2025-08-26T01:11:14Z">
        <w:r>
          <w:rPr>
            <w:rFonts w:hint="eastAsia" w:eastAsia="宋体"/>
            <w:lang w:val="en-US" w:eastAsia="zh-CN"/>
          </w:rPr>
          <w:t>ablish</w:t>
        </w:r>
      </w:ins>
      <w:ins w:id="14" w:author="cmcc" w:date="2025-08-26T01:11:15Z">
        <w:r>
          <w:rPr>
            <w:rFonts w:hint="eastAsia" w:eastAsia="宋体"/>
            <w:lang w:val="en-US" w:eastAsia="zh-CN"/>
          </w:rPr>
          <w:t>ment</w:t>
        </w:r>
      </w:ins>
      <w:ins w:id="15" w:author="cmcc" w:date="2025-08-26T01:11:17Z">
        <w:r>
          <w:rPr>
            <w:rFonts w:hint="eastAsia" w:eastAsia="宋体"/>
            <w:lang w:val="en-US" w:eastAsia="zh-CN"/>
          </w:rPr>
          <w:t xml:space="preserve"> </w:t>
        </w:r>
      </w:ins>
      <w:r>
        <w:t>to enable interconnection and roaming with other operators</w:t>
      </w:r>
      <w:r>
        <w:rPr>
          <w:rFonts w:hint="eastAsia" w:eastAsia="宋体"/>
          <w:lang w:val="en-US" w:eastAsia="zh-CN"/>
        </w:rPr>
        <w:t xml:space="preserve"> has been studied. Similar issues also exist in intra-PLMN cases where different security domains in the core network rely on </w:t>
      </w:r>
      <w:r>
        <w:t xml:space="preserve">NDS/IP and NDS/AF to provide </w:t>
      </w:r>
      <w:ins w:id="16" w:author="cmcc" w:date="2025-08-26T13:15:30Z">
        <w:r>
          <w:rPr>
            <w:rFonts w:hint="eastAsia" w:eastAsia="宋体"/>
            <w:lang w:val="en-US" w:eastAsia="zh-CN"/>
          </w:rPr>
          <w:t>ne</w:t>
        </w:r>
      </w:ins>
      <w:ins w:id="17" w:author="cmcc" w:date="2025-08-26T13:15:31Z">
        <w:r>
          <w:rPr>
            <w:rFonts w:hint="eastAsia" w:eastAsia="宋体"/>
            <w:lang w:val="en-US" w:eastAsia="zh-CN"/>
          </w:rPr>
          <w:t>twork</w:t>
        </w:r>
      </w:ins>
      <w:ins w:id="18" w:author="cmcc" w:date="2025-08-26T13:15:32Z">
        <w:r>
          <w:rPr>
            <w:rFonts w:hint="eastAsia" w:eastAsia="宋体"/>
            <w:lang w:val="en-US" w:eastAsia="zh-CN"/>
          </w:rPr>
          <w:t xml:space="preserve"> and </w:t>
        </w:r>
      </w:ins>
      <w:bookmarkStart w:id="3" w:name="_GoBack"/>
      <w:bookmarkEnd w:id="3"/>
      <w:r>
        <w:t xml:space="preserve">transport layer security protection mechanisms. </w:t>
      </w:r>
      <w:r>
        <w:rPr>
          <w:rFonts w:hint="eastAsia" w:eastAsia="宋体"/>
          <w:lang w:val="en-US" w:eastAsia="zh-CN"/>
        </w:rPr>
        <w:t>In both inter-PLMN and intra-PLMN interconnections, d</w:t>
      </w:r>
      <w:r>
        <w:t xml:space="preserve">igital certificates are usually used as identity identifiers and IPSec protocol is used for securing the communication between the </w:t>
      </w:r>
      <w:r>
        <w:rPr>
          <w:rFonts w:hint="eastAsia" w:eastAsia="宋体"/>
          <w:lang w:val="en-US" w:eastAsia="zh-CN"/>
        </w:rPr>
        <w:t xml:space="preserve">two </w:t>
      </w:r>
      <w:r>
        <w:t xml:space="preserve">domains. This requires both CA (Certificate Authorities) institutions </w:t>
      </w:r>
      <w:r>
        <w:rPr>
          <w:rFonts w:hint="eastAsia" w:eastAsia="宋体"/>
          <w:lang w:val="en-US" w:eastAsia="zh-CN"/>
        </w:rPr>
        <w:t xml:space="preserve">of each operator/entity at the border of the security domains </w:t>
      </w:r>
      <w:r>
        <w:t xml:space="preserve">to crossly trust and certify each other. Frequent cross-domain certification brings about </w:t>
      </w:r>
      <w:del w:id="19" w:author="cmcc" w:date="2025-08-25T18:24:09Z">
        <w:r>
          <w:rPr/>
          <w:delText xml:space="preserve">network latency and </w:delText>
        </w:r>
      </w:del>
      <w:ins w:id="20" w:author="cmcc" w:date="2025-08-25T18:24:22Z">
        <w:r>
          <w:rPr>
            <w:rFonts w:hint="eastAsia" w:eastAsia="宋体"/>
            <w:lang w:val="en-US" w:eastAsia="zh-CN"/>
          </w:rPr>
          <w:t>op</w:t>
        </w:r>
      </w:ins>
      <w:ins w:id="21" w:author="cmcc" w:date="2025-08-25T18:24:23Z">
        <w:r>
          <w:rPr>
            <w:rFonts w:hint="eastAsia" w:eastAsia="宋体"/>
            <w:lang w:val="en-US" w:eastAsia="zh-CN"/>
          </w:rPr>
          <w:t xml:space="preserve">erational </w:t>
        </w:r>
      </w:ins>
      <w:r>
        <w:t xml:space="preserve">management cost, as well as threats of single point of failure. </w:t>
      </w:r>
      <w:ins w:id="22" w:author="cmcc" w:date="2025-08-26T13:10:39Z">
        <w:r>
          <w:rPr/>
          <w:t xml:space="preserve">As entire network’s security depends on certificates i.e., public key infrastructure and centralized CA model, a CA failure (e.g., CA compromise incident [2]) can lead to larger attack surface and impacts vast services. When comes to 6G security, it is important to have a more resilient and reliable framework to support trust and security establishment across different security domains. </w:t>
        </w:r>
      </w:ins>
      <w:r>
        <w:t xml:space="preserve">What’s more, it is difficult to establish a common root of trust for cross domain communication. </w:t>
      </w:r>
    </w:p>
    <w:p w14:paraId="45A26ACE">
      <w:pPr>
        <w:jc w:val="both"/>
      </w:pPr>
    </w:p>
    <w:p w14:paraId="4E6110B2">
      <w:pPr>
        <w:jc w:val="both"/>
        <w:rPr>
          <w:lang w:eastAsia="zh-CN"/>
        </w:rPr>
      </w:pPr>
      <w:r>
        <w:t xml:space="preserve">Thus, an efficient manner of establishing trust </w:t>
      </w:r>
      <w:r>
        <w:rPr>
          <w:rFonts w:hint="eastAsia" w:eastAsia="宋体"/>
          <w:lang w:val="en-US" w:eastAsia="zh-CN"/>
        </w:rPr>
        <w:t xml:space="preserve">among inter-PLMN and intra-PLMN in 6G </w:t>
      </w:r>
      <w:r>
        <w:t>need</w:t>
      </w:r>
      <w:r>
        <w:rPr>
          <w:rFonts w:hint="eastAsia" w:eastAsia="宋体"/>
          <w:lang w:val="en-US" w:eastAsia="zh-CN"/>
        </w:rPr>
        <w:t>s to be studied</w:t>
      </w:r>
      <w:r>
        <w:t>.</w:t>
      </w:r>
      <w:r>
        <w:rPr>
          <w:rFonts w:hint="eastAsia" w:eastAsia="宋体"/>
          <w:lang w:val="en-US" w:eastAsia="zh-CN"/>
        </w:rPr>
        <w:t xml:space="preserve"> For example, t</w:t>
      </w:r>
      <w:r>
        <w:t>he traditional centralized trust infrastructure could be replaced with a decentralized trust foundation within and across the trust regions. With</w:t>
      </w:r>
      <w:r>
        <w:rPr>
          <w:rFonts w:hint="eastAsia" w:eastAsia="宋体"/>
          <w:lang w:val="en-US" w:eastAsia="zh-CN"/>
        </w:rPr>
        <w:t xml:space="preserve"> that</w:t>
      </w:r>
      <w:r>
        <w:t xml:space="preserve">, the 6G </w:t>
      </w:r>
      <w:r>
        <w:rPr>
          <w:rFonts w:hint="eastAsia" w:eastAsia="宋体"/>
          <w:lang w:val="en-US" w:eastAsia="zh-CN"/>
        </w:rPr>
        <w:t xml:space="preserve">core </w:t>
      </w:r>
      <w:r>
        <w:t xml:space="preserve">network would fundamentally eliminate single point of failure </w:t>
      </w:r>
      <w:r>
        <w:rPr>
          <w:rFonts w:hint="eastAsia" w:eastAsia="宋体"/>
          <w:lang w:val="en-US" w:eastAsia="zh-CN"/>
        </w:rPr>
        <w:t xml:space="preserve">and </w:t>
      </w:r>
      <w:r>
        <w:rPr>
          <w:rFonts w:eastAsia="宋体"/>
          <w:lang w:val="en-US" w:eastAsia="zh-CN"/>
        </w:rPr>
        <w:t xml:space="preserve">reduce the </w:t>
      </w:r>
      <w:r>
        <w:rPr>
          <w:rFonts w:hint="eastAsia" w:eastAsia="宋体"/>
          <w:lang w:val="en-US" w:eastAsia="zh-CN"/>
        </w:rPr>
        <w:t xml:space="preserve">cross-domain security management burden in security </w:t>
      </w:r>
      <w:r>
        <w:rPr>
          <w:rFonts w:eastAsia="宋体"/>
          <w:lang w:val="en-US" w:eastAsia="zh-CN"/>
        </w:rPr>
        <w:t xml:space="preserve">certification </w:t>
      </w:r>
      <w:r>
        <w:rPr>
          <w:rFonts w:hint="eastAsia" w:eastAsia="宋体"/>
          <w:lang w:val="en-US" w:eastAsia="zh-CN"/>
        </w:rPr>
        <w:t>establishment</w:t>
      </w:r>
      <w:r>
        <w:rPr>
          <w:lang w:eastAsia="zh-CN"/>
        </w:rPr>
        <w:t>.</w:t>
      </w:r>
    </w:p>
    <w:p w14:paraId="249AAEB6">
      <w:pPr>
        <w:pStyle w:val="1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eastAsia="宋体"/>
          <w:sz w:val="20"/>
          <w:szCs w:val="20"/>
          <w:lang w:val="en-US" w:eastAsia="zh-CN"/>
        </w:rPr>
      </w:pPr>
      <w:bookmarkStart w:id="2" w:name="OLE_LINK4"/>
      <w:r>
        <w:rPr>
          <w:rFonts w:hint="eastAsia" w:eastAsia="宋体"/>
          <w:sz w:val="20"/>
          <w:szCs w:val="20"/>
          <w:lang w:val="en-US" w:eastAsia="zh-CN"/>
        </w:rPr>
        <w:t>In addition, t</w:t>
      </w:r>
      <w:r>
        <w:rPr>
          <w:sz w:val="20"/>
          <w:szCs w:val="20"/>
        </w:rPr>
        <w:t xml:space="preserve">he increasing system complexity, driven by hybrid cloud deployments and multi-layered architectures, demands a re-evaluation of current trust and security mechanisms. </w:t>
      </w:r>
      <w:r>
        <w:rPr>
          <w:rFonts w:hint="eastAsia" w:eastAsia="宋体"/>
          <w:sz w:val="20"/>
          <w:szCs w:val="20"/>
          <w:lang w:val="en-US" w:eastAsia="zh-CN"/>
        </w:rPr>
        <w:t>I</w:t>
      </w:r>
      <w:r>
        <w:rPr>
          <w:sz w:val="20"/>
          <w:szCs w:val="20"/>
        </w:rPr>
        <w:t>t is critical to explore</w:t>
      </w:r>
      <w:r>
        <w:rPr>
          <w:rFonts w:hint="eastAsia" w:eastAsia="宋体"/>
          <w:sz w:val="20"/>
          <w:szCs w:val="20"/>
          <w:lang w:val="en-US" w:eastAsia="zh-CN"/>
        </w:rPr>
        <w:t xml:space="preserve"> the possibility of</w:t>
      </w:r>
      <w:r>
        <w:rPr>
          <w:sz w:val="20"/>
          <w:szCs w:val="20"/>
        </w:rPr>
        <w:t xml:space="preserve"> decentralized</w:t>
      </w:r>
      <w:r>
        <w:rPr>
          <w:rFonts w:hint="eastAsia"/>
          <w:sz w:val="20"/>
          <w:szCs w:val="20"/>
          <w:lang w:val="en-US" w:eastAsia="zh-CN"/>
        </w:rPr>
        <w:t xml:space="preserve"> trust</w:t>
      </w:r>
      <w:r>
        <w:rPr>
          <w:sz w:val="20"/>
          <w:szCs w:val="20"/>
        </w:rPr>
        <w:t xml:space="preserve"> framework and technologies that can address existing gaps while future-proofing security for emerging challenges</w:t>
      </w:r>
      <w:r>
        <w:rPr>
          <w:rFonts w:hint="eastAsia" w:eastAsia="宋体"/>
          <w:sz w:val="20"/>
          <w:szCs w:val="20"/>
          <w:lang w:val="en-US" w:eastAsia="zh-CN"/>
        </w:rPr>
        <w:t>, by offering resilience for distributed cloud and edge deployments and efficient cross-domain trust establishment.</w:t>
      </w:r>
    </w:p>
    <w:p w14:paraId="1524566F">
      <w:pPr>
        <w:jc w:val="both"/>
        <w:rPr>
          <w:ins w:id="23" w:author="cmcc" w:date="2025-08-25T20:44:35Z"/>
          <w:rFonts w:hint="default" w:eastAsia="Times New Roman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The feasibility study of decentralized trust could serve as a security infrastructure </w:t>
      </w:r>
      <w:r>
        <w:rPr>
          <w:sz w:val="20"/>
          <w:szCs w:val="20"/>
        </w:rPr>
        <w:t xml:space="preserve">for securing intra-PLMN NF communications, multi-domain </w:t>
      </w:r>
      <w:r>
        <w:rPr>
          <w:rFonts w:hint="default"/>
          <w:sz w:val="20"/>
          <w:szCs w:val="20"/>
          <w:lang w:val="en-US" w:eastAsia="zh-CN"/>
        </w:rPr>
        <w:t>trust establish</w:t>
      </w:r>
      <w:del w:id="24" w:author="cmcc" w:date="2025-08-25T18:25:52Z">
        <w:r>
          <w:rPr>
            <w:rFonts w:hint="default"/>
            <w:sz w:val="20"/>
            <w:szCs w:val="20"/>
            <w:lang w:val="en-US" w:eastAsia="zh-CN"/>
          </w:rPr>
          <w:delText>e</w:delText>
        </w:r>
      </w:del>
      <w:r>
        <w:rPr>
          <w:rFonts w:hint="default"/>
          <w:sz w:val="20"/>
          <w:szCs w:val="20"/>
          <w:lang w:val="en-US" w:eastAsia="zh-CN"/>
        </w:rPr>
        <w:t>ment</w:t>
      </w:r>
      <w:ins w:id="25" w:author="cmcc" w:date="2025-08-25T18:25:56Z">
        <w:r>
          <w:rPr>
            <w:rFonts w:hint="eastAsia"/>
            <w:sz w:val="20"/>
            <w:szCs w:val="20"/>
            <w:lang w:val="en-US" w:eastAsia="zh-CN"/>
          </w:rPr>
          <w:t xml:space="preserve"> </w:t>
        </w:r>
      </w:ins>
      <w:r>
        <w:rPr>
          <w:rFonts w:hint="default"/>
          <w:sz w:val="20"/>
          <w:szCs w:val="20"/>
          <w:lang w:val="en-US" w:eastAsia="zh-CN"/>
        </w:rPr>
        <w:t xml:space="preserve">in intra-PLMN, </w:t>
      </w:r>
      <w:r>
        <w:rPr>
          <w:rFonts w:hint="default" w:eastAsia="Times New Roman"/>
          <w:sz w:val="20"/>
          <w:szCs w:val="20"/>
          <w:lang w:val="en-US" w:eastAsia="zh-CN"/>
        </w:rPr>
        <w:t>inter-PLMN interconnection</w:t>
      </w:r>
      <w:r>
        <w:rPr>
          <w:sz w:val="20"/>
          <w:szCs w:val="20"/>
        </w:rPr>
        <w:t>, and emerging decentralized applications</w:t>
      </w:r>
      <w:r>
        <w:rPr>
          <w:rFonts w:hint="default" w:eastAsia="Times New Roman"/>
          <w:sz w:val="20"/>
          <w:szCs w:val="20"/>
          <w:lang w:val="en-US" w:eastAsia="zh-CN"/>
        </w:rPr>
        <w:t>, etc.</w:t>
      </w:r>
      <w:bookmarkEnd w:id="2"/>
    </w:p>
    <w:p w14:paraId="03071216">
      <w:pPr>
        <w:rPr>
          <w:ins w:id="26" w:author="cmcc" w:date="2025-08-25T20:44:39Z"/>
        </w:rPr>
      </w:pPr>
    </w:p>
    <w:p w14:paraId="75DF6D7F">
      <w:pPr>
        <w:rPr>
          <w:ins w:id="27" w:author="cmcc" w:date="2025-08-25T20:44:35Z"/>
        </w:rPr>
      </w:pPr>
      <w:ins w:id="28" w:author="cmcc" w:date="2025-08-25T20:44:35Z">
        <w:r>
          <w:rPr/>
          <w:t>References:</w:t>
        </w:r>
      </w:ins>
    </w:p>
    <w:p w14:paraId="3FE4A3B1">
      <w:pPr>
        <w:rPr>
          <w:ins w:id="29" w:author="cmcc" w:date="2025-08-25T20:44:35Z"/>
        </w:rPr>
      </w:pPr>
    </w:p>
    <w:p w14:paraId="225A17BD">
      <w:pPr>
        <w:rPr>
          <w:ins w:id="30" w:author="cmcc" w:date="2025-08-25T20:44:35Z"/>
        </w:rPr>
      </w:pPr>
      <w:ins w:id="31" w:author="cmcc" w:date="2025-08-25T20:44:35Z">
        <w:r>
          <w:rPr/>
          <w:t>[1] 3GPP TR 22.870, ‘Study on 6G Use Cases and Service Requirements’.</w:t>
        </w:r>
      </w:ins>
    </w:p>
    <w:p w14:paraId="13A91139">
      <w:pPr>
        <w:rPr>
          <w:ins w:id="32" w:author="cmcc" w:date="2025-08-25T20:44:35Z"/>
        </w:rPr>
      </w:pPr>
      <w:ins w:id="33" w:author="cmcc" w:date="2025-08-25T20:44:35Z">
        <w:r>
          <w:rPr/>
          <w:t>[2] DigiNotar – What went wrong? ‘https://www.keyfactor.com/blog/diginotar-what-went-wrong/’.</w:t>
        </w:r>
      </w:ins>
    </w:p>
    <w:p w14:paraId="03D82936">
      <w:pPr>
        <w:jc w:val="both"/>
        <w:rPr>
          <w:rFonts w:hint="default" w:eastAsia="Times New Roman"/>
          <w:sz w:val="20"/>
          <w:szCs w:val="20"/>
          <w:lang w:val="en-US" w:eastAsia="zh-CN"/>
        </w:rPr>
      </w:pPr>
    </w:p>
    <w:p w14:paraId="2EB0B53B">
      <w:pPr>
        <w:jc w:val="both"/>
        <w:rPr>
          <w:lang w:val="en-US" w:eastAsia="zh-CN"/>
        </w:rPr>
      </w:pPr>
    </w:p>
    <w:p w14:paraId="45A26AD0"/>
    <w:p w14:paraId="45A26AD3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45A26AD4">
      <w:pPr>
        <w:pStyle w:val="27"/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>The objective of this study item is to:</w:t>
      </w:r>
    </w:p>
    <w:p w14:paraId="45A26AD5">
      <w:pPr>
        <w:pStyle w:val="27"/>
        <w:numPr>
          <w:ilvl w:val="0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>WT1:</w:t>
      </w:r>
      <w:ins w:id="34" w:author="cmcc" w:date="2025-08-25T18:26:15Z">
        <w:r>
          <w:rPr>
            <w:rFonts w:hint="eastAsia" w:eastAsia="宋体"/>
            <w:i w:val="0"/>
            <w:color w:val="auto"/>
            <w:lang w:val="en-US" w:eastAsia="zh-CN"/>
          </w:rPr>
          <w:t xml:space="preserve"> </w:t>
        </w:r>
      </w:ins>
      <w:r>
        <w:rPr>
          <w:i w:val="0"/>
          <w:color w:val="auto"/>
          <w:lang w:eastAsia="en-US"/>
        </w:rPr>
        <w:t xml:space="preserve">Study the </w:t>
      </w:r>
      <w:r>
        <w:rPr>
          <w:rFonts w:hint="eastAsia" w:eastAsia="宋体"/>
          <w:i w:val="0"/>
          <w:color w:val="auto"/>
          <w:lang w:val="en-US" w:eastAsia="zh-CN"/>
        </w:rPr>
        <w:t>feasibility of dece</w:t>
      </w:r>
      <w:ins w:id="35" w:author="cmcc" w:date="2025-08-25T18:26:25Z">
        <w:r>
          <w:rPr>
            <w:rFonts w:hint="eastAsia" w:eastAsia="宋体"/>
            <w:i w:val="0"/>
            <w:color w:val="auto"/>
            <w:lang w:val="en-US" w:eastAsia="zh-CN"/>
          </w:rPr>
          <w:t>n</w:t>
        </w:r>
      </w:ins>
      <w:r>
        <w:rPr>
          <w:rFonts w:hint="eastAsia" w:eastAsia="宋体"/>
          <w:i w:val="0"/>
          <w:color w:val="auto"/>
          <w:lang w:val="en-US" w:eastAsia="zh-CN"/>
        </w:rPr>
        <w:t>tralized trust mechanisms to eliminate single-point-failure and cross-domain security management burden.</w:t>
      </w:r>
    </w:p>
    <w:p w14:paraId="45A26AD6">
      <w:pPr>
        <w:pStyle w:val="27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hint="eastAsia" w:eastAsia="宋体"/>
          <w:i w:val="0"/>
          <w:color w:val="auto"/>
          <w:lang w:val="en-US" w:eastAsia="zh-CN"/>
        </w:rPr>
        <w:t xml:space="preserve">inter-PLMN case, study </w:t>
      </w:r>
      <w:ins w:id="36" w:author="cmcc" w:date="2025-08-25T18:27:40Z">
        <w:r>
          <w:rPr>
            <w:rFonts w:hint="eastAsia" w:ascii="Times New Roman" w:hAnsi="Times New Roman" w:eastAsia="宋体"/>
            <w:i w:val="0"/>
            <w:color w:val="auto"/>
            <w:lang w:val="en-US" w:eastAsia="zh-CN"/>
            <w:rPrChange w:id="37" w:author="cmcc" w:date="2025-08-25T18:27:50Z">
              <w:rPr>
                <w:rFonts w:ascii="Arial" w:hAnsi="Arial"/>
              </w:rPr>
            </w:rPrChange>
          </w:rPr>
          <w:t>secure, resilient, and transparent authentication mechanisms</w:t>
        </w:r>
      </w:ins>
      <w:del w:id="39" w:author="cmcc" w:date="2025-08-25T18:27:40Z">
        <w:r>
          <w:rPr>
            <w:rFonts w:hint="eastAsia" w:eastAsia="宋体"/>
            <w:i w:val="0"/>
            <w:color w:val="auto"/>
            <w:lang w:val="en-US" w:eastAsia="zh-CN"/>
          </w:rPr>
          <w:delText>the efficient</w:delText>
        </w:r>
      </w:del>
      <w:r>
        <w:rPr>
          <w:rFonts w:hint="eastAsia" w:eastAsia="宋体"/>
          <w:i w:val="0"/>
          <w:color w:val="auto"/>
          <w:lang w:val="en-US" w:eastAsia="zh-CN"/>
        </w:rPr>
        <w:t xml:space="preserve"> authentication mechanisms</w:t>
      </w:r>
      <w:ins w:id="40" w:author="cmcc" w:date="2025-08-25T18:27:13Z">
        <w:r>
          <w:rPr>
            <w:rFonts w:hint="eastAsia" w:eastAsia="宋体"/>
            <w:i w:val="0"/>
            <w:color w:val="auto"/>
            <w:lang w:val="en-US" w:eastAsia="zh-CN"/>
          </w:rPr>
          <w:t xml:space="preserve"> </w:t>
        </w:r>
      </w:ins>
      <w:r>
        <w:rPr>
          <w:rFonts w:hint="eastAsia" w:eastAsia="宋体"/>
          <w:i w:val="0"/>
          <w:color w:val="auto"/>
          <w:lang w:val="en-US" w:eastAsia="zh-CN"/>
        </w:rPr>
        <w:t xml:space="preserve">between operators.  </w:t>
      </w:r>
    </w:p>
    <w:p w14:paraId="45A26AD7">
      <w:pPr>
        <w:pStyle w:val="27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hint="eastAsia" w:eastAsia="宋体"/>
          <w:i w:val="0"/>
          <w:color w:val="auto"/>
          <w:lang w:val="en-US" w:eastAsia="zh-CN"/>
        </w:rPr>
        <w:t>intra-PLMN case, study the feasibility of fundamental authentication framework serving the trust establishment among network elements in the same or different security domains.</w:t>
      </w:r>
    </w:p>
    <w:p w14:paraId="1F099C4B">
      <w:pPr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NOTE：</w:t>
      </w:r>
      <w:r>
        <w:rPr>
          <w:rFonts w:eastAsia="宋体"/>
          <w:lang w:val="en-US" w:eastAsia="zh-CN"/>
        </w:rPr>
        <w:t xml:space="preserve">The GSMA and/or other industry organizations may undertake similar topics in similar timeframes. However, 3GPP is responsible for achieving the objectives of this study. Potential liaison communications </w:t>
      </w:r>
      <w:r>
        <w:rPr>
          <w:rFonts w:hint="eastAsia" w:eastAsia="宋体"/>
          <w:lang w:val="en-US" w:eastAsia="zh-CN"/>
        </w:rPr>
        <w:t>might be triggered during the study.</w:t>
      </w:r>
    </w:p>
    <w:p w14:paraId="45A26ADA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45A26ADB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A26ADC"/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45A2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5A26ADD">
            <w:pPr>
              <w:pStyle w:val="30"/>
            </w:pPr>
            <w:r>
              <w:t>New specifications {One line per specification. Create/delete lines as needed}</w:t>
            </w:r>
          </w:p>
        </w:tc>
      </w:tr>
      <w:tr w14:paraId="45A2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5A26ADF">
            <w:pPr>
              <w:pStyle w:val="30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5A26AE0">
            <w:pPr>
              <w:pStyle w:val="30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45A26AE1">
            <w:pPr>
              <w:pStyle w:val="30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5A26AE2">
            <w:pPr>
              <w:pStyle w:val="30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5A26AE3">
            <w:pPr>
              <w:pStyle w:val="30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5A26AE4">
            <w:pPr>
              <w:pStyle w:val="30"/>
            </w:pPr>
            <w:r>
              <w:t>Rapporteur</w:t>
            </w:r>
          </w:p>
        </w:tc>
      </w:tr>
      <w:tr w14:paraId="45A2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617" w:type="dxa"/>
          </w:tcPr>
          <w:p w14:paraId="45A26AE6">
            <w:pPr>
              <w:pStyle w:val="27"/>
              <w:spacing w:after="0"/>
            </w:pP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>Internal</w:t>
            </w:r>
            <w:r>
              <w:t xml:space="preserve"> TR</w:t>
            </w:r>
          </w:p>
        </w:tc>
        <w:tc>
          <w:tcPr>
            <w:tcW w:w="1134" w:type="dxa"/>
          </w:tcPr>
          <w:p w14:paraId="45A26AE7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33.XXX</w:t>
            </w:r>
          </w:p>
        </w:tc>
        <w:tc>
          <w:tcPr>
            <w:tcW w:w="2409" w:type="dxa"/>
          </w:tcPr>
          <w:p w14:paraId="45A26AE8">
            <w:pPr>
              <w:pStyle w:val="27"/>
              <w:spacing w:after="0"/>
            </w:pPr>
            <w:r>
              <w:rPr>
                <w:rFonts w:hint="eastAsia"/>
                <w:lang w:val="en-US" w:eastAsia="zh-CN"/>
              </w:rPr>
              <w:t>Study on feasibility of decentralized trust enablement for 6G</w:t>
            </w:r>
          </w:p>
        </w:tc>
        <w:tc>
          <w:tcPr>
            <w:tcW w:w="993" w:type="dxa"/>
          </w:tcPr>
          <w:p w14:paraId="45A26AE9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Sep 2026</w:t>
            </w:r>
          </w:p>
          <w:p w14:paraId="45A26AEA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  <w:r>
              <w:t>TSG#</w:t>
            </w:r>
            <w:r>
              <w:rPr>
                <w:rFonts w:hint="eastAsia" w:eastAsia="宋体"/>
                <w:lang w:val="en-US" w:eastAsia="zh-CN"/>
              </w:rPr>
              <w:t>117</w:t>
            </w:r>
          </w:p>
        </w:tc>
        <w:tc>
          <w:tcPr>
            <w:tcW w:w="1074" w:type="dxa"/>
          </w:tcPr>
          <w:p w14:paraId="45A26AEB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Dec 2026</w:t>
            </w:r>
          </w:p>
          <w:p w14:paraId="45A26AEC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TSG#118</w:t>
            </w:r>
          </w:p>
        </w:tc>
        <w:tc>
          <w:tcPr>
            <w:tcW w:w="2186" w:type="dxa"/>
          </w:tcPr>
          <w:p w14:paraId="45A26AED">
            <w:pPr>
              <w:pStyle w:val="2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TBD</w:t>
            </w:r>
          </w:p>
        </w:tc>
      </w:tr>
      <w:tr w14:paraId="45A2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45A26AEF">
            <w:pPr>
              <w:pStyle w:val="29"/>
            </w:pPr>
          </w:p>
        </w:tc>
        <w:tc>
          <w:tcPr>
            <w:tcW w:w="1134" w:type="dxa"/>
          </w:tcPr>
          <w:p w14:paraId="45A26AF0">
            <w:pPr>
              <w:pStyle w:val="29"/>
            </w:pPr>
          </w:p>
        </w:tc>
        <w:tc>
          <w:tcPr>
            <w:tcW w:w="2409" w:type="dxa"/>
          </w:tcPr>
          <w:p w14:paraId="45A26AF1">
            <w:pPr>
              <w:pStyle w:val="29"/>
            </w:pPr>
          </w:p>
        </w:tc>
        <w:tc>
          <w:tcPr>
            <w:tcW w:w="993" w:type="dxa"/>
          </w:tcPr>
          <w:p w14:paraId="45A26AF2">
            <w:pPr>
              <w:pStyle w:val="29"/>
            </w:pPr>
          </w:p>
        </w:tc>
        <w:tc>
          <w:tcPr>
            <w:tcW w:w="1074" w:type="dxa"/>
          </w:tcPr>
          <w:p w14:paraId="45A26AF3">
            <w:pPr>
              <w:pStyle w:val="29"/>
            </w:pPr>
          </w:p>
        </w:tc>
        <w:tc>
          <w:tcPr>
            <w:tcW w:w="2186" w:type="dxa"/>
          </w:tcPr>
          <w:p w14:paraId="45A26AF4">
            <w:pPr>
              <w:pStyle w:val="29"/>
            </w:pPr>
          </w:p>
        </w:tc>
      </w:tr>
    </w:tbl>
    <w:p w14:paraId="45A26AF6">
      <w:pPr>
        <w:pStyle w:val="32"/>
      </w:pPr>
    </w:p>
    <w:p w14:paraId="45A26AF7"/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 w14:paraId="45A2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8">
            <w:pPr>
              <w:pStyle w:val="30"/>
            </w:pPr>
            <w:r>
              <w:t>Impacted existing TS/TR {One line per specification. Create/delete lines as needed}</w:t>
            </w:r>
          </w:p>
        </w:tc>
      </w:tr>
      <w:tr w14:paraId="45A2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A">
            <w:pPr>
              <w:pStyle w:val="30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B">
            <w:pPr>
              <w:pStyle w:val="30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C">
            <w:pPr>
              <w:pStyle w:val="30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D">
            <w:pPr>
              <w:pStyle w:val="30"/>
            </w:pPr>
            <w:r>
              <w:t>Remarks</w:t>
            </w:r>
          </w:p>
        </w:tc>
      </w:tr>
      <w:tr w14:paraId="45A26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AFF">
            <w:pPr>
              <w:pStyle w:val="27"/>
              <w:spacing w:after="0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0">
            <w:pPr>
              <w:pStyle w:val="27"/>
              <w:spacing w:after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1">
            <w:pPr>
              <w:pStyle w:val="27"/>
              <w:spacing w:after="0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2">
            <w:pPr>
              <w:pStyle w:val="27"/>
              <w:spacing w:after="0"/>
            </w:pPr>
          </w:p>
        </w:tc>
      </w:tr>
      <w:tr w14:paraId="45A2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4">
            <w:pPr>
              <w:pStyle w:val="29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5">
            <w:pPr>
              <w:pStyle w:val="29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6">
            <w:pPr>
              <w:pStyle w:val="29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7">
            <w:pPr>
              <w:pStyle w:val="29"/>
            </w:pPr>
          </w:p>
        </w:tc>
      </w:tr>
    </w:tbl>
    <w:p w14:paraId="45A26B09"/>
    <w:p w14:paraId="45A26B0A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45A26B0B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TBD</w:t>
      </w:r>
    </w:p>
    <w:p w14:paraId="45A26B0C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45A26B0D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SA3</w:t>
      </w:r>
    </w:p>
    <w:p w14:paraId="45A26B0E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45A26B0F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None.</w:t>
      </w:r>
    </w:p>
    <w:p w14:paraId="45A26B10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45A2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45A26B11">
            <w:pPr>
              <w:pStyle w:val="30"/>
            </w:pPr>
            <w:r>
              <w:t>Supporting IM name</w:t>
            </w:r>
          </w:p>
        </w:tc>
      </w:tr>
      <w:tr w14:paraId="45A2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3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 w14:paraId="45A2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5">
            <w:p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18"/>
                <w:lang w:val="en-US" w:eastAsia="zh-CN"/>
              </w:rPr>
              <w:t>Johns Hopkins University</w:t>
            </w:r>
          </w:p>
        </w:tc>
      </w:tr>
      <w:tr w14:paraId="45A2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7">
            <w:p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18"/>
                <w:lang w:val="en-US" w:eastAsia="zh-CN"/>
              </w:rPr>
              <w:t>Deutsche Telekom</w:t>
            </w:r>
          </w:p>
        </w:tc>
      </w:tr>
      <w:tr w14:paraId="45A2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9">
            <w:p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18"/>
                <w:lang w:val="en-US" w:eastAsia="zh-CN"/>
              </w:rPr>
              <w:t>AT&amp;T</w:t>
            </w:r>
          </w:p>
        </w:tc>
      </w:tr>
      <w:tr w14:paraId="45A2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B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Boost Mobile Network</w:t>
            </w:r>
          </w:p>
        </w:tc>
      </w:tr>
      <w:tr w14:paraId="45A2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D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Verizon</w:t>
            </w:r>
          </w:p>
        </w:tc>
      </w:tr>
      <w:tr w14:paraId="45A2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F">
            <w:pPr>
              <w:pStyle w:val="2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Vodafone </w:t>
            </w:r>
          </w:p>
        </w:tc>
      </w:tr>
      <w:tr w14:paraId="62AD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1CC0560">
            <w:pPr>
              <w:pStyle w:val="2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Unicom</w:t>
            </w:r>
          </w:p>
        </w:tc>
      </w:tr>
      <w:tr w14:paraId="40A6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C72D79B">
            <w:pPr>
              <w:pStyle w:val="2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Lenovo</w:t>
            </w:r>
          </w:p>
        </w:tc>
      </w:tr>
      <w:tr w14:paraId="45A2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21">
            <w:pPr>
              <w:pStyle w:val="2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Charter Communications</w:t>
            </w:r>
          </w:p>
        </w:tc>
      </w:tr>
      <w:tr w14:paraId="4B5D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shd w:val="clear" w:color="auto" w:fill="auto"/>
            <w:vAlign w:val="top"/>
          </w:tcPr>
          <w:p w14:paraId="0966D9E0">
            <w:pPr>
              <w:pStyle w:val="30"/>
              <w:jc w:val="left"/>
              <w:rPr>
                <w:rFonts w:hint="eastAsia" w:ascii="Arial" w:hAnsi="Arial" w:eastAsia="Times New Roman" w:cs="Times New Roman"/>
                <w:b w:val="0"/>
                <w:bCs/>
                <w:color w:val="000000"/>
                <w:sz w:val="18"/>
                <w:highlight w:val="none"/>
                <w:lang w:val="en-US" w:eastAsia="zh-CN" w:bidi="ar-SA"/>
              </w:rPr>
            </w:pPr>
            <w:r>
              <w:rPr>
                <w:b w:val="0"/>
                <w:bCs/>
                <w:highlight w:val="none"/>
              </w:rPr>
              <w:t>MITRE</w:t>
            </w:r>
          </w:p>
        </w:tc>
      </w:tr>
      <w:tr w14:paraId="01FF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shd w:val="clear" w:color="auto" w:fill="auto"/>
            <w:vAlign w:val="top"/>
          </w:tcPr>
          <w:p w14:paraId="10A1B149">
            <w:pPr>
              <w:pStyle w:val="30"/>
              <w:jc w:val="left"/>
              <w:rPr>
                <w:rFonts w:hint="eastAsia" w:ascii="Arial" w:hAnsi="Arial" w:eastAsia="Times New Roman" w:cs="Times New Roman"/>
                <w:b w:val="0"/>
                <w:bCs/>
                <w:color w:val="000000"/>
                <w:sz w:val="18"/>
                <w:highlight w:val="none"/>
                <w:lang w:val="en-US" w:eastAsia="zh-CN" w:bidi="ar-SA"/>
              </w:rPr>
            </w:pPr>
            <w:r>
              <w:rPr>
                <w:b w:val="0"/>
                <w:bCs/>
                <w:highlight w:val="none"/>
              </w:rPr>
              <w:t>US NSA</w:t>
            </w:r>
          </w:p>
        </w:tc>
      </w:tr>
      <w:tr w14:paraId="5689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shd w:val="clear" w:color="auto" w:fill="auto"/>
            <w:vAlign w:val="top"/>
          </w:tcPr>
          <w:p w14:paraId="3329EA01">
            <w:pPr>
              <w:pStyle w:val="29"/>
              <w:rPr>
                <w:rFonts w:hint="eastAsia" w:ascii="Arial" w:hAnsi="Arial" w:eastAsia="Times New Roman" w:cs="Times New Roman"/>
                <w:bCs/>
                <w:color w:val="000000"/>
                <w:sz w:val="18"/>
                <w:highlight w:val="none"/>
                <w:lang w:val="en-US" w:eastAsia="zh-CN" w:bidi="ar-SA"/>
              </w:rPr>
            </w:pPr>
            <w:r>
              <w:rPr>
                <w:bCs/>
                <w:highlight w:val="none"/>
              </w:rPr>
              <w:t>US OTD</w:t>
            </w:r>
          </w:p>
        </w:tc>
      </w:tr>
      <w:tr w14:paraId="56B5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shd w:val="clear" w:color="auto" w:fill="auto"/>
            <w:vAlign w:val="top"/>
          </w:tcPr>
          <w:p w14:paraId="4C3F5E66">
            <w:pPr>
              <w:pStyle w:val="29"/>
              <w:rPr>
                <w:rFonts w:hint="default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highlight w:val="none"/>
                <w:lang w:val="en-US" w:eastAsia="zh-CN"/>
              </w:rPr>
              <w:t>CAICT</w:t>
            </w:r>
          </w:p>
        </w:tc>
      </w:tr>
    </w:tbl>
    <w:p w14:paraId="1B29CC23"/>
    <w:p w14:paraId="45A26B24"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57705"/>
    <w:multiLevelType w:val="multilevel"/>
    <w:tmpl w:val="179577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67777"/>
    <w:rsid w:val="000726EB"/>
    <w:rsid w:val="00072A7C"/>
    <w:rsid w:val="000775E7"/>
    <w:rsid w:val="0007775C"/>
    <w:rsid w:val="00083BE1"/>
    <w:rsid w:val="00094F23"/>
    <w:rsid w:val="000967F4"/>
    <w:rsid w:val="000A6432"/>
    <w:rsid w:val="000D6D78"/>
    <w:rsid w:val="000E0429"/>
    <w:rsid w:val="000E0437"/>
    <w:rsid w:val="000E2A2E"/>
    <w:rsid w:val="000F6E51"/>
    <w:rsid w:val="00102A24"/>
    <w:rsid w:val="001244C2"/>
    <w:rsid w:val="00124E7B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492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2631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15B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411F6"/>
    <w:rsid w:val="00344434"/>
    <w:rsid w:val="00354553"/>
    <w:rsid w:val="003715B7"/>
    <w:rsid w:val="00376C60"/>
    <w:rsid w:val="00377906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457BD"/>
    <w:rsid w:val="00451122"/>
    <w:rsid w:val="004518DB"/>
    <w:rsid w:val="004562FC"/>
    <w:rsid w:val="00477EBC"/>
    <w:rsid w:val="00482246"/>
    <w:rsid w:val="00484421"/>
    <w:rsid w:val="0048568C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509F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457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408D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5B4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6A69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035E"/>
    <w:rsid w:val="0093661C"/>
    <w:rsid w:val="00936BF7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617B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2498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9535E"/>
    <w:rsid w:val="00CA2B4F"/>
    <w:rsid w:val="00CA3452"/>
    <w:rsid w:val="00CA5DB0"/>
    <w:rsid w:val="00CC084E"/>
    <w:rsid w:val="00CC58ED"/>
    <w:rsid w:val="00D0135E"/>
    <w:rsid w:val="00D0275B"/>
    <w:rsid w:val="00D10F44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1157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420"/>
    <w:rsid w:val="00F15D08"/>
    <w:rsid w:val="00F22FAF"/>
    <w:rsid w:val="00F313DD"/>
    <w:rsid w:val="00F378BE"/>
    <w:rsid w:val="00F43120"/>
    <w:rsid w:val="00F44FF2"/>
    <w:rsid w:val="00F64378"/>
    <w:rsid w:val="00F67FC3"/>
    <w:rsid w:val="00F763A4"/>
    <w:rsid w:val="00F80D67"/>
    <w:rsid w:val="00F812CC"/>
    <w:rsid w:val="00F81CF2"/>
    <w:rsid w:val="00F82A04"/>
    <w:rsid w:val="00F83DF3"/>
    <w:rsid w:val="00F941B8"/>
    <w:rsid w:val="00FA4DAF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6363BF7"/>
    <w:rsid w:val="07FD79D6"/>
    <w:rsid w:val="0D2018F9"/>
    <w:rsid w:val="11B850F8"/>
    <w:rsid w:val="20E55BFC"/>
    <w:rsid w:val="249C6716"/>
    <w:rsid w:val="2C5271F5"/>
    <w:rsid w:val="2C884C9E"/>
    <w:rsid w:val="2FBE3415"/>
    <w:rsid w:val="32987850"/>
    <w:rsid w:val="334F4B20"/>
    <w:rsid w:val="35DD391A"/>
    <w:rsid w:val="37771BE3"/>
    <w:rsid w:val="3F614080"/>
    <w:rsid w:val="4EBA6DE1"/>
    <w:rsid w:val="50513187"/>
    <w:rsid w:val="53B6515A"/>
    <w:rsid w:val="55887D02"/>
    <w:rsid w:val="569C002A"/>
    <w:rsid w:val="57C944BA"/>
    <w:rsid w:val="5E107639"/>
    <w:rsid w:val="630D7AB2"/>
    <w:rsid w:val="67326CA5"/>
    <w:rsid w:val="67E473FC"/>
    <w:rsid w:val="6EE328C5"/>
    <w:rsid w:val="79681401"/>
    <w:rsid w:val="7CE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3"/>
    <w:next w:val="1"/>
    <w:qFormat/>
    <w:uiPriority w:val="0"/>
    <w:pPr>
      <w:outlineLvl w:val="2"/>
    </w:p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1"/>
    <w:next w:val="1"/>
    <w:link w:val="28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link w:val="37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0">
    <w:name w:val="toc 8"/>
    <w:basedOn w:val="1"/>
    <w:next w:val="1"/>
    <w:autoRedefine/>
    <w:qFormat/>
    <w:uiPriority w:val="0"/>
    <w:pPr>
      <w:spacing w:after="100"/>
      <w:ind w:left="14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header"/>
    <w:basedOn w:val="1"/>
    <w:link w:val="35"/>
    <w:qFormat/>
    <w:uiPriority w:val="0"/>
    <w:pPr>
      <w:tabs>
        <w:tab w:val="center" w:pos="4153"/>
        <w:tab w:val="right" w:pos="8306"/>
      </w:tabs>
    </w:pPr>
  </w:style>
  <w:style w:type="paragraph" w:styleId="13">
    <w:name w:val="toc 9"/>
    <w:basedOn w:val="10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index 1"/>
    <w:basedOn w:val="1"/>
    <w:semiHidden/>
    <w:qFormat/>
    <w:uiPriority w:val="0"/>
    <w:pPr>
      <w:keepLines/>
    </w:pPr>
  </w:style>
  <w:style w:type="paragraph" w:styleId="16">
    <w:name w:val="annotation subject"/>
    <w:basedOn w:val="9"/>
    <w:next w:val="9"/>
    <w:link w:val="38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9">
    <w:name w:val="page number"/>
    <w:basedOn w:val="18"/>
    <w:qFormat/>
    <w:uiPriority w:val="0"/>
  </w:style>
  <w:style w:type="character" w:styleId="20">
    <w:name w:val="annotation reference"/>
    <w:basedOn w:val="18"/>
    <w:qFormat/>
    <w:uiPriority w:val="0"/>
    <w:rPr>
      <w:sz w:val="16"/>
      <w:szCs w:val="16"/>
    </w:rPr>
  </w:style>
  <w:style w:type="paragraph" w:customStyle="1" w:styleId="21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3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4">
    <w:name w:val="??? 2"/>
    <w:basedOn w:val="23"/>
    <w:next w:val="23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6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7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8">
    <w:name w:val="Heading 8 Char"/>
    <w:basedOn w:val="18"/>
    <w:link w:val="8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9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30">
    <w:name w:val="TAH"/>
    <w:basedOn w:val="31"/>
    <w:qFormat/>
    <w:uiPriority w:val="0"/>
    <w:rPr>
      <w:b/>
    </w:rPr>
  </w:style>
  <w:style w:type="paragraph" w:customStyle="1" w:styleId="31">
    <w:name w:val="TAC"/>
    <w:basedOn w:val="29"/>
    <w:qFormat/>
    <w:uiPriority w:val="0"/>
    <w:pPr>
      <w:jc w:val="center"/>
    </w:pPr>
  </w:style>
  <w:style w:type="paragraph" w:customStyle="1" w:styleId="32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3">
    <w:name w:val="Überarbeitung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4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5">
    <w:name w:val="Header Char"/>
    <w:link w:val="12"/>
    <w:qFormat/>
    <w:uiPriority w:val="0"/>
    <w:rPr>
      <w:lang w:eastAsia="en-US"/>
    </w:rPr>
  </w:style>
  <w:style w:type="paragraph" w:customStyle="1" w:styleId="36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37">
    <w:name w:val="Comment Text Char"/>
    <w:basedOn w:val="18"/>
    <w:link w:val="9"/>
    <w:semiHidden/>
    <w:qFormat/>
    <w:uiPriority w:val="0"/>
    <w:rPr>
      <w:rFonts w:ascii="Arial" w:hAnsi="Arial" w:eastAsia="Times New Roman"/>
      <w:lang w:val="en-GB" w:eastAsia="en-US"/>
    </w:rPr>
  </w:style>
  <w:style w:type="character" w:customStyle="1" w:styleId="38">
    <w:name w:val="Comment Subject Char"/>
    <w:basedOn w:val="37"/>
    <w:link w:val="16"/>
    <w:qFormat/>
    <w:uiPriority w:val="0"/>
    <w:rPr>
      <w:rFonts w:ascii="Arial" w:hAnsi="Arial" w:eastAsia="Times New Roman"/>
      <w:b/>
      <w:bCs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3</Pages>
  <Words>990</Words>
  <Characters>5646</Characters>
  <Lines>47</Lines>
  <Paragraphs>13</Paragraphs>
  <TotalTime>5</TotalTime>
  <ScaleCrop>false</ScaleCrop>
  <LinksUpToDate>false</LinksUpToDate>
  <CharactersWithSpaces>6623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2025-07-25T17:35:00Z</dcterms:created>
  <dc:creator>Alain Sultan</dc:creator>
  <cp:lastModifiedBy>cmcc</cp:lastModifiedBy>
  <cp:lastPrinted>2001-04-23T09:30:00Z</cp:lastPrinted>
  <dcterms:modified xsi:type="dcterms:W3CDTF">2025-08-26T05:20:02Z</dcterms:modified>
  <dc:title>Source: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F82BC149F1A74F2B85F243F2DEC6FA8F_13</vt:lpwstr>
  </property>
</Properties>
</file>