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_Hlk127531451"/>
      <w:bookmarkEnd w:id="0"/>
      <w:bookmarkStart w:id="1" w:name="Title"/>
      <w:bookmarkEnd w:id="1"/>
      <w:bookmarkStart w:id="2" w:name="DocumentFor"/>
      <w:bookmarkEnd w:id="2"/>
      <w:bookmarkStart w:id="3" w:name="OLE_LINK7"/>
      <w:bookmarkStart w:id="4" w:name="OLE_LINK6"/>
      <w:bookmarkStart w:id="5" w:name="OLE_LINK5"/>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R4-2520428</w:t>
      </w:r>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28E1A361">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8.2.2</w:t>
      </w:r>
    </w:p>
    <w:p w14:paraId="185D1CC5">
      <w:pPr>
        <w:tabs>
          <w:tab w:val="left" w:pos="2160"/>
        </w:tabs>
        <w:rPr>
          <w:rFonts w:hint="default" w:ascii="Arial" w:hAnsi="Arial" w:eastAsia="宋体" w:cs="Arial"/>
          <w:b/>
          <w:sz w:val="24"/>
          <w:szCs w:val="24"/>
          <w:highlight w:val="none"/>
          <w:lang w:val="en-US" w:eastAsia="zh-CN"/>
        </w:rPr>
      </w:pPr>
      <w:bookmarkStart w:id="6" w:name="OLE_LINK9"/>
      <w:r>
        <w:rPr>
          <w:rFonts w:ascii="Arial" w:hAnsi="Arial" w:cs="Arial"/>
          <w:b/>
          <w:sz w:val="24"/>
          <w:szCs w:val="24"/>
          <w:highlight w:val="none"/>
        </w:rPr>
        <w:t>Source:</w:t>
      </w:r>
      <w:r>
        <w:rPr>
          <w:rFonts w:ascii="Arial" w:hAnsi="Arial" w:cs="Arial"/>
          <w:b/>
          <w:sz w:val="24"/>
          <w:szCs w:val="24"/>
          <w:highlight w:val="none"/>
        </w:rPr>
        <w:tab/>
      </w:r>
      <w:bookmarkStart w:id="7" w:name="OLE_LINK12"/>
      <w:r>
        <w:rPr>
          <w:rFonts w:hint="eastAsia" w:ascii="Arial" w:hAnsi="Arial" w:cs="Arial"/>
          <w:b/>
          <w:sz w:val="24"/>
          <w:szCs w:val="24"/>
          <w:highlight w:val="none"/>
        </w:rPr>
        <w:t>C</w:t>
      </w:r>
      <w:bookmarkEnd w:id="7"/>
      <w:r>
        <w:rPr>
          <w:rFonts w:hint="eastAsia" w:ascii="Arial" w:hAnsi="Arial" w:eastAsia="宋体" w:cs="Arial"/>
          <w:b/>
          <w:sz w:val="24"/>
          <w:szCs w:val="24"/>
          <w:highlight w:val="none"/>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6GR modulation</w:t>
      </w:r>
      <w:bookmarkStart w:id="13" w:name="_GoBack"/>
      <w:bookmarkEnd w:id="13"/>
    </w:p>
    <w:p w14:paraId="11B7221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4CE3F22E">
      <w:pPr>
        <w:pStyle w:val="2"/>
        <w:rPr>
          <w:highlight w:val="none"/>
        </w:rPr>
      </w:pPr>
      <w:r>
        <w:rPr>
          <w:highlight w:val="none"/>
        </w:rPr>
        <w:t>Introduction</w:t>
      </w:r>
      <w:bookmarkStart w:id="9" w:name="OLE_LINK4"/>
      <w:bookmarkStart w:id="10" w:name="OLE_LINK15"/>
    </w:p>
    <w:bookmarkEnd w:id="9"/>
    <w:bookmarkEnd w:id="10"/>
    <w:p w14:paraId="7AA3CAEE">
      <w:pPr>
        <w:spacing w:before="0"/>
        <w:jc w:val="both"/>
        <w:rPr>
          <w:rFonts w:hint="default"/>
          <w:highlight w:val="none"/>
          <w:lang w:val="en-US" w:eastAsia="zh-CN"/>
        </w:rPr>
      </w:pPr>
      <w:r>
        <w:rPr>
          <w:color w:val="000000"/>
          <w:highlight w:val="none"/>
          <w:lang w:eastAsia="zh-CN"/>
        </w:rPr>
        <w:t>I</w:t>
      </w:r>
      <w:r>
        <w:rPr>
          <w:rFonts w:hint="eastAsia"/>
          <w:color w:val="000000"/>
          <w:highlight w:val="none"/>
          <w:lang w:eastAsia="zh-CN"/>
        </w:rPr>
        <w:t xml:space="preserve">n </w:t>
      </w:r>
      <w:r>
        <w:rPr>
          <w:szCs w:val="22"/>
          <w:highlight w:val="none"/>
        </w:rPr>
        <w:t>RAN#</w:t>
      </w:r>
      <w:r>
        <w:rPr>
          <w:rFonts w:hint="eastAsia"/>
          <w:szCs w:val="22"/>
          <w:highlight w:val="none"/>
          <w:lang w:eastAsia="zh-CN"/>
        </w:rPr>
        <w:t>108</w:t>
      </w:r>
      <w:r>
        <w:rPr>
          <w:szCs w:val="22"/>
          <w:highlight w:val="none"/>
        </w:rPr>
        <w:t xml:space="preserve">, the technology study item for </w:t>
      </w:r>
      <w:r>
        <w:rPr>
          <w:rFonts w:hint="eastAsia"/>
          <w:szCs w:val="22"/>
          <w:highlight w:val="none"/>
          <w:lang w:eastAsia="zh-CN"/>
        </w:rPr>
        <w:t>6</w:t>
      </w:r>
      <w:r>
        <w:rPr>
          <w:szCs w:val="22"/>
          <w:highlight w:val="none"/>
        </w:rPr>
        <w:t>G</w:t>
      </w:r>
      <w:r>
        <w:rPr>
          <w:rFonts w:hint="eastAsia"/>
          <w:szCs w:val="22"/>
          <w:highlight w:val="none"/>
          <w:lang w:eastAsia="zh-CN"/>
        </w:rPr>
        <w:t xml:space="preserve"> radio (6GR)</w:t>
      </w:r>
      <w:r>
        <w:rPr>
          <w:szCs w:val="22"/>
          <w:highlight w:val="none"/>
        </w:rPr>
        <w:t xml:space="preserve"> has been approved</w:t>
      </w:r>
      <w:r>
        <w:rPr>
          <w:rFonts w:hint="eastAsia"/>
          <w:szCs w:val="22"/>
          <w:highlight w:val="none"/>
          <w:lang w:eastAsia="zh-CN"/>
        </w:rPr>
        <w:t xml:space="preserve"> [1]</w:t>
      </w:r>
      <w:r>
        <w:rPr>
          <w:szCs w:val="22"/>
          <w:highlight w:val="none"/>
        </w:rPr>
        <w:t xml:space="preserve">. </w:t>
      </w:r>
      <w:r>
        <w:rPr>
          <w:rFonts w:hint="eastAsia"/>
          <w:highlight w:val="none"/>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show our initial analysis on modulation.</w:t>
      </w:r>
    </w:p>
    <w:p w14:paraId="3C04DC75">
      <w:pPr>
        <w:pStyle w:val="2"/>
        <w:jc w:val="both"/>
        <w:rPr>
          <w:rFonts w:hint="default" w:eastAsia="宋体"/>
          <w:highlight w:val="none"/>
          <w:lang w:val="en-US" w:eastAsia="zh-CN"/>
        </w:rPr>
      </w:pPr>
      <w:bookmarkStart w:id="11" w:name="OLE_LINK3"/>
      <w:r>
        <w:rPr>
          <w:rFonts w:hint="eastAsia" w:eastAsia="宋体"/>
          <w:highlight w:val="none"/>
          <w:lang w:val="en-US" w:eastAsia="zh-CN"/>
        </w:rPr>
        <w:t>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FCF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09F2E1">
            <w:pPr>
              <w:pStyle w:val="26"/>
              <w:numPr>
                <w:ilvl w:val="0"/>
                <w:numId w:val="2"/>
              </w:numPr>
              <w:overflowPunct/>
              <w:autoSpaceDE/>
              <w:autoSpaceDN/>
              <w:adjustRightInd/>
              <w:spacing w:after="120"/>
              <w:ind w:left="720" w:firstLineChars="0"/>
              <w:textAlignment w:val="auto"/>
              <w:rPr>
                <w:rFonts w:eastAsia="宋体"/>
                <w:szCs w:val="24"/>
                <w:highlight w:val="none"/>
                <w:lang w:eastAsia="zh-CN"/>
              </w:rPr>
            </w:pPr>
            <w:r>
              <w:rPr>
                <w:rFonts w:eastAsia="宋体"/>
                <w:szCs w:val="24"/>
                <w:highlight w:val="none"/>
                <w:lang w:eastAsia="zh-CN"/>
              </w:rPr>
              <w:t>Agreement</w:t>
            </w:r>
          </w:p>
          <w:p w14:paraId="78F0F757">
            <w:pPr>
              <w:pStyle w:val="26"/>
              <w:numPr>
                <w:ilvl w:val="1"/>
                <w:numId w:val="2"/>
              </w:numPr>
              <w:spacing w:after="120"/>
              <w:ind w:firstLineChars="0"/>
              <w:jc w:val="both"/>
              <w:rPr>
                <w:rFonts w:eastAsia="宋体"/>
                <w:szCs w:val="24"/>
                <w:highlight w:val="none"/>
                <w:lang w:eastAsia="zh-CN"/>
              </w:rPr>
            </w:pPr>
            <w:r>
              <w:rPr>
                <w:rFonts w:hint="eastAsia" w:eastAsia="宋体"/>
                <w:szCs w:val="24"/>
                <w:highlight w:val="none"/>
                <w:lang w:eastAsia="zh-CN"/>
              </w:rPr>
              <w:t>R</w:t>
            </w:r>
            <w:r>
              <w:rPr>
                <w:rFonts w:eastAsia="宋体"/>
                <w:szCs w:val="24"/>
                <w:highlight w:val="none"/>
                <w:lang w:eastAsia="zh-CN"/>
              </w:rPr>
              <w:t xml:space="preserve">AN4 evaluation work focus on the feasibility study and RF requirements impact </w:t>
            </w:r>
          </w:p>
          <w:p w14:paraId="2DB757EA">
            <w:pPr>
              <w:pStyle w:val="26"/>
              <w:numPr>
                <w:ilvl w:val="1"/>
                <w:numId w:val="2"/>
              </w:numPr>
              <w:spacing w:after="120"/>
              <w:ind w:firstLineChars="0"/>
              <w:jc w:val="both"/>
              <w:rPr>
                <w:rFonts w:eastAsia="宋体"/>
                <w:szCs w:val="24"/>
                <w:highlight w:val="none"/>
                <w:lang w:eastAsia="zh-CN"/>
              </w:rPr>
            </w:pPr>
            <w:r>
              <w:rPr>
                <w:rFonts w:eastAsia="宋体"/>
                <w:szCs w:val="24"/>
                <w:highlight w:val="none"/>
                <w:lang w:eastAsia="zh-CN"/>
              </w:rPr>
              <w:t>To establish the foundational evaluation framework in RAN4 firstly when no solid progress and inputs from RAN1</w:t>
            </w:r>
          </w:p>
          <w:p w14:paraId="56FF8568">
            <w:pPr>
              <w:pStyle w:val="26"/>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I</w:t>
            </w:r>
            <w:r>
              <w:rPr>
                <w:rFonts w:eastAsia="宋体"/>
                <w:szCs w:val="24"/>
                <w:highlight w:val="none"/>
                <w:lang w:eastAsia="zh-CN"/>
              </w:rPr>
              <w:t>dentify the main affected requirements for modulation evaluations</w:t>
            </w:r>
          </w:p>
          <w:p w14:paraId="3D9FF41F">
            <w:pPr>
              <w:pStyle w:val="26"/>
              <w:numPr>
                <w:ilvl w:val="3"/>
                <w:numId w:val="2"/>
              </w:numPr>
              <w:spacing w:after="120"/>
              <w:ind w:firstLineChars="0"/>
              <w:jc w:val="both"/>
              <w:rPr>
                <w:rFonts w:eastAsia="宋体"/>
                <w:szCs w:val="24"/>
                <w:highlight w:val="none"/>
                <w:lang w:eastAsia="zh-CN"/>
              </w:rPr>
            </w:pPr>
            <w:r>
              <w:rPr>
                <w:rFonts w:eastAsia="宋体"/>
                <w:szCs w:val="24"/>
                <w:highlight w:val="none"/>
                <w:lang w:eastAsia="zh-CN"/>
              </w:rPr>
              <w:t xml:space="preserve"> The existing 5G NR requirements will serve as the baseline, which are subject to future updates based on RAN4’s 6G UE RF discussions.</w:t>
            </w:r>
          </w:p>
          <w:p w14:paraId="79E43704">
            <w:pPr>
              <w:pStyle w:val="26"/>
              <w:numPr>
                <w:ilvl w:val="2"/>
                <w:numId w:val="2"/>
              </w:numPr>
              <w:spacing w:after="120"/>
              <w:ind w:firstLineChars="0"/>
              <w:jc w:val="both"/>
              <w:rPr>
                <w:rFonts w:eastAsia="宋体"/>
                <w:szCs w:val="24"/>
                <w:highlight w:val="none"/>
                <w:lang w:eastAsia="zh-CN"/>
              </w:rPr>
            </w:pPr>
            <w:r>
              <w:rPr>
                <w:rFonts w:eastAsia="宋体"/>
                <w:szCs w:val="24"/>
                <w:highlight w:val="none"/>
                <w:lang w:eastAsia="zh-CN"/>
              </w:rPr>
              <w:t>Align on the evaluation assumptions.</w:t>
            </w:r>
          </w:p>
          <w:p w14:paraId="0F4B2AC2">
            <w:pPr>
              <w:pStyle w:val="26"/>
              <w:numPr>
                <w:ilvl w:val="2"/>
                <w:numId w:val="2"/>
              </w:numPr>
              <w:spacing w:after="120"/>
              <w:ind w:firstLineChars="0"/>
              <w:jc w:val="both"/>
              <w:rPr>
                <w:rFonts w:eastAsia="宋体"/>
                <w:szCs w:val="24"/>
                <w:highlight w:val="none"/>
                <w:lang w:eastAsia="zh-CN"/>
              </w:rPr>
            </w:pPr>
            <w:r>
              <w:rPr>
                <w:rFonts w:eastAsia="宋体"/>
                <w:szCs w:val="24"/>
                <w:highlight w:val="none"/>
                <w:lang w:eastAsia="zh-CN"/>
              </w:rPr>
              <w:t xml:space="preserve">Study on how to align on the transmitter chain model, including PA model, for consistent evaluations on the modulation. </w:t>
            </w:r>
          </w:p>
          <w:p w14:paraId="03C16062">
            <w:pPr>
              <w:pStyle w:val="26"/>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R</w:t>
            </w:r>
            <w:r>
              <w:rPr>
                <w:rFonts w:eastAsia="宋体"/>
                <w:szCs w:val="24"/>
                <w:highlight w:val="none"/>
                <w:lang w:eastAsia="zh-CN"/>
              </w:rPr>
              <w:t>F evaluation could be done firstly for 5G supported modulations with new assumptions for 6G study, such as assumed new spectrum, CBW, new PA models, etc. Co-ordination with 6G UE RF study is needed.</w:t>
            </w:r>
          </w:p>
          <w:p w14:paraId="2C9B4C85">
            <w:pPr>
              <w:pStyle w:val="26"/>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B</w:t>
            </w:r>
            <w:r>
              <w:rPr>
                <w:rFonts w:eastAsia="宋体"/>
                <w:szCs w:val="24"/>
                <w:highlight w:val="none"/>
                <w:lang w:eastAsia="zh-CN"/>
              </w:rPr>
              <w:t>oth link-level and system-level simulations should be performed as usual for high-order modulations study done by RAN4 in prior releases, pending on the progress of RAN1.</w:t>
            </w:r>
          </w:p>
          <w:p w14:paraId="620947BE">
            <w:pPr>
              <w:pStyle w:val="26"/>
              <w:numPr>
                <w:ilvl w:val="1"/>
                <w:numId w:val="2"/>
              </w:numPr>
              <w:spacing w:after="120"/>
              <w:ind w:firstLineChars="0"/>
              <w:jc w:val="both"/>
              <w:rPr>
                <w:rFonts w:eastAsia="宋体"/>
                <w:szCs w:val="24"/>
                <w:highlight w:val="none"/>
                <w:lang w:eastAsia="zh-CN"/>
              </w:rPr>
            </w:pPr>
            <w:r>
              <w:rPr>
                <w:rFonts w:eastAsia="宋体"/>
                <w:szCs w:val="24"/>
                <w:highlight w:val="none"/>
                <w:lang w:eastAsia="zh-CN"/>
              </w:rPr>
              <w:t xml:space="preserve">Model and evaluate the performance and the implementation complexity of higher-order modulations, e.g. 1024QAM on the UL and/or new constellations </w:t>
            </w:r>
          </w:p>
          <w:p w14:paraId="3B034CA0">
            <w:pPr>
              <w:pStyle w:val="26"/>
              <w:numPr>
                <w:ilvl w:val="2"/>
                <w:numId w:val="2"/>
              </w:numPr>
              <w:spacing w:after="120"/>
              <w:ind w:firstLineChars="0"/>
              <w:jc w:val="both"/>
              <w:rPr>
                <w:rFonts w:eastAsia="宋体"/>
                <w:szCs w:val="24"/>
                <w:highlight w:val="none"/>
                <w:lang w:eastAsia="zh-CN"/>
              </w:rPr>
            </w:pPr>
            <w:r>
              <w:rPr>
                <w:rFonts w:eastAsia="宋体"/>
                <w:szCs w:val="24"/>
                <w:highlight w:val="none"/>
                <w:lang w:eastAsia="zh-CN"/>
              </w:rPr>
              <w:t>For high order QAM with uniform constellation, e.g. 1024QAM on the UL, RAN4 can work concurrently with RAN1 studies.</w:t>
            </w:r>
          </w:p>
          <w:p w14:paraId="6EF23B95">
            <w:pPr>
              <w:pStyle w:val="26"/>
              <w:numPr>
                <w:ilvl w:val="2"/>
                <w:numId w:val="2"/>
              </w:numPr>
              <w:spacing w:after="120"/>
              <w:ind w:firstLineChars="0"/>
              <w:jc w:val="both"/>
              <w:rPr>
                <w:rFonts w:hint="eastAsia"/>
                <w:highlight w:val="none"/>
                <w:vertAlign w:val="baseline"/>
                <w:lang w:val="en-US" w:eastAsia="zh-CN"/>
              </w:rPr>
            </w:pPr>
            <w:r>
              <w:rPr>
                <w:rFonts w:eastAsia="宋体"/>
                <w:szCs w:val="24"/>
                <w:highlight w:val="none"/>
                <w:lang w:eastAsia="zh-CN"/>
              </w:rPr>
              <w:t>For new non-uniform constellation, the evaluation in RAN4 should depend on RAN1 progress and request.</w:t>
            </w:r>
          </w:p>
        </w:tc>
      </w:tr>
      <w:tr w14:paraId="259D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7AB32B4">
            <w:pPr>
              <w:rPr>
                <w:rFonts w:eastAsia="等线"/>
                <w:highlight w:val="none"/>
                <w:lang w:eastAsia="zh-CN"/>
              </w:rPr>
            </w:pPr>
            <w:r>
              <w:rPr>
                <w:rFonts w:hint="eastAsia" w:eastAsia="等线"/>
                <w:highlight w:val="none"/>
                <w:lang w:eastAsia="zh-CN"/>
              </w:rPr>
              <w:t>Agreement</w:t>
            </w:r>
          </w:p>
          <w:p w14:paraId="412471C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For 6GR constellation shaping evaluation for DFT-s-OFDM,</w:t>
            </w:r>
            <w:r>
              <w:rPr>
                <w:rFonts w:hint="eastAsia" w:eastAsiaTheme="minorEastAsia"/>
                <w:color w:val="000000" w:themeColor="text1"/>
                <w:highlight w:val="none"/>
                <w:lang w:eastAsia="zh-CN"/>
                <w14:textFill>
                  <w14:solidFill>
                    <w14:schemeClr w14:val="tx1"/>
                  </w14:solidFill>
                </w14:textFill>
              </w:rPr>
              <w:t xml:space="preserve"> and improved MCS table,</w:t>
            </w:r>
            <w:r>
              <w:rPr>
                <w:color w:val="000000" w:themeColor="text1"/>
                <w:highlight w:val="none"/>
                <w14:textFill>
                  <w14:solidFill>
                    <w14:schemeClr w14:val="tx1"/>
                  </w14:solidFill>
                </w14:textFill>
              </w:rPr>
              <w:t xml:space="preserve"> the proposed scheme will be compared with non-shaping with NR MCS table. In addition to what has been agreed for CP-OFDM in earlier agreement, the evaluation and comparison should further consider at least the following:</w:t>
            </w:r>
          </w:p>
          <w:p w14:paraId="2E2E009D">
            <w:pPr>
              <w:pStyle w:val="26"/>
              <w:numPr>
                <w:ilvl w:val="0"/>
                <w:numId w:val="3"/>
              </w:numPr>
              <w:overflowPunct w:val="0"/>
              <w:autoSpaceDE w:val="0"/>
              <w:autoSpaceDN w:val="0"/>
              <w:adjustRightInd w:val="0"/>
              <w:spacing w:after="180"/>
              <w:ind w:left="720" w:leftChars="0"/>
              <w:contextualSpacing/>
              <w:textAlignment w:val="baseline"/>
              <w:rPr>
                <w:color w:val="000000" w:themeColor="text1"/>
                <w:highlight w:val="none"/>
                <w14:textFill>
                  <w14:solidFill>
                    <w14:schemeClr w14:val="tx1"/>
                  </w14:solidFill>
                </w14:textFill>
              </w:rPr>
            </w:pPr>
            <w:r>
              <w:rPr>
                <w:rFonts w:hint="eastAsia"/>
                <w:iCs/>
                <w:color w:val="000000" w:themeColor="text1"/>
                <w:highlight w:val="none"/>
                <w:lang w:val="en-US" w:eastAsia="zh-CN"/>
                <w14:textFill>
                  <w14:solidFill>
                    <w14:schemeClr w14:val="tx1"/>
                  </w14:solidFill>
                </w14:textFill>
              </w:rPr>
              <w:t>PAPR/CM</w:t>
            </w:r>
            <w:r>
              <w:rPr>
                <w:iCs/>
                <w:color w:val="000000" w:themeColor="text1"/>
                <w:highlight w:val="none"/>
                <w:lang w:val="en-US" w:eastAsia="zh-CN"/>
                <w14:textFill>
                  <w14:solidFill>
                    <w14:schemeClr w14:val="tx1"/>
                  </w14:solidFill>
                </w14:textFill>
              </w:rPr>
              <w:t xml:space="preserve"> of the resulting waveform</w:t>
            </w:r>
          </w:p>
          <w:p w14:paraId="35DA63A6">
            <w:pPr>
              <w:pStyle w:val="26"/>
              <w:numPr>
                <w:ilvl w:val="0"/>
                <w:numId w:val="3"/>
              </w:numPr>
              <w:overflowPunct w:val="0"/>
              <w:autoSpaceDE w:val="0"/>
              <w:autoSpaceDN w:val="0"/>
              <w:adjustRightInd w:val="0"/>
              <w:spacing w:after="180"/>
              <w:ind w:left="720" w:leftChars="0"/>
              <w:contextualSpacing/>
              <w:textAlignment w:val="baseline"/>
              <w:rPr>
                <w:color w:val="000000" w:themeColor="text1"/>
                <w:highlight w:val="none"/>
                <w14:textFill>
                  <w14:solidFill>
                    <w14:schemeClr w14:val="tx1"/>
                  </w14:solidFill>
                </w14:textFill>
              </w:rPr>
            </w:pPr>
            <w:r>
              <w:rPr>
                <w:highlight w:val="none"/>
              </w:rPr>
              <w:t>EVM, MPR/A-MPR</w:t>
            </w:r>
          </w:p>
          <w:p w14:paraId="44BCD543">
            <w:pPr>
              <w:rPr>
                <w:rFonts w:eastAsia="等线"/>
                <w:highlight w:val="none"/>
                <w:lang w:eastAsia="zh-CN"/>
              </w:rPr>
            </w:pPr>
            <w:r>
              <w:rPr>
                <w:rFonts w:hint="eastAsia" w:eastAsia="等线"/>
                <w:highlight w:val="none"/>
                <w:lang w:eastAsia="zh-CN"/>
              </w:rPr>
              <w:t>Agreement</w:t>
            </w:r>
          </w:p>
          <w:p w14:paraId="408D5AF5">
            <w:pPr>
              <w:rPr>
                <w:highlight w:val="none"/>
              </w:rPr>
            </w:pPr>
            <w:r>
              <w:rPr>
                <w:highlight w:val="none"/>
              </w:rPr>
              <w:t xml:space="preserve">For the study of uniform 4096QAM for DL and uniform 1024QAM for UL, need to study performance </w:t>
            </w:r>
            <w:r>
              <w:rPr>
                <w:rFonts w:hint="eastAsia" w:eastAsiaTheme="minorEastAsia"/>
                <w:highlight w:val="none"/>
                <w:lang w:eastAsia="zh-CN"/>
              </w:rPr>
              <w:t>(assuming</w:t>
            </w:r>
            <w:r>
              <w:rPr>
                <w:highlight w:val="none"/>
              </w:rPr>
              <w:t xml:space="preserve"> realistic channel estimation, time/freq synchronization assumption, phase noise assumption</w:t>
            </w:r>
            <w:r>
              <w:rPr>
                <w:rFonts w:hint="eastAsia" w:eastAsiaTheme="minorEastAsia"/>
                <w:highlight w:val="none"/>
                <w:lang w:eastAsia="zh-CN"/>
              </w:rPr>
              <w:t>, etc</w:t>
            </w:r>
            <w:r>
              <w:rPr>
                <w:highlight w:val="none"/>
              </w:rPr>
              <w:t>), complexity/power consumption, requirements, benefit/necessity under applicable scenarios, associated restrictions, and challenges (such as EVM requirement, PAPR increase, MPR or A-MPR increase</w:t>
            </w:r>
            <w:r>
              <w:rPr>
                <w:rFonts w:hint="eastAsia" w:eastAsiaTheme="minorEastAsia"/>
                <w:highlight w:val="none"/>
                <w:lang w:eastAsia="zh-CN"/>
              </w:rPr>
              <w:t xml:space="preserve"> under realistic PA model</w:t>
            </w:r>
            <w:r>
              <w:rPr>
                <w:highlight w:val="none"/>
              </w:rPr>
              <w:t>).</w:t>
            </w:r>
          </w:p>
          <w:p w14:paraId="09E72ED7">
            <w:pPr>
              <w:pStyle w:val="26"/>
              <w:numPr>
                <w:ilvl w:val="0"/>
                <w:numId w:val="4"/>
              </w:numPr>
              <w:overflowPunct w:val="0"/>
              <w:autoSpaceDE w:val="0"/>
              <w:autoSpaceDN w:val="0"/>
              <w:adjustRightInd w:val="0"/>
              <w:spacing w:after="180"/>
              <w:ind w:leftChars="0"/>
              <w:contextualSpacing/>
              <w:textAlignment w:val="baseline"/>
              <w:rPr>
                <w:highlight w:val="none"/>
              </w:rPr>
            </w:pPr>
            <w:r>
              <w:rPr>
                <w:highlight w:val="none"/>
              </w:rPr>
              <w:t>FFS: How to involve RAN4 early</w:t>
            </w:r>
          </w:p>
          <w:p w14:paraId="7F6B9B44">
            <w:pPr>
              <w:pStyle w:val="26"/>
              <w:numPr>
                <w:ilvl w:val="0"/>
                <w:numId w:val="4"/>
              </w:numPr>
              <w:overflowPunct w:val="0"/>
              <w:autoSpaceDE w:val="0"/>
              <w:autoSpaceDN w:val="0"/>
              <w:adjustRightInd w:val="0"/>
              <w:spacing w:after="180"/>
              <w:ind w:leftChars="0"/>
              <w:contextualSpacing/>
              <w:textAlignment w:val="baseline"/>
              <w:rPr>
                <w:highlight w:val="none"/>
              </w:rPr>
            </w:pPr>
            <w:r>
              <w:rPr>
                <w:rFonts w:hint="eastAsia" w:eastAsiaTheme="minorEastAsia"/>
                <w:highlight w:val="none"/>
                <w:lang w:eastAsia="zh-CN"/>
              </w:rPr>
              <w:t>FFS: Shaping of higher order modulation</w:t>
            </w:r>
          </w:p>
          <w:p w14:paraId="7E166FC7">
            <w:pPr>
              <w:pStyle w:val="26"/>
              <w:numPr>
                <w:ilvl w:val="0"/>
                <w:numId w:val="4"/>
              </w:numPr>
              <w:overflowPunct w:val="0"/>
              <w:autoSpaceDE w:val="0"/>
              <w:autoSpaceDN w:val="0"/>
              <w:adjustRightInd w:val="0"/>
              <w:spacing w:after="180"/>
              <w:ind w:leftChars="0"/>
              <w:contextualSpacing/>
              <w:textAlignment w:val="baseline"/>
              <w:rPr>
                <w:rFonts w:eastAsia="宋体"/>
                <w:szCs w:val="24"/>
                <w:highlight w:val="none"/>
                <w:lang w:eastAsia="zh-CN"/>
              </w:rPr>
            </w:pPr>
            <w:r>
              <w:rPr>
                <w:highlight w:val="none"/>
              </w:rPr>
              <w:t xml:space="preserve">System level evaluation can be done after link level evaluation. </w:t>
            </w:r>
          </w:p>
        </w:tc>
      </w:tr>
    </w:tbl>
    <w:p w14:paraId="1FC6704C">
      <w:pPr>
        <w:rPr>
          <w:rFonts w:hint="eastAsia"/>
          <w:highlight w:val="none"/>
          <w:lang w:val="en-US" w:eastAsia="zh-CN"/>
        </w:rPr>
      </w:pPr>
    </w:p>
    <w:p w14:paraId="078B75F8">
      <w:pPr>
        <w:rPr>
          <w:rFonts w:hint="default"/>
          <w:highlight w:val="none"/>
          <w:lang w:val="en-US" w:eastAsia="zh-CN"/>
        </w:rPr>
      </w:pPr>
      <w:r>
        <w:rPr>
          <w:rFonts w:hint="eastAsia"/>
          <w:lang w:val="en-US" w:eastAsia="zh-CN"/>
        </w:rPr>
        <w:t>The EVM value comes from R8 for QPSK and 16 QAM and comes from R15 for 256QAM. Since then, there have been no more updates. At the beginning of 6G, it</w:t>
      </w:r>
      <w:r>
        <w:rPr>
          <w:rFonts w:hint="default"/>
          <w:lang w:val="en-US" w:eastAsia="zh-CN"/>
        </w:rPr>
        <w:t>’</w:t>
      </w:r>
      <w:r>
        <w:rPr>
          <w:rFonts w:hint="eastAsia"/>
          <w:lang w:val="en-US" w:eastAsia="zh-CN"/>
        </w:rPr>
        <w:t>s suggested to re-evaluate the EVM for all existing modulation schemes which can be done in RAN4 if there is no concrete LS from RAN1 to establish the foundational evaluation framework in RAN4.</w:t>
      </w:r>
    </w:p>
    <w:p w14:paraId="5C831DF3">
      <w:pPr>
        <w:spacing w:after="120" w:afterLines="50"/>
        <w:ind w:right="-99"/>
        <w:rPr>
          <w:rFonts w:hint="eastAsia"/>
          <w:lang w:eastAsia="zh-CN"/>
        </w:rPr>
      </w:pPr>
      <w:r>
        <w:rPr>
          <w:rFonts w:hint="eastAsia"/>
          <w:lang w:eastAsia="zh-CN"/>
        </w:rPr>
        <w:t>EVM requirement is related to two aspects. One is the performance</w:t>
      </w:r>
      <w:r>
        <w:rPr>
          <w:rFonts w:hint="eastAsia"/>
          <w:lang w:val="en-US" w:eastAsia="zh-CN"/>
        </w:rPr>
        <w:t xml:space="preserve"> which benefit from lower EVM by expanding the operating SNR range such that higher MCS and higher data rate can be supported, such performance can be evaluated by system level and link level simulation</w:t>
      </w:r>
      <w:r>
        <w:rPr>
          <w:rFonts w:hint="eastAsia"/>
          <w:lang w:eastAsia="zh-CN"/>
        </w:rPr>
        <w:t>. The other aspect is the limitation of UE RF implementation</w:t>
      </w:r>
      <w:r>
        <w:rPr>
          <w:rFonts w:hint="eastAsia"/>
          <w:lang w:val="en-US" w:eastAsia="zh-CN"/>
        </w:rPr>
        <w:t xml:space="preserve"> which</w:t>
      </w:r>
      <w:r>
        <w:rPr>
          <w:rFonts w:hint="eastAsia"/>
          <w:lang w:eastAsia="zh-CN"/>
        </w:rPr>
        <w:t xml:space="preserve"> depends on RA non-linearity, the phase noise, CFR distortion</w:t>
      </w:r>
      <w:r>
        <w:rPr>
          <w:lang w:eastAsia="zh-CN"/>
        </w:rPr>
        <w:t>…</w:t>
      </w:r>
      <w:r>
        <w:rPr>
          <w:rFonts w:hint="eastAsia"/>
          <w:lang w:val="en-US" w:eastAsia="zh-CN"/>
        </w:rPr>
        <w:t>the</w:t>
      </w:r>
      <w:r>
        <w:rPr>
          <w:rFonts w:hint="eastAsia"/>
          <w:lang w:eastAsia="zh-CN"/>
        </w:rPr>
        <w:t xml:space="preserve"> lower EVM means the increase of cost. </w:t>
      </w:r>
      <w:r>
        <w:rPr>
          <w:lang w:eastAsia="zh-CN"/>
        </w:rPr>
        <w:t>S</w:t>
      </w:r>
      <w:r>
        <w:rPr>
          <w:rFonts w:hint="eastAsia"/>
          <w:lang w:eastAsia="zh-CN"/>
        </w:rPr>
        <w:t>o the proper EVM value for requirement is a trade-off between them</w:t>
      </w:r>
      <w:r>
        <w:rPr>
          <w:rFonts w:hint="eastAsia"/>
          <w:lang w:val="en-US" w:eastAsia="zh-CN"/>
        </w:rPr>
        <w:t>. Such RF implementation can be evaluated by EVM budget based on RF non-linearity</w:t>
      </w:r>
      <w:r>
        <w:rPr>
          <w:rFonts w:hint="eastAsia"/>
          <w:lang w:eastAsia="zh-CN"/>
        </w:rPr>
        <w:t>.</w:t>
      </w:r>
    </w:p>
    <w:p w14:paraId="1D192303">
      <w:pPr>
        <w:spacing w:after="120" w:afterLines="50"/>
        <w:ind w:right="-99"/>
        <w:rPr>
          <w:rFonts w:hint="eastAsia"/>
          <w:lang w:val="en-US" w:eastAsia="zh-CN"/>
        </w:rPr>
      </w:pPr>
      <w:r>
        <w:rPr>
          <w:rFonts w:hint="eastAsia"/>
          <w:lang w:val="en-US" w:eastAsia="zh-CN"/>
        </w:rPr>
        <w:t>For the system level performance, some companies use 5% throughput loss based on averaged MCS as performance metric[7,8] while others use their own performance metric, e.g. the throughput loss compared with lower order modulation scheme with the same EVM [6]. for 6G, at the beginning of study, it</w:t>
      </w:r>
      <w:r>
        <w:rPr>
          <w:rFonts w:hint="default"/>
          <w:lang w:val="en-US" w:eastAsia="zh-CN"/>
        </w:rPr>
        <w:t>’</w:t>
      </w:r>
      <w:r>
        <w:rPr>
          <w:rFonts w:hint="eastAsia"/>
          <w:lang w:val="en-US" w:eastAsia="zh-CN"/>
        </w:rPr>
        <w:t xml:space="preserve">s suggested to unify performance metric for the system level simulation, e.g. use 5% throughput loss based on averaged MCS. </w:t>
      </w:r>
    </w:p>
    <w:p w14:paraId="0742886D">
      <w:pPr>
        <w:spacing w:after="120" w:afterLines="50"/>
        <w:ind w:right="-99"/>
        <w:rPr>
          <w:rFonts w:hint="eastAsia"/>
          <w:lang w:val="en-US" w:eastAsia="zh-CN"/>
        </w:rPr>
      </w:pPr>
      <w:r>
        <w:rPr>
          <w:rFonts w:hint="eastAsia"/>
          <w:lang w:val="en-US" w:eastAsia="zh-CN"/>
        </w:rPr>
        <w:t>For the link level performance, some companies use marginal performance loss at certain relative throughput e.g. 70% - 90% compared to the performance when EVM is 0% just like what is used for demodulation simulation. Such methodology can be used as baseline.</w:t>
      </w:r>
    </w:p>
    <w:p w14:paraId="4933A7B8">
      <w:pPr>
        <w:spacing w:after="120" w:afterLines="50"/>
        <w:ind w:right="-99"/>
        <w:rPr>
          <w:rFonts w:hint="eastAsia"/>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suggested to implement unified performance metric for EVM system level and link level simulation.</w:t>
      </w:r>
    </w:p>
    <w:p w14:paraId="4CEFB8A1">
      <w:pPr>
        <w:numPr>
          <w:ilvl w:val="0"/>
          <w:numId w:val="5"/>
        </w:numPr>
        <w:spacing w:after="120" w:afterLines="50"/>
        <w:ind w:left="936" w:leftChars="0" w:right="-99" w:hanging="360" w:firstLineChars="0"/>
        <w:rPr>
          <w:rFonts w:hint="eastAsia"/>
          <w:b/>
          <w:bCs/>
          <w:lang w:val="en-US" w:eastAsia="zh-CN"/>
        </w:rPr>
      </w:pPr>
      <w:r>
        <w:rPr>
          <w:rFonts w:hint="eastAsia"/>
          <w:b/>
          <w:bCs/>
          <w:lang w:val="en-US" w:eastAsia="zh-CN"/>
        </w:rPr>
        <w:t>For system level, the metric should be 5% throughput loss across all MCS</w:t>
      </w:r>
    </w:p>
    <w:p w14:paraId="432537BC">
      <w:pPr>
        <w:numPr>
          <w:ilvl w:val="0"/>
          <w:numId w:val="5"/>
        </w:numPr>
        <w:spacing w:after="120" w:afterLines="50"/>
        <w:ind w:left="936" w:leftChars="0" w:right="-99" w:hanging="360" w:firstLineChars="0"/>
        <w:rPr>
          <w:rFonts w:hint="default"/>
          <w:b/>
          <w:bCs/>
          <w:lang w:val="en-US" w:eastAsia="zh-CN"/>
        </w:rPr>
      </w:pPr>
      <w:r>
        <w:rPr>
          <w:rFonts w:hint="eastAsia"/>
          <w:b/>
          <w:bCs/>
          <w:lang w:val="en-US" w:eastAsia="zh-CN"/>
        </w:rPr>
        <w:t xml:space="preserve">For link level, the metric should be the marginal performance loss (e.g. 1dB) at a relative throughput range (e.g. 70% -90%) compared to the performance with 0% EVM. </w:t>
      </w:r>
    </w:p>
    <w:p w14:paraId="6E12CD88">
      <w:pPr>
        <w:spacing w:after="120" w:afterLines="50"/>
        <w:ind w:right="-99"/>
        <w:rPr>
          <w:rFonts w:hint="eastAsia"/>
          <w:highlight w:val="none"/>
          <w:lang w:val="en-US" w:eastAsia="zh-CN"/>
        </w:rPr>
      </w:pPr>
      <w:r>
        <w:rPr>
          <w:rFonts w:hint="eastAsia"/>
          <w:lang w:val="en-US" w:eastAsia="zh-CN"/>
        </w:rPr>
        <w:t>For the EVM budget based on RF non-linearity, f</w:t>
      </w:r>
      <w:r>
        <w:rPr>
          <w:rFonts w:hint="eastAsia"/>
          <w:highlight w:val="none"/>
          <w:lang w:val="en-US" w:eastAsia="zh-CN"/>
        </w:rPr>
        <w:t>ollowing list the value as summarized in [5] for the EVM budget.</w:t>
      </w:r>
    </w:p>
    <w:p w14:paraId="7EFA98D8">
      <w:pPr>
        <w:pStyle w:val="11"/>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Style w:val="17"/>
        <w:tblW w:w="6379" w:type="dxa"/>
        <w:jc w:val="center"/>
        <w:tblLayout w:type="autofit"/>
        <w:tblCellMar>
          <w:top w:w="0" w:type="dxa"/>
          <w:left w:w="108" w:type="dxa"/>
          <w:bottom w:w="0" w:type="dxa"/>
          <w:right w:w="108" w:type="dxa"/>
        </w:tblCellMar>
      </w:tblPr>
      <w:tblGrid>
        <w:gridCol w:w="2320"/>
        <w:gridCol w:w="941"/>
        <w:gridCol w:w="992"/>
        <w:gridCol w:w="1134"/>
        <w:gridCol w:w="992"/>
      </w:tblGrid>
      <w:tr w14:paraId="49648482">
        <w:tblPrEx>
          <w:tblCellMar>
            <w:top w:w="0" w:type="dxa"/>
            <w:left w:w="108" w:type="dxa"/>
            <w:bottom w:w="0" w:type="dxa"/>
            <w:right w:w="108" w:type="dxa"/>
          </w:tblCellMar>
        </w:tblPrEx>
        <w:trPr>
          <w:trHeight w:val="255" w:hRule="atLeast"/>
          <w:jc w:val="center"/>
        </w:trPr>
        <w:tc>
          <w:tcPr>
            <w:tcW w:w="2320" w:type="dxa"/>
            <w:vMerge w:val="restart"/>
            <w:tcBorders>
              <w:top w:val="single" w:color="auto" w:sz="4" w:space="0"/>
              <w:left w:val="single" w:color="auto" w:sz="4" w:space="0"/>
              <w:bottom w:val="double" w:color="000000" w:sz="6" w:space="0"/>
              <w:right w:val="single" w:color="auto" w:sz="4" w:space="0"/>
            </w:tcBorders>
            <w:shd w:val="clear" w:color="auto" w:fill="auto"/>
            <w:noWrap/>
            <w:vAlign w:val="center"/>
          </w:tcPr>
          <w:p w14:paraId="0DE01057">
            <w:pPr>
              <w:spacing w:after="0"/>
              <w:jc w:val="center"/>
              <w:rPr>
                <w:rFonts w:ascii="Arial" w:hAnsi="Arial" w:cs="Arial"/>
                <w:sz w:val="16"/>
                <w:szCs w:val="16"/>
                <w:lang w:val="en-US"/>
              </w:rPr>
            </w:pPr>
            <w:r>
              <w:rPr>
                <w:rFonts w:ascii="Arial" w:hAnsi="Arial" w:cs="Arial"/>
                <w:sz w:val="16"/>
                <w:szCs w:val="16"/>
                <w:lang w:val="en-US"/>
              </w:rPr>
              <w:t>Non-linearity source</w:t>
            </w:r>
          </w:p>
        </w:tc>
        <w:tc>
          <w:tcPr>
            <w:tcW w:w="1933" w:type="dxa"/>
            <w:gridSpan w:val="2"/>
            <w:tcBorders>
              <w:top w:val="single" w:color="auto" w:sz="4" w:space="0"/>
              <w:left w:val="nil"/>
              <w:bottom w:val="single" w:color="auto" w:sz="4" w:space="0"/>
              <w:right w:val="single" w:color="auto" w:sz="4" w:space="0"/>
            </w:tcBorders>
            <w:shd w:val="clear" w:color="auto" w:fill="auto"/>
            <w:noWrap/>
            <w:vAlign w:val="bottom"/>
          </w:tcPr>
          <w:p w14:paraId="5804E774">
            <w:pPr>
              <w:spacing w:after="0"/>
              <w:jc w:val="center"/>
              <w:rPr>
                <w:rFonts w:ascii="Arial" w:hAnsi="Arial" w:cs="Arial"/>
                <w:sz w:val="16"/>
                <w:szCs w:val="16"/>
                <w:lang w:val="en-US"/>
              </w:rPr>
            </w:pPr>
            <w:r>
              <w:rPr>
                <w:rFonts w:ascii="Arial" w:hAnsi="Arial" w:cs="Arial"/>
                <w:sz w:val="16"/>
                <w:szCs w:val="16"/>
                <w:lang w:val="en-US"/>
              </w:rPr>
              <w:t>256QAM</w:t>
            </w:r>
          </w:p>
        </w:tc>
        <w:tc>
          <w:tcPr>
            <w:tcW w:w="2126" w:type="dxa"/>
            <w:gridSpan w:val="2"/>
            <w:tcBorders>
              <w:top w:val="single" w:color="auto" w:sz="4" w:space="0"/>
              <w:left w:val="nil"/>
              <w:bottom w:val="single" w:color="auto" w:sz="4" w:space="0"/>
              <w:right w:val="single" w:color="auto" w:sz="4" w:space="0"/>
            </w:tcBorders>
            <w:shd w:val="clear" w:color="auto" w:fill="auto"/>
            <w:noWrap/>
            <w:vAlign w:val="bottom"/>
          </w:tcPr>
          <w:p w14:paraId="50E47B38">
            <w:pPr>
              <w:spacing w:after="0"/>
              <w:jc w:val="center"/>
              <w:rPr>
                <w:rFonts w:ascii="Arial" w:hAnsi="Arial" w:cs="Arial"/>
                <w:sz w:val="16"/>
                <w:szCs w:val="16"/>
                <w:lang w:val="en-US"/>
              </w:rPr>
            </w:pPr>
            <w:r>
              <w:rPr>
                <w:rFonts w:ascii="Arial" w:hAnsi="Arial" w:cs="Arial"/>
                <w:sz w:val="16"/>
                <w:szCs w:val="16"/>
                <w:lang w:val="en-US"/>
              </w:rPr>
              <w:t>64QAM</w:t>
            </w:r>
          </w:p>
        </w:tc>
      </w:tr>
      <w:tr w14:paraId="6E23F251">
        <w:tblPrEx>
          <w:tblCellMar>
            <w:top w:w="0" w:type="dxa"/>
            <w:left w:w="108" w:type="dxa"/>
            <w:bottom w:w="0" w:type="dxa"/>
            <w:right w:w="108" w:type="dxa"/>
          </w:tblCellMar>
        </w:tblPrEx>
        <w:trPr>
          <w:trHeight w:val="270" w:hRule="atLeast"/>
          <w:jc w:val="center"/>
        </w:trPr>
        <w:tc>
          <w:tcPr>
            <w:tcW w:w="2320" w:type="dxa"/>
            <w:vMerge w:val="continue"/>
            <w:tcBorders>
              <w:top w:val="single" w:color="auto" w:sz="4" w:space="0"/>
              <w:left w:val="single" w:color="auto" w:sz="4" w:space="0"/>
              <w:bottom w:val="double" w:color="000000" w:sz="6" w:space="0"/>
              <w:right w:val="single" w:color="auto" w:sz="4" w:space="0"/>
            </w:tcBorders>
            <w:shd w:val="clear" w:color="auto" w:fill="auto"/>
            <w:noWrap w:val="0"/>
            <w:vAlign w:val="center"/>
          </w:tcPr>
          <w:p w14:paraId="7F6025D0">
            <w:pPr>
              <w:spacing w:after="0"/>
              <w:jc w:val="center"/>
              <w:rPr>
                <w:rFonts w:ascii="Arial" w:hAnsi="Arial" w:cs="Arial"/>
                <w:sz w:val="16"/>
                <w:szCs w:val="16"/>
                <w:lang w:val="en-US"/>
              </w:rPr>
            </w:pPr>
          </w:p>
        </w:tc>
        <w:tc>
          <w:tcPr>
            <w:tcW w:w="941" w:type="dxa"/>
            <w:tcBorders>
              <w:top w:val="nil"/>
              <w:left w:val="nil"/>
              <w:bottom w:val="double" w:color="auto" w:sz="6" w:space="0"/>
              <w:right w:val="single" w:color="auto" w:sz="4" w:space="0"/>
            </w:tcBorders>
            <w:shd w:val="clear" w:color="auto" w:fill="auto"/>
            <w:noWrap/>
            <w:vAlign w:val="bottom"/>
          </w:tcPr>
          <w:p w14:paraId="2F5C897C">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color="auto" w:sz="6" w:space="0"/>
              <w:right w:val="single" w:color="auto" w:sz="4" w:space="0"/>
            </w:tcBorders>
            <w:shd w:val="clear" w:color="auto" w:fill="auto"/>
            <w:noWrap/>
            <w:vAlign w:val="bottom"/>
          </w:tcPr>
          <w:p w14:paraId="4666D19F">
            <w:pPr>
              <w:spacing w:after="0"/>
              <w:jc w:val="center"/>
              <w:rPr>
                <w:rFonts w:ascii="Arial" w:hAnsi="Arial" w:cs="Arial"/>
                <w:sz w:val="16"/>
                <w:szCs w:val="16"/>
                <w:lang w:val="en-US"/>
              </w:rPr>
            </w:pPr>
            <w:r>
              <w:rPr>
                <w:rFonts w:ascii="Arial" w:hAnsi="Arial" w:cs="Arial"/>
                <w:sz w:val="16"/>
                <w:szCs w:val="16"/>
                <w:lang w:val="en-US"/>
              </w:rPr>
              <w:t>C/N</w:t>
            </w:r>
          </w:p>
        </w:tc>
        <w:tc>
          <w:tcPr>
            <w:tcW w:w="1134" w:type="dxa"/>
            <w:tcBorders>
              <w:top w:val="nil"/>
              <w:left w:val="nil"/>
              <w:bottom w:val="double" w:color="auto" w:sz="6" w:space="0"/>
              <w:right w:val="single" w:color="auto" w:sz="4" w:space="0"/>
            </w:tcBorders>
            <w:shd w:val="clear" w:color="auto" w:fill="auto"/>
            <w:noWrap/>
            <w:vAlign w:val="bottom"/>
          </w:tcPr>
          <w:p w14:paraId="5464B392">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color="auto" w:sz="6" w:space="0"/>
              <w:right w:val="single" w:color="auto" w:sz="4" w:space="0"/>
            </w:tcBorders>
            <w:shd w:val="clear" w:color="auto" w:fill="auto"/>
            <w:noWrap/>
            <w:vAlign w:val="bottom"/>
          </w:tcPr>
          <w:p w14:paraId="5379A631">
            <w:pPr>
              <w:spacing w:after="0"/>
              <w:jc w:val="center"/>
              <w:rPr>
                <w:rFonts w:ascii="Arial" w:hAnsi="Arial" w:cs="Arial"/>
                <w:sz w:val="16"/>
                <w:szCs w:val="16"/>
                <w:lang w:val="en-US"/>
              </w:rPr>
            </w:pPr>
            <w:r>
              <w:rPr>
                <w:rFonts w:ascii="Arial" w:hAnsi="Arial" w:cs="Arial"/>
                <w:sz w:val="16"/>
                <w:szCs w:val="16"/>
                <w:lang w:val="en-US"/>
              </w:rPr>
              <w:t>C/N</w:t>
            </w:r>
          </w:p>
        </w:tc>
      </w:tr>
      <w:tr w14:paraId="47BEEE4D">
        <w:tblPrEx>
          <w:tblCellMar>
            <w:top w:w="0" w:type="dxa"/>
            <w:left w:w="108" w:type="dxa"/>
            <w:bottom w:w="0" w:type="dxa"/>
            <w:right w:w="108" w:type="dxa"/>
          </w:tblCellMar>
        </w:tblPrEx>
        <w:trPr>
          <w:trHeight w:val="270" w:hRule="atLeast"/>
          <w:jc w:val="center"/>
        </w:trPr>
        <w:tc>
          <w:tcPr>
            <w:tcW w:w="2320" w:type="dxa"/>
            <w:tcBorders>
              <w:top w:val="nil"/>
              <w:left w:val="single" w:color="auto" w:sz="4" w:space="0"/>
              <w:bottom w:val="single" w:color="auto" w:sz="4" w:space="0"/>
              <w:right w:val="single" w:color="auto" w:sz="4" w:space="0"/>
            </w:tcBorders>
            <w:shd w:val="clear" w:color="auto" w:fill="auto"/>
            <w:noWrap/>
            <w:vAlign w:val="bottom"/>
          </w:tcPr>
          <w:p w14:paraId="3DD0CD12">
            <w:pPr>
              <w:spacing w:after="0"/>
              <w:jc w:val="center"/>
              <w:rPr>
                <w:rFonts w:ascii="Arial" w:hAnsi="Arial" w:cs="Arial"/>
                <w:sz w:val="16"/>
                <w:szCs w:val="16"/>
                <w:lang w:val="en-US"/>
              </w:rPr>
            </w:pPr>
            <w:r>
              <w:rPr>
                <w:rFonts w:ascii="Arial" w:hAnsi="Arial" w:cs="Arial"/>
                <w:sz w:val="16"/>
                <w:szCs w:val="16"/>
                <w:lang w:val="en-US"/>
              </w:rPr>
              <w:t>PA</w:t>
            </w:r>
          </w:p>
        </w:tc>
        <w:tc>
          <w:tcPr>
            <w:tcW w:w="941" w:type="dxa"/>
            <w:tcBorders>
              <w:top w:val="nil"/>
              <w:left w:val="nil"/>
              <w:bottom w:val="single" w:color="auto" w:sz="4" w:space="0"/>
              <w:right w:val="single" w:color="auto" w:sz="4" w:space="0"/>
            </w:tcBorders>
            <w:shd w:val="clear" w:color="auto" w:fill="auto"/>
            <w:noWrap/>
            <w:vAlign w:val="center"/>
          </w:tcPr>
          <w:p w14:paraId="4A2A0C05">
            <w:pPr>
              <w:spacing w:after="0"/>
              <w:jc w:val="center"/>
              <w:rPr>
                <w:rFonts w:ascii="Arial" w:hAnsi="Arial" w:cs="Arial"/>
                <w:sz w:val="16"/>
                <w:szCs w:val="16"/>
                <w:lang w:val="en-US"/>
              </w:rPr>
            </w:pPr>
            <w:r>
              <w:rPr>
                <w:rFonts w:ascii="Arial" w:hAnsi="Arial" w:cs="Arial"/>
                <w:sz w:val="16"/>
                <w:szCs w:val="16"/>
                <w:lang w:val="en-US"/>
              </w:rPr>
              <w:t>1.50%</w:t>
            </w:r>
          </w:p>
        </w:tc>
        <w:tc>
          <w:tcPr>
            <w:tcW w:w="992" w:type="dxa"/>
            <w:tcBorders>
              <w:top w:val="nil"/>
              <w:left w:val="nil"/>
              <w:bottom w:val="single" w:color="auto" w:sz="4" w:space="0"/>
              <w:right w:val="single" w:color="auto" w:sz="4" w:space="0"/>
            </w:tcBorders>
            <w:shd w:val="clear" w:color="auto" w:fill="auto"/>
            <w:noWrap/>
            <w:vAlign w:val="center"/>
          </w:tcPr>
          <w:p w14:paraId="02A3DA4F">
            <w:pPr>
              <w:spacing w:after="0"/>
              <w:jc w:val="center"/>
              <w:rPr>
                <w:rFonts w:ascii="Arial" w:hAnsi="Arial" w:cs="Arial"/>
                <w:sz w:val="16"/>
                <w:szCs w:val="16"/>
                <w:lang w:val="en-US"/>
              </w:rPr>
            </w:pPr>
            <w:r>
              <w:rPr>
                <w:rFonts w:ascii="Arial" w:hAnsi="Arial" w:cs="Arial"/>
                <w:sz w:val="16"/>
                <w:szCs w:val="16"/>
                <w:lang w:val="en-US"/>
              </w:rPr>
              <w:t>36.5</w:t>
            </w:r>
          </w:p>
        </w:tc>
        <w:tc>
          <w:tcPr>
            <w:tcW w:w="1134" w:type="dxa"/>
            <w:tcBorders>
              <w:top w:val="nil"/>
              <w:left w:val="nil"/>
              <w:bottom w:val="single" w:color="auto" w:sz="4" w:space="0"/>
              <w:right w:val="single" w:color="auto" w:sz="4" w:space="0"/>
            </w:tcBorders>
            <w:shd w:val="clear" w:color="auto" w:fill="auto"/>
            <w:noWrap/>
            <w:vAlign w:val="center"/>
          </w:tcPr>
          <w:p w14:paraId="5DEBA8FF">
            <w:pPr>
              <w:spacing w:after="0"/>
              <w:jc w:val="center"/>
              <w:rPr>
                <w:rFonts w:ascii="Arial" w:hAnsi="Arial" w:cs="Arial"/>
                <w:sz w:val="16"/>
                <w:szCs w:val="16"/>
                <w:lang w:val="en-US"/>
              </w:rPr>
            </w:pPr>
            <w:r>
              <w:rPr>
                <w:rFonts w:ascii="Arial" w:hAnsi="Arial" w:cs="Arial"/>
                <w:sz w:val="16"/>
                <w:szCs w:val="16"/>
                <w:lang w:val="en-US"/>
              </w:rPr>
              <w:t>4.00%</w:t>
            </w:r>
          </w:p>
        </w:tc>
        <w:tc>
          <w:tcPr>
            <w:tcW w:w="992" w:type="dxa"/>
            <w:tcBorders>
              <w:top w:val="nil"/>
              <w:left w:val="nil"/>
              <w:bottom w:val="single" w:color="auto" w:sz="4" w:space="0"/>
              <w:right w:val="single" w:color="auto" w:sz="4" w:space="0"/>
            </w:tcBorders>
            <w:shd w:val="clear" w:color="auto" w:fill="auto"/>
            <w:noWrap/>
            <w:vAlign w:val="center"/>
          </w:tcPr>
          <w:p w14:paraId="35ED8E8E">
            <w:pPr>
              <w:spacing w:after="0"/>
              <w:jc w:val="center"/>
              <w:rPr>
                <w:rFonts w:ascii="Arial" w:hAnsi="Arial" w:cs="Arial"/>
                <w:sz w:val="16"/>
                <w:szCs w:val="16"/>
                <w:lang w:val="en-US"/>
              </w:rPr>
            </w:pPr>
            <w:r>
              <w:rPr>
                <w:rFonts w:ascii="Arial" w:hAnsi="Arial" w:cs="Arial"/>
                <w:sz w:val="16"/>
                <w:szCs w:val="16"/>
                <w:lang w:val="en-US"/>
              </w:rPr>
              <w:t>28.0</w:t>
            </w:r>
          </w:p>
        </w:tc>
      </w:tr>
      <w:tr w14:paraId="065A12E2">
        <w:tblPrEx>
          <w:tblCellMar>
            <w:top w:w="0" w:type="dxa"/>
            <w:left w:w="108" w:type="dxa"/>
            <w:bottom w:w="0" w:type="dxa"/>
            <w:right w:w="108" w:type="dxa"/>
          </w:tblCellMar>
        </w:tblPrEx>
        <w:trPr>
          <w:trHeight w:val="255" w:hRule="atLeast"/>
          <w:jc w:val="center"/>
        </w:trPr>
        <w:tc>
          <w:tcPr>
            <w:tcW w:w="2320" w:type="dxa"/>
            <w:tcBorders>
              <w:top w:val="nil"/>
              <w:left w:val="single" w:color="auto" w:sz="4" w:space="0"/>
              <w:bottom w:val="single" w:color="auto" w:sz="4" w:space="0"/>
              <w:right w:val="single" w:color="auto" w:sz="4" w:space="0"/>
            </w:tcBorders>
            <w:shd w:val="clear" w:color="auto" w:fill="auto"/>
            <w:noWrap/>
            <w:vAlign w:val="bottom"/>
          </w:tcPr>
          <w:p w14:paraId="545B41E3">
            <w:pPr>
              <w:spacing w:after="0"/>
              <w:jc w:val="center"/>
              <w:rPr>
                <w:rFonts w:ascii="Arial" w:hAnsi="Arial" w:cs="Arial"/>
                <w:sz w:val="16"/>
                <w:szCs w:val="16"/>
                <w:lang w:val="en-US"/>
              </w:rPr>
            </w:pPr>
            <w:r>
              <w:rPr>
                <w:rFonts w:ascii="Arial" w:hAnsi="Arial" w:cs="Arial"/>
                <w:sz w:val="16"/>
                <w:szCs w:val="16"/>
                <w:lang w:val="en-US"/>
              </w:rPr>
              <w:t>Transmitter nonlinearity</w:t>
            </w:r>
          </w:p>
        </w:tc>
        <w:tc>
          <w:tcPr>
            <w:tcW w:w="941" w:type="dxa"/>
            <w:tcBorders>
              <w:top w:val="nil"/>
              <w:left w:val="nil"/>
              <w:bottom w:val="single" w:color="auto" w:sz="4" w:space="0"/>
              <w:right w:val="single" w:color="auto" w:sz="4" w:space="0"/>
            </w:tcBorders>
            <w:shd w:val="clear" w:color="auto" w:fill="auto"/>
            <w:noWrap/>
            <w:vAlign w:val="center"/>
          </w:tcPr>
          <w:p w14:paraId="268032DF">
            <w:pPr>
              <w:spacing w:after="0"/>
              <w:jc w:val="center"/>
              <w:rPr>
                <w:rFonts w:ascii="Arial" w:hAnsi="Arial" w:cs="Arial"/>
                <w:sz w:val="16"/>
                <w:szCs w:val="16"/>
                <w:lang w:val="en-US"/>
              </w:rPr>
            </w:pPr>
            <w:r>
              <w:rPr>
                <w:rFonts w:ascii="Arial" w:hAnsi="Arial" w:cs="Arial"/>
                <w:sz w:val="16"/>
                <w:szCs w:val="16"/>
                <w:lang w:val="en-US"/>
              </w:rPr>
              <w:t>1.34%</w:t>
            </w:r>
          </w:p>
        </w:tc>
        <w:tc>
          <w:tcPr>
            <w:tcW w:w="992" w:type="dxa"/>
            <w:tcBorders>
              <w:top w:val="nil"/>
              <w:left w:val="nil"/>
              <w:bottom w:val="single" w:color="auto" w:sz="4" w:space="0"/>
              <w:right w:val="single" w:color="auto" w:sz="4" w:space="0"/>
            </w:tcBorders>
            <w:shd w:val="clear" w:color="auto" w:fill="auto"/>
            <w:noWrap/>
            <w:vAlign w:val="center"/>
          </w:tcPr>
          <w:p w14:paraId="36C4FA44">
            <w:pPr>
              <w:spacing w:after="0"/>
              <w:jc w:val="center"/>
              <w:rPr>
                <w:rFonts w:ascii="Arial" w:hAnsi="Arial" w:cs="Arial"/>
                <w:sz w:val="16"/>
                <w:szCs w:val="16"/>
                <w:lang w:val="en-US"/>
              </w:rPr>
            </w:pPr>
            <w:r>
              <w:rPr>
                <w:rFonts w:ascii="Arial" w:hAnsi="Arial" w:cs="Arial"/>
                <w:sz w:val="16"/>
                <w:szCs w:val="16"/>
                <w:lang w:val="en-US"/>
              </w:rPr>
              <w:t>37.4</w:t>
            </w:r>
          </w:p>
        </w:tc>
        <w:tc>
          <w:tcPr>
            <w:tcW w:w="1134" w:type="dxa"/>
            <w:tcBorders>
              <w:top w:val="nil"/>
              <w:left w:val="nil"/>
              <w:bottom w:val="single" w:color="auto" w:sz="4" w:space="0"/>
              <w:right w:val="single" w:color="auto" w:sz="4" w:space="0"/>
            </w:tcBorders>
            <w:shd w:val="clear" w:color="auto" w:fill="auto"/>
            <w:noWrap/>
            <w:vAlign w:val="center"/>
          </w:tcPr>
          <w:p w14:paraId="73AF8C9C">
            <w:pPr>
              <w:spacing w:after="0"/>
              <w:jc w:val="center"/>
              <w:rPr>
                <w:rFonts w:ascii="Arial" w:hAnsi="Arial" w:cs="Arial"/>
                <w:sz w:val="16"/>
                <w:szCs w:val="16"/>
                <w:lang w:val="en-US"/>
              </w:rPr>
            </w:pPr>
            <w:r>
              <w:rPr>
                <w:rFonts w:ascii="Arial" w:hAnsi="Arial" w:cs="Arial"/>
                <w:sz w:val="16"/>
                <w:szCs w:val="16"/>
                <w:lang w:val="en-US"/>
              </w:rPr>
              <w:t>3.37%</w:t>
            </w:r>
          </w:p>
        </w:tc>
        <w:tc>
          <w:tcPr>
            <w:tcW w:w="992" w:type="dxa"/>
            <w:tcBorders>
              <w:top w:val="nil"/>
              <w:left w:val="nil"/>
              <w:bottom w:val="single" w:color="auto" w:sz="4" w:space="0"/>
              <w:right w:val="single" w:color="auto" w:sz="4" w:space="0"/>
            </w:tcBorders>
            <w:shd w:val="clear" w:color="auto" w:fill="auto"/>
            <w:noWrap/>
            <w:vAlign w:val="center"/>
          </w:tcPr>
          <w:p w14:paraId="5DC5C13B">
            <w:pPr>
              <w:spacing w:after="0"/>
              <w:jc w:val="center"/>
              <w:rPr>
                <w:rFonts w:ascii="Arial" w:hAnsi="Arial" w:cs="Arial"/>
                <w:sz w:val="16"/>
                <w:szCs w:val="16"/>
                <w:lang w:val="en-US"/>
              </w:rPr>
            </w:pPr>
            <w:r>
              <w:rPr>
                <w:rFonts w:ascii="Arial" w:hAnsi="Arial" w:cs="Arial"/>
                <w:sz w:val="16"/>
                <w:szCs w:val="16"/>
                <w:lang w:val="en-US"/>
              </w:rPr>
              <w:t>29.5</w:t>
            </w:r>
          </w:p>
        </w:tc>
      </w:tr>
      <w:tr w14:paraId="7387AE70">
        <w:tblPrEx>
          <w:tblCellMar>
            <w:top w:w="0" w:type="dxa"/>
            <w:left w:w="108" w:type="dxa"/>
            <w:bottom w:w="0" w:type="dxa"/>
            <w:right w:w="108" w:type="dxa"/>
          </w:tblCellMar>
        </w:tblPrEx>
        <w:trPr>
          <w:trHeight w:val="255" w:hRule="atLeast"/>
          <w:jc w:val="center"/>
        </w:trPr>
        <w:tc>
          <w:tcPr>
            <w:tcW w:w="2320" w:type="dxa"/>
            <w:tcBorders>
              <w:top w:val="nil"/>
              <w:left w:val="single" w:color="auto" w:sz="4" w:space="0"/>
              <w:bottom w:val="single" w:color="auto" w:sz="4" w:space="0"/>
              <w:right w:val="single" w:color="auto" w:sz="4" w:space="0"/>
            </w:tcBorders>
            <w:shd w:val="clear" w:color="auto" w:fill="auto"/>
            <w:noWrap/>
            <w:vAlign w:val="bottom"/>
          </w:tcPr>
          <w:p w14:paraId="5FDE8DBC">
            <w:pPr>
              <w:spacing w:after="0"/>
              <w:jc w:val="center"/>
              <w:rPr>
                <w:rFonts w:ascii="Arial" w:hAnsi="Arial" w:cs="Arial"/>
                <w:sz w:val="16"/>
                <w:szCs w:val="16"/>
                <w:lang w:val="en-US"/>
              </w:rPr>
            </w:pPr>
            <w:r>
              <w:rPr>
                <w:rFonts w:ascii="Arial" w:hAnsi="Arial" w:cs="Arial"/>
                <w:sz w:val="16"/>
                <w:szCs w:val="16"/>
                <w:lang w:val="en-US"/>
              </w:rPr>
              <w:t>LO Phase noise</w:t>
            </w:r>
          </w:p>
        </w:tc>
        <w:tc>
          <w:tcPr>
            <w:tcW w:w="941" w:type="dxa"/>
            <w:tcBorders>
              <w:top w:val="nil"/>
              <w:left w:val="nil"/>
              <w:bottom w:val="single" w:color="auto" w:sz="4" w:space="0"/>
              <w:right w:val="single" w:color="auto" w:sz="4" w:space="0"/>
            </w:tcBorders>
            <w:shd w:val="clear" w:color="auto" w:fill="auto"/>
            <w:noWrap/>
            <w:vAlign w:val="center"/>
          </w:tcPr>
          <w:p w14:paraId="544DA177">
            <w:pPr>
              <w:spacing w:after="0"/>
              <w:jc w:val="center"/>
              <w:rPr>
                <w:rFonts w:ascii="Arial" w:hAnsi="Arial" w:cs="Arial"/>
                <w:sz w:val="16"/>
                <w:szCs w:val="16"/>
                <w:lang w:val="en-US"/>
              </w:rPr>
            </w:pPr>
            <w:r>
              <w:rPr>
                <w:rFonts w:ascii="Arial" w:hAnsi="Arial" w:cs="Arial"/>
                <w:sz w:val="16"/>
                <w:szCs w:val="16"/>
                <w:lang w:val="en-US"/>
              </w:rPr>
              <w:t>1.78%</w:t>
            </w:r>
          </w:p>
        </w:tc>
        <w:tc>
          <w:tcPr>
            <w:tcW w:w="992" w:type="dxa"/>
            <w:tcBorders>
              <w:top w:val="nil"/>
              <w:left w:val="nil"/>
              <w:bottom w:val="single" w:color="auto" w:sz="4" w:space="0"/>
              <w:right w:val="single" w:color="auto" w:sz="4" w:space="0"/>
            </w:tcBorders>
            <w:shd w:val="clear" w:color="auto" w:fill="auto"/>
            <w:noWrap/>
            <w:vAlign w:val="center"/>
          </w:tcPr>
          <w:p w14:paraId="2C1B341F">
            <w:pPr>
              <w:spacing w:after="0"/>
              <w:jc w:val="center"/>
              <w:rPr>
                <w:rFonts w:ascii="Arial" w:hAnsi="Arial" w:cs="Arial"/>
                <w:sz w:val="16"/>
                <w:szCs w:val="16"/>
                <w:lang w:val="en-US"/>
              </w:rPr>
            </w:pPr>
            <w:r>
              <w:rPr>
                <w:rFonts w:ascii="Arial" w:hAnsi="Arial" w:cs="Arial"/>
                <w:sz w:val="16"/>
                <w:szCs w:val="16"/>
                <w:lang w:val="en-US"/>
              </w:rPr>
              <w:t>35.0</w:t>
            </w:r>
          </w:p>
        </w:tc>
        <w:tc>
          <w:tcPr>
            <w:tcW w:w="1134" w:type="dxa"/>
            <w:tcBorders>
              <w:top w:val="nil"/>
              <w:left w:val="nil"/>
              <w:bottom w:val="single" w:color="auto" w:sz="4" w:space="0"/>
              <w:right w:val="single" w:color="auto" w:sz="4" w:space="0"/>
            </w:tcBorders>
            <w:shd w:val="clear" w:color="auto" w:fill="auto"/>
            <w:noWrap/>
            <w:vAlign w:val="center"/>
          </w:tcPr>
          <w:p w14:paraId="53A082C6">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color="auto" w:sz="4" w:space="0"/>
              <w:right w:val="single" w:color="auto" w:sz="4" w:space="0"/>
            </w:tcBorders>
            <w:shd w:val="clear" w:color="auto" w:fill="auto"/>
            <w:noWrap/>
            <w:vAlign w:val="center"/>
          </w:tcPr>
          <w:p w14:paraId="2DE4BD0F">
            <w:pPr>
              <w:spacing w:after="0"/>
              <w:jc w:val="center"/>
              <w:rPr>
                <w:rFonts w:ascii="Arial" w:hAnsi="Arial" w:cs="Arial"/>
                <w:sz w:val="16"/>
                <w:szCs w:val="16"/>
                <w:lang w:val="en-US"/>
              </w:rPr>
            </w:pPr>
            <w:r>
              <w:rPr>
                <w:rFonts w:ascii="Arial" w:hAnsi="Arial" w:cs="Arial"/>
                <w:sz w:val="16"/>
                <w:szCs w:val="16"/>
                <w:lang w:val="en-US"/>
              </w:rPr>
              <w:t>33.0</w:t>
            </w:r>
          </w:p>
        </w:tc>
      </w:tr>
      <w:tr w14:paraId="3618CE8A">
        <w:tblPrEx>
          <w:tblCellMar>
            <w:top w:w="0" w:type="dxa"/>
            <w:left w:w="108" w:type="dxa"/>
            <w:bottom w:w="0" w:type="dxa"/>
            <w:right w:w="108" w:type="dxa"/>
          </w:tblCellMar>
        </w:tblPrEx>
        <w:trPr>
          <w:trHeight w:val="255" w:hRule="atLeast"/>
          <w:jc w:val="center"/>
        </w:trPr>
        <w:tc>
          <w:tcPr>
            <w:tcW w:w="2320" w:type="dxa"/>
            <w:tcBorders>
              <w:top w:val="nil"/>
              <w:left w:val="single" w:color="auto" w:sz="4" w:space="0"/>
              <w:bottom w:val="single" w:color="auto" w:sz="4" w:space="0"/>
              <w:right w:val="single" w:color="auto" w:sz="4" w:space="0"/>
            </w:tcBorders>
            <w:shd w:val="clear" w:color="auto" w:fill="auto"/>
            <w:noWrap/>
            <w:vAlign w:val="bottom"/>
          </w:tcPr>
          <w:p w14:paraId="1DAA3CC0">
            <w:pPr>
              <w:spacing w:after="0"/>
              <w:jc w:val="center"/>
              <w:rPr>
                <w:rFonts w:ascii="Arial" w:hAnsi="Arial" w:cs="Arial"/>
                <w:sz w:val="16"/>
                <w:szCs w:val="16"/>
                <w:lang w:val="en-US"/>
              </w:rPr>
            </w:pPr>
            <w:r>
              <w:rPr>
                <w:rFonts w:ascii="Arial" w:hAnsi="Arial" w:cs="Arial"/>
                <w:sz w:val="16"/>
                <w:szCs w:val="16"/>
                <w:lang w:val="en-US"/>
              </w:rPr>
              <w:t>IQ Image</w:t>
            </w:r>
          </w:p>
        </w:tc>
        <w:tc>
          <w:tcPr>
            <w:tcW w:w="941" w:type="dxa"/>
            <w:tcBorders>
              <w:top w:val="nil"/>
              <w:left w:val="nil"/>
              <w:bottom w:val="single" w:color="auto" w:sz="4" w:space="0"/>
              <w:right w:val="single" w:color="auto" w:sz="4" w:space="0"/>
            </w:tcBorders>
            <w:shd w:val="clear" w:color="auto" w:fill="auto"/>
            <w:noWrap/>
            <w:vAlign w:val="center"/>
          </w:tcPr>
          <w:p w14:paraId="0C941363">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color="auto" w:sz="4" w:space="0"/>
              <w:right w:val="single" w:color="auto" w:sz="4" w:space="0"/>
            </w:tcBorders>
            <w:shd w:val="clear" w:color="auto" w:fill="auto"/>
            <w:noWrap/>
            <w:vAlign w:val="center"/>
          </w:tcPr>
          <w:p w14:paraId="05B41A49">
            <w:pPr>
              <w:spacing w:after="0"/>
              <w:jc w:val="center"/>
              <w:rPr>
                <w:rFonts w:ascii="Arial" w:hAnsi="Arial" w:cs="Arial"/>
                <w:sz w:val="16"/>
                <w:szCs w:val="16"/>
                <w:lang w:val="en-US"/>
              </w:rPr>
            </w:pPr>
            <w:r>
              <w:rPr>
                <w:rFonts w:ascii="Arial" w:hAnsi="Arial" w:cs="Arial"/>
                <w:sz w:val="16"/>
                <w:szCs w:val="16"/>
                <w:lang w:val="en-US"/>
              </w:rPr>
              <w:t>33.0</w:t>
            </w:r>
          </w:p>
        </w:tc>
        <w:tc>
          <w:tcPr>
            <w:tcW w:w="1134" w:type="dxa"/>
            <w:tcBorders>
              <w:top w:val="nil"/>
              <w:left w:val="nil"/>
              <w:bottom w:val="single" w:color="auto" w:sz="4" w:space="0"/>
              <w:right w:val="single" w:color="auto" w:sz="4" w:space="0"/>
            </w:tcBorders>
            <w:shd w:val="clear" w:color="auto" w:fill="auto"/>
            <w:noWrap/>
            <w:vAlign w:val="center"/>
          </w:tcPr>
          <w:p w14:paraId="7BBF45FF">
            <w:pPr>
              <w:spacing w:after="0"/>
              <w:jc w:val="center"/>
              <w:rPr>
                <w:rFonts w:ascii="Arial" w:hAnsi="Arial" w:cs="Arial"/>
                <w:sz w:val="16"/>
                <w:szCs w:val="16"/>
                <w:lang w:val="en-US"/>
              </w:rPr>
            </w:pPr>
            <w:r>
              <w:rPr>
                <w:rFonts w:ascii="Arial" w:hAnsi="Arial" w:cs="Arial"/>
                <w:sz w:val="16"/>
                <w:szCs w:val="16"/>
                <w:lang w:val="en-US"/>
              </w:rPr>
              <w:t>5.62%</w:t>
            </w:r>
          </w:p>
        </w:tc>
        <w:tc>
          <w:tcPr>
            <w:tcW w:w="992" w:type="dxa"/>
            <w:tcBorders>
              <w:top w:val="nil"/>
              <w:left w:val="nil"/>
              <w:bottom w:val="single" w:color="auto" w:sz="4" w:space="0"/>
              <w:right w:val="single" w:color="auto" w:sz="4" w:space="0"/>
            </w:tcBorders>
            <w:shd w:val="clear" w:color="auto" w:fill="auto"/>
            <w:noWrap/>
            <w:vAlign w:val="center"/>
          </w:tcPr>
          <w:p w14:paraId="793B1DDF">
            <w:pPr>
              <w:spacing w:after="0"/>
              <w:jc w:val="center"/>
              <w:rPr>
                <w:rFonts w:ascii="Arial" w:hAnsi="Arial" w:cs="Arial"/>
                <w:sz w:val="16"/>
                <w:szCs w:val="16"/>
                <w:lang w:val="en-US"/>
              </w:rPr>
            </w:pPr>
            <w:r>
              <w:rPr>
                <w:rFonts w:ascii="Arial" w:hAnsi="Arial" w:cs="Arial"/>
                <w:sz w:val="16"/>
                <w:szCs w:val="16"/>
                <w:lang w:val="en-US"/>
              </w:rPr>
              <w:t>25.0</w:t>
            </w:r>
          </w:p>
        </w:tc>
      </w:tr>
      <w:tr w14:paraId="39530B3C">
        <w:tblPrEx>
          <w:tblCellMar>
            <w:top w:w="0" w:type="dxa"/>
            <w:left w:w="108" w:type="dxa"/>
            <w:bottom w:w="0" w:type="dxa"/>
            <w:right w:w="108" w:type="dxa"/>
          </w:tblCellMar>
        </w:tblPrEx>
        <w:trPr>
          <w:trHeight w:val="255" w:hRule="atLeast"/>
          <w:jc w:val="center"/>
        </w:trPr>
        <w:tc>
          <w:tcPr>
            <w:tcW w:w="2320" w:type="dxa"/>
            <w:tcBorders>
              <w:top w:val="nil"/>
              <w:left w:val="single" w:color="auto" w:sz="4" w:space="0"/>
              <w:bottom w:val="single" w:color="auto" w:sz="4" w:space="0"/>
              <w:right w:val="single" w:color="auto" w:sz="4" w:space="0"/>
            </w:tcBorders>
            <w:shd w:val="clear" w:color="auto" w:fill="auto"/>
            <w:noWrap/>
            <w:vAlign w:val="bottom"/>
          </w:tcPr>
          <w:p w14:paraId="4532309E">
            <w:pPr>
              <w:spacing w:after="0"/>
              <w:rPr>
                <w:rFonts w:ascii="Arial" w:hAnsi="Arial" w:cs="Arial"/>
                <w:sz w:val="16"/>
                <w:szCs w:val="16"/>
                <w:lang w:val="en-US"/>
              </w:rPr>
            </w:pPr>
            <w:r>
              <w:rPr>
                <w:rFonts w:ascii="Arial" w:hAnsi="Arial" w:cs="Arial"/>
                <w:sz w:val="16"/>
                <w:szCs w:val="16"/>
                <w:lang w:val="en-US"/>
              </w:rPr>
              <w:t>Transmitter total</w:t>
            </w:r>
          </w:p>
        </w:tc>
        <w:tc>
          <w:tcPr>
            <w:tcW w:w="941" w:type="dxa"/>
            <w:tcBorders>
              <w:top w:val="nil"/>
              <w:left w:val="nil"/>
              <w:bottom w:val="single" w:color="auto" w:sz="4" w:space="0"/>
              <w:right w:val="single" w:color="auto" w:sz="4" w:space="0"/>
            </w:tcBorders>
            <w:shd w:val="clear" w:color="auto" w:fill="auto"/>
            <w:noWrap/>
            <w:vAlign w:val="center"/>
          </w:tcPr>
          <w:p w14:paraId="0D8A7CD5">
            <w:pPr>
              <w:spacing w:after="0"/>
              <w:jc w:val="center"/>
              <w:rPr>
                <w:rFonts w:ascii="Arial" w:hAnsi="Arial" w:cs="Arial"/>
                <w:sz w:val="16"/>
                <w:szCs w:val="16"/>
                <w:lang w:val="en-US"/>
              </w:rPr>
            </w:pPr>
            <w:r>
              <w:rPr>
                <w:rFonts w:ascii="Arial" w:hAnsi="Arial" w:cs="Arial"/>
                <w:sz w:val="16"/>
                <w:szCs w:val="16"/>
                <w:lang w:val="en-US"/>
              </w:rPr>
              <w:t>3.50%</w:t>
            </w:r>
          </w:p>
        </w:tc>
        <w:tc>
          <w:tcPr>
            <w:tcW w:w="992" w:type="dxa"/>
            <w:tcBorders>
              <w:top w:val="nil"/>
              <w:left w:val="nil"/>
              <w:bottom w:val="single" w:color="auto" w:sz="4" w:space="0"/>
              <w:right w:val="single" w:color="auto" w:sz="4" w:space="0"/>
            </w:tcBorders>
            <w:shd w:val="clear" w:color="auto" w:fill="auto"/>
            <w:noWrap/>
            <w:vAlign w:val="center"/>
          </w:tcPr>
          <w:p w14:paraId="2E15C6FD">
            <w:pPr>
              <w:spacing w:after="0"/>
              <w:jc w:val="center"/>
              <w:rPr>
                <w:rFonts w:ascii="Arial" w:hAnsi="Arial" w:cs="Arial"/>
                <w:sz w:val="16"/>
                <w:szCs w:val="16"/>
                <w:lang w:val="en-US"/>
              </w:rPr>
            </w:pPr>
            <w:r>
              <w:rPr>
                <w:rFonts w:ascii="Arial" w:hAnsi="Arial" w:cs="Arial"/>
                <w:sz w:val="16"/>
                <w:szCs w:val="16"/>
                <w:lang w:val="en-US"/>
              </w:rPr>
              <w:t>29.1</w:t>
            </w:r>
          </w:p>
        </w:tc>
        <w:tc>
          <w:tcPr>
            <w:tcW w:w="1134" w:type="dxa"/>
            <w:tcBorders>
              <w:top w:val="nil"/>
              <w:left w:val="nil"/>
              <w:bottom w:val="single" w:color="auto" w:sz="4" w:space="0"/>
              <w:right w:val="single" w:color="auto" w:sz="4" w:space="0"/>
            </w:tcBorders>
            <w:shd w:val="clear" w:color="auto" w:fill="auto"/>
            <w:noWrap/>
            <w:vAlign w:val="center"/>
          </w:tcPr>
          <w:p w14:paraId="252EED0D">
            <w:pPr>
              <w:spacing w:after="0"/>
              <w:jc w:val="center"/>
              <w:rPr>
                <w:rFonts w:ascii="Arial" w:hAnsi="Arial" w:cs="Arial"/>
                <w:sz w:val="16"/>
                <w:szCs w:val="16"/>
                <w:lang w:val="en-US"/>
              </w:rPr>
            </w:pPr>
            <w:r>
              <w:rPr>
                <w:rFonts w:ascii="Arial" w:hAnsi="Arial" w:cs="Arial"/>
                <w:sz w:val="16"/>
                <w:szCs w:val="16"/>
                <w:lang w:val="en-US"/>
              </w:rPr>
              <w:t>8.00%</w:t>
            </w:r>
          </w:p>
        </w:tc>
        <w:tc>
          <w:tcPr>
            <w:tcW w:w="992" w:type="dxa"/>
            <w:tcBorders>
              <w:top w:val="nil"/>
              <w:left w:val="nil"/>
              <w:bottom w:val="single" w:color="auto" w:sz="4" w:space="0"/>
              <w:right w:val="single" w:color="auto" w:sz="4" w:space="0"/>
            </w:tcBorders>
            <w:shd w:val="clear" w:color="auto" w:fill="auto"/>
            <w:noWrap/>
            <w:vAlign w:val="center"/>
          </w:tcPr>
          <w:p w14:paraId="6D96364B">
            <w:pPr>
              <w:spacing w:after="0"/>
              <w:jc w:val="center"/>
              <w:rPr>
                <w:rFonts w:ascii="Arial" w:hAnsi="Arial" w:cs="Arial"/>
                <w:sz w:val="16"/>
                <w:szCs w:val="16"/>
                <w:lang w:val="en-US"/>
              </w:rPr>
            </w:pPr>
            <w:r>
              <w:rPr>
                <w:rFonts w:ascii="Arial" w:hAnsi="Arial" w:cs="Arial"/>
                <w:sz w:val="16"/>
                <w:szCs w:val="16"/>
                <w:lang w:val="en-US"/>
              </w:rPr>
              <w:t>21.9</w:t>
            </w:r>
          </w:p>
        </w:tc>
      </w:tr>
    </w:tbl>
    <w:p w14:paraId="5C5D2016">
      <w:pPr>
        <w:rPr>
          <w:rFonts w:hint="default"/>
          <w:highlight w:val="none"/>
          <w:lang w:val="en-US" w:eastAsia="zh-CN"/>
        </w:rPr>
      </w:pPr>
    </w:p>
    <w:p w14:paraId="5C83D4EB">
      <w:pPr>
        <w:rPr>
          <w:rFonts w:hint="eastAsia"/>
          <w:highlight w:val="none"/>
          <w:lang w:val="en-US" w:eastAsia="zh-CN"/>
        </w:rPr>
      </w:pPr>
      <w:r>
        <w:rPr>
          <w:rFonts w:hint="eastAsia"/>
          <w:highlight w:val="none"/>
          <w:lang w:val="en-US" w:eastAsia="zh-CN"/>
        </w:rPr>
        <w:t>RAN4 is suggested to use above table as the baseline for further updates. The detailed EVM analysis of all non-linearity source can be further studies.</w:t>
      </w:r>
    </w:p>
    <w:p w14:paraId="5EA7D72D">
      <w:pPr>
        <w:widowControl/>
        <w:spacing w:before="0" w:after="120" w:afterLines="50" w:line="240" w:lineRule="auto"/>
        <w:ind w:firstLine="0" w:firstLineChars="0"/>
        <w:jc w:val="both"/>
        <w:rPr>
          <w:rFonts w:hint="eastAsia" w:eastAsia="宋体"/>
          <w:kern w:val="0"/>
          <w:sz w:val="20"/>
          <w:szCs w:val="20"/>
          <w:highlight w:val="none"/>
          <w:lang w:val="en-US" w:eastAsia="zh-CN" w:bidi="ar"/>
        </w:rPr>
      </w:pPr>
      <w:r>
        <w:rPr>
          <w:rFonts w:eastAsia="宋体"/>
          <w:kern w:val="0"/>
          <w:sz w:val="20"/>
          <w:szCs w:val="20"/>
          <w:highlight w:val="none"/>
          <w:lang w:val="en-US" w:eastAsia="zh-CN" w:bidi="ar"/>
        </w:rPr>
        <w:t xml:space="preserve">Higher-order modulation is essential to meet the 6G peak data rate targets, e.g., 50Gbps outlined in the ITU recommendation document </w:t>
      </w:r>
      <w:r>
        <w:rPr>
          <w:rFonts w:hint="eastAsia" w:eastAsia="宋体"/>
          <w:kern w:val="0"/>
          <w:sz w:val="20"/>
          <w:szCs w:val="20"/>
          <w:highlight w:val="none"/>
          <w:lang w:val="en-US" w:eastAsia="zh" w:bidi="ar"/>
        </w:rPr>
        <w:t>[</w:t>
      </w:r>
      <w:r>
        <w:rPr>
          <w:rFonts w:hint="eastAsia" w:eastAsia="宋体"/>
          <w:kern w:val="0"/>
          <w:sz w:val="20"/>
          <w:szCs w:val="20"/>
          <w:highlight w:val="none"/>
          <w:lang w:val="en-US" w:eastAsia="zh-CN" w:bidi="ar"/>
        </w:rPr>
        <w:t>2</w:t>
      </w:r>
      <w:r>
        <w:rPr>
          <w:rFonts w:hint="eastAsia" w:eastAsia="宋体"/>
          <w:kern w:val="0"/>
          <w:sz w:val="20"/>
          <w:szCs w:val="20"/>
          <w:highlight w:val="none"/>
          <w:lang w:val="en-US" w:eastAsia="zh" w:bidi="ar"/>
        </w:rPr>
        <w:t>]</w:t>
      </w:r>
      <w:r>
        <w:rPr>
          <w:rFonts w:eastAsia="宋体"/>
          <w:kern w:val="0"/>
          <w:sz w:val="20"/>
          <w:szCs w:val="20"/>
          <w:highlight w:val="none"/>
          <w:lang w:val="en-US" w:eastAsia="zh-CN" w:bidi="ar"/>
        </w:rPr>
        <w:t>. However, a performance gap of approximately 1.53dB persists between current high-order QAM modulation and the theoretical bound. Constellation shaping is a promising technique to bridge this gap, primarily through two approaches: geometric shaping</w:t>
      </w:r>
      <w:r>
        <w:rPr>
          <w:rFonts w:hint="eastAsia" w:eastAsia="宋体"/>
          <w:kern w:val="0"/>
          <w:sz w:val="20"/>
          <w:szCs w:val="20"/>
          <w:highlight w:val="none"/>
          <w:lang w:val="en-US" w:eastAsia="zh" w:bidi="ar"/>
        </w:rPr>
        <w:t xml:space="preserve"> </w:t>
      </w:r>
      <w:r>
        <w:rPr>
          <w:rFonts w:eastAsia="宋体"/>
          <w:kern w:val="0"/>
          <w:sz w:val="20"/>
          <w:szCs w:val="20"/>
          <w:highlight w:val="none"/>
          <w:lang w:val="en-US" w:eastAsia="zh-CN" w:bidi="ar"/>
        </w:rPr>
        <w:t>and probabilistic shaping.</w:t>
      </w:r>
      <w:r>
        <w:rPr>
          <w:rFonts w:hint="eastAsia" w:eastAsia="宋体"/>
          <w:kern w:val="0"/>
          <w:sz w:val="20"/>
          <w:szCs w:val="20"/>
          <w:highlight w:val="none"/>
          <w:lang w:val="en-US" w:eastAsia="zh-CN" w:bidi="ar"/>
        </w:rPr>
        <w:t xml:space="preserve"> For the constellation shaping, RAN1 has approved to at least use following as performance: PAPR/CM of the resulting waveform, EVM, MPR/A-MPR. Besides, the ACLR may also needed to evaluate signal quality.</w:t>
      </w:r>
    </w:p>
    <w:p w14:paraId="7C2ACA15">
      <w:pPr>
        <w:widowControl/>
        <w:spacing w:before="0" w:after="120" w:afterLines="50" w:line="240" w:lineRule="auto"/>
        <w:ind w:firstLine="0" w:firstLineChars="0"/>
        <w:jc w:val="both"/>
        <w:rPr>
          <w:rFonts w:hint="default" w:eastAsia="宋体"/>
          <w:b/>
          <w:bCs/>
          <w:kern w:val="0"/>
          <w:sz w:val="20"/>
          <w:szCs w:val="20"/>
          <w:highlight w:val="none"/>
          <w:lang w:val="en-US" w:eastAsia="zh-CN" w:bidi="ar"/>
        </w:rPr>
      </w:pPr>
      <w:r>
        <w:rPr>
          <w:rFonts w:hint="eastAsia" w:eastAsia="宋体"/>
          <w:b/>
          <w:bCs/>
          <w:kern w:val="0"/>
          <w:sz w:val="20"/>
          <w:szCs w:val="20"/>
          <w:highlight w:val="none"/>
          <w:lang w:val="en-US" w:eastAsia="zh-CN" w:bidi="ar"/>
        </w:rPr>
        <w:t xml:space="preserve">Observation 1: the main affected requirements for constellation shaping modulation evaluation include the EVM, MPR/A-MPR requirements. </w:t>
      </w:r>
    </w:p>
    <w:p w14:paraId="33A02D1F">
      <w:pPr>
        <w:widowControl/>
        <w:spacing w:before="0" w:after="120" w:afterLines="50" w:line="240" w:lineRule="auto"/>
        <w:ind w:firstLine="0" w:firstLineChars="0"/>
        <w:jc w:val="both"/>
        <w:rPr>
          <w:rFonts w:hint="default" w:ascii="Times New Roman" w:hAnsi="Times New Roman" w:eastAsia="宋体" w:cs="Times New Roman"/>
          <w:sz w:val="24"/>
          <w:szCs w:val="24"/>
          <w:highlight w:val="none"/>
          <w:lang w:val="en-US" w:eastAsia="zh-CN" w:bidi="ar-SA"/>
        </w:rPr>
      </w:pPr>
      <w:r>
        <w:rPr>
          <w:rFonts w:hint="eastAsia" w:eastAsia="宋体"/>
          <w:kern w:val="0"/>
          <w:sz w:val="20"/>
          <w:szCs w:val="20"/>
          <w:highlight w:val="none"/>
          <w:lang w:val="en-US" w:eastAsia="zh-CN" w:bidi="ar"/>
        </w:rPr>
        <w:t>For the uniform 4096QAM for DL and uniform 1024QAM for UL, it</w:t>
      </w:r>
      <w:r>
        <w:rPr>
          <w:rFonts w:hint="default" w:eastAsia="宋体"/>
          <w:kern w:val="0"/>
          <w:sz w:val="20"/>
          <w:szCs w:val="20"/>
          <w:highlight w:val="none"/>
          <w:lang w:val="en-US" w:eastAsia="zh-CN" w:bidi="ar"/>
        </w:rPr>
        <w:t>’</w:t>
      </w:r>
      <w:r>
        <w:rPr>
          <w:rFonts w:hint="eastAsia" w:eastAsia="宋体"/>
          <w:kern w:val="0"/>
          <w:sz w:val="20"/>
          <w:szCs w:val="20"/>
          <w:highlight w:val="none"/>
          <w:lang w:val="en-US" w:eastAsia="zh-CN" w:bidi="ar"/>
        </w:rPr>
        <w:t>s FFS how to involve RAN4 early. The issue is how to split workload between RAN1 and RAN4. From our understanding, RAN4 can be responsible for the MPR/A-MPR and EVM increase evaluation for no shaping case while for shaping case, RAN4 can be involved to provide more RF impairment analysis.</w:t>
      </w:r>
    </w:p>
    <w:p w14:paraId="155E9F23">
      <w:pPr>
        <w:numPr>
          <w:ilvl w:val="0"/>
          <w:numId w:val="0"/>
        </w:numPr>
        <w:spacing w:before="0" w:after="0"/>
        <w:ind w:leftChars="0"/>
        <w:jc w:val="both"/>
        <w:rPr>
          <w:rFonts w:hint="eastAsia"/>
          <w:highlight w:val="none"/>
          <w:lang w:val="en-US" w:eastAsia="zh-CN"/>
        </w:rPr>
      </w:pPr>
      <w:bookmarkStart w:id="12" w:name="_Hlk205405559"/>
      <w:r>
        <w:rPr>
          <w:rFonts w:hint="eastAsia" w:ascii="Times" w:hAnsi="Times" w:eastAsia="Batang" w:cs="Times New Roman"/>
          <w:b/>
          <w:bCs/>
          <w:szCs w:val="24"/>
          <w:highlight w:val="none"/>
          <w:lang w:val="en-US" w:eastAsia="zh-CN" w:bidi="ar-SA"/>
        </w:rPr>
        <w:t>Proposal 2: it</w:t>
      </w:r>
      <w:r>
        <w:rPr>
          <w:rFonts w:hint="default" w:ascii="Times" w:hAnsi="Times" w:eastAsia="Batang" w:cs="Times New Roman"/>
          <w:b/>
          <w:bCs/>
          <w:szCs w:val="24"/>
          <w:highlight w:val="none"/>
          <w:lang w:val="en-US" w:eastAsia="zh-CN" w:bidi="ar-SA"/>
        </w:rPr>
        <w:t>’</w:t>
      </w:r>
      <w:r>
        <w:rPr>
          <w:rFonts w:hint="eastAsia" w:ascii="Times" w:hAnsi="Times" w:eastAsia="Batang" w:cs="Times New Roman"/>
          <w:b/>
          <w:bCs/>
          <w:szCs w:val="24"/>
          <w:highlight w:val="none"/>
          <w:lang w:val="en-US" w:eastAsia="zh-CN" w:bidi="ar-SA"/>
        </w:rPr>
        <w:t>s suggested to further study the workload split between RAN1 and RAN4 is listed as below:</w:t>
      </w:r>
    </w:p>
    <w:p w14:paraId="4C5610C5">
      <w:pPr>
        <w:numPr>
          <w:ilvl w:val="0"/>
          <w:numId w:val="6"/>
        </w:numPr>
        <w:spacing w:before="0" w:after="0"/>
        <w:ind w:left="840" w:leftChars="0" w:hanging="420" w:firstLineChars="0"/>
        <w:jc w:val="both"/>
        <w:rPr>
          <w:rFonts w:hint="eastAsia"/>
          <w:highlight w:val="none"/>
          <w:lang w:val="en-US" w:eastAsia="zh-CN"/>
        </w:rPr>
      </w:pPr>
      <w:r>
        <w:rPr>
          <w:rFonts w:hint="eastAsia" w:ascii="Times" w:hAnsi="Times" w:eastAsia="Batang" w:cs="Times New Roman"/>
          <w:b/>
          <w:bCs/>
          <w:szCs w:val="24"/>
          <w:highlight w:val="none"/>
          <w:lang w:val="en-US" w:eastAsia="zh-CN" w:bidi="ar-SA"/>
        </w:rPr>
        <w:t>For the uniform higher order modulation without shaping, RAN4 can evaluate the MPR/A-MPR and EVM as RAN4 has done previously</w:t>
      </w:r>
    </w:p>
    <w:p w14:paraId="6E9417FF">
      <w:pPr>
        <w:numPr>
          <w:ilvl w:val="0"/>
          <w:numId w:val="6"/>
        </w:numPr>
        <w:spacing w:before="0" w:after="0"/>
        <w:ind w:left="840" w:leftChars="0" w:hanging="420" w:firstLineChars="0"/>
        <w:jc w:val="both"/>
        <w:rPr>
          <w:rFonts w:hint="eastAsia"/>
          <w:highlight w:val="none"/>
          <w:lang w:val="en-US" w:eastAsia="zh-CN"/>
        </w:rPr>
      </w:pPr>
      <w:r>
        <w:rPr>
          <w:rFonts w:hint="eastAsia" w:ascii="Times" w:hAnsi="Times" w:eastAsia="Batang" w:cs="Times New Roman"/>
          <w:b/>
          <w:bCs/>
          <w:szCs w:val="24"/>
          <w:highlight w:val="none"/>
          <w:lang w:val="en-US" w:eastAsia="zh-CN" w:bidi="ar-SA"/>
        </w:rPr>
        <w:t>For the constellation shaping case, RAN4 can be involved to provide more RF impairment analysis.</w:t>
      </w:r>
      <w:bookmarkEnd w:id="12"/>
    </w:p>
    <w:bookmarkEnd w:id="11"/>
    <w:p w14:paraId="1CF59D43">
      <w:pPr>
        <w:pStyle w:val="2"/>
        <w:rPr>
          <w:rFonts w:eastAsia="宋体"/>
          <w:highlight w:val="none"/>
          <w:lang w:eastAsia="zh-CN"/>
        </w:rPr>
      </w:pPr>
      <w:r>
        <w:rPr>
          <w:rFonts w:hint="eastAsia" w:eastAsia="宋体"/>
          <w:highlight w:val="none"/>
          <w:lang w:eastAsia="zh-CN"/>
        </w:rPr>
        <w:t>Conclusion</w:t>
      </w:r>
    </w:p>
    <w:p w14:paraId="7D01DCA9">
      <w:pPr>
        <w:numPr>
          <w:ilvl w:val="0"/>
          <w:numId w:val="0"/>
        </w:numPr>
        <w:ind w:leftChars="0"/>
        <w:rPr>
          <w:rFonts w:eastAsia="宋体"/>
          <w:sz w:val="22"/>
          <w:szCs w:val="22"/>
          <w:highlight w:val="none"/>
          <w:lang w:eastAsia="zh-CN"/>
        </w:rPr>
      </w:pPr>
      <w:r>
        <w:rPr>
          <w:rFonts w:eastAsia="宋体"/>
          <w:sz w:val="22"/>
          <w:szCs w:val="22"/>
          <w:highlight w:val="none"/>
          <w:lang w:eastAsia="zh-CN"/>
        </w:rPr>
        <w:t>This contribution makes the following observations and proposals.</w:t>
      </w:r>
    </w:p>
    <w:p w14:paraId="47C288C9">
      <w:pPr>
        <w:spacing w:after="120" w:afterLines="50"/>
        <w:ind w:right="-99"/>
        <w:rPr>
          <w:rFonts w:hint="eastAsia"/>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suggested to implement unified performance metric for EVM system level and link level simulation.</w:t>
      </w:r>
    </w:p>
    <w:p w14:paraId="41F00FBE">
      <w:pPr>
        <w:numPr>
          <w:ilvl w:val="0"/>
          <w:numId w:val="7"/>
        </w:numPr>
        <w:spacing w:after="120" w:afterLines="50"/>
        <w:ind w:left="936" w:leftChars="0" w:right="-99" w:hanging="360" w:firstLineChars="0"/>
        <w:rPr>
          <w:rFonts w:hint="eastAsia"/>
          <w:b/>
          <w:bCs/>
          <w:lang w:val="en-US" w:eastAsia="zh-CN"/>
        </w:rPr>
      </w:pPr>
      <w:r>
        <w:rPr>
          <w:rFonts w:hint="eastAsia"/>
          <w:b/>
          <w:bCs/>
          <w:lang w:val="en-US" w:eastAsia="zh-CN"/>
        </w:rPr>
        <w:t>For system level, the metric should be 5% throughput loss across all MCS</w:t>
      </w:r>
    </w:p>
    <w:p w14:paraId="3BD698A3">
      <w:pPr>
        <w:numPr>
          <w:ilvl w:val="0"/>
          <w:numId w:val="7"/>
        </w:numPr>
        <w:spacing w:after="120" w:afterLines="50"/>
        <w:ind w:left="936" w:leftChars="0" w:right="-99" w:hanging="360" w:firstLineChars="0"/>
        <w:rPr>
          <w:rFonts w:hint="default"/>
          <w:b/>
          <w:bCs/>
          <w:lang w:val="en-US" w:eastAsia="zh-CN"/>
        </w:rPr>
      </w:pPr>
      <w:r>
        <w:rPr>
          <w:rFonts w:hint="eastAsia"/>
          <w:b/>
          <w:bCs/>
          <w:lang w:val="en-US" w:eastAsia="zh-CN"/>
        </w:rPr>
        <w:t xml:space="preserve">For link level, the metric should be the marginal performance loss at a relative throughput range (e.g. 70% -90%) compared to the performance with 0% EVM. </w:t>
      </w:r>
    </w:p>
    <w:p w14:paraId="5ACF1B7E">
      <w:pPr>
        <w:widowControl/>
        <w:spacing w:before="0" w:after="120" w:afterLines="50" w:line="240" w:lineRule="auto"/>
        <w:ind w:firstLine="0" w:firstLineChars="0"/>
        <w:jc w:val="both"/>
        <w:rPr>
          <w:rFonts w:hint="default" w:eastAsia="宋体"/>
          <w:b/>
          <w:bCs/>
          <w:kern w:val="0"/>
          <w:sz w:val="20"/>
          <w:szCs w:val="20"/>
          <w:highlight w:val="none"/>
          <w:lang w:val="en-US" w:eastAsia="zh-CN" w:bidi="ar"/>
        </w:rPr>
      </w:pPr>
      <w:r>
        <w:rPr>
          <w:rFonts w:hint="eastAsia" w:eastAsia="宋体"/>
          <w:b/>
          <w:bCs/>
          <w:kern w:val="0"/>
          <w:sz w:val="20"/>
          <w:szCs w:val="20"/>
          <w:highlight w:val="none"/>
          <w:lang w:val="en-US" w:eastAsia="zh-CN" w:bidi="ar"/>
        </w:rPr>
        <w:t xml:space="preserve">Observation 1: the main affected requirements for constellation shaping modulation evaluation include the EVM, MPR/A-MPR requirements. </w:t>
      </w:r>
    </w:p>
    <w:p w14:paraId="6ACADB93">
      <w:pPr>
        <w:numPr>
          <w:ilvl w:val="0"/>
          <w:numId w:val="0"/>
        </w:numPr>
        <w:spacing w:before="0" w:after="0"/>
        <w:ind w:leftChars="0"/>
        <w:jc w:val="both"/>
        <w:rPr>
          <w:rFonts w:hint="eastAsia"/>
          <w:highlight w:val="none"/>
          <w:lang w:val="en-US" w:eastAsia="zh-CN"/>
        </w:rPr>
      </w:pPr>
      <w:r>
        <w:rPr>
          <w:rFonts w:hint="eastAsia" w:ascii="Times" w:hAnsi="Times" w:eastAsia="Batang" w:cs="Times New Roman"/>
          <w:b/>
          <w:bCs/>
          <w:szCs w:val="24"/>
          <w:highlight w:val="none"/>
          <w:lang w:val="en-US" w:eastAsia="zh-CN" w:bidi="ar-SA"/>
        </w:rPr>
        <w:t>Proposal 2: it</w:t>
      </w:r>
      <w:r>
        <w:rPr>
          <w:rFonts w:hint="default" w:ascii="Times" w:hAnsi="Times" w:eastAsia="Batang" w:cs="Times New Roman"/>
          <w:b/>
          <w:bCs/>
          <w:szCs w:val="24"/>
          <w:highlight w:val="none"/>
          <w:lang w:val="en-US" w:eastAsia="zh-CN" w:bidi="ar-SA"/>
        </w:rPr>
        <w:t>’</w:t>
      </w:r>
      <w:r>
        <w:rPr>
          <w:rFonts w:hint="eastAsia" w:ascii="Times" w:hAnsi="Times" w:eastAsia="Batang" w:cs="Times New Roman"/>
          <w:b/>
          <w:bCs/>
          <w:szCs w:val="24"/>
          <w:highlight w:val="none"/>
          <w:lang w:val="en-US" w:eastAsia="zh-CN" w:bidi="ar-SA"/>
        </w:rPr>
        <w:t>s suggested to further study the workload split between RAN1 and RAN4 is listed as below:</w:t>
      </w:r>
    </w:p>
    <w:p w14:paraId="0B1FC427">
      <w:pPr>
        <w:numPr>
          <w:ilvl w:val="0"/>
          <w:numId w:val="6"/>
        </w:numPr>
        <w:spacing w:before="0" w:after="0"/>
        <w:ind w:left="840" w:leftChars="0" w:hanging="420" w:firstLineChars="0"/>
        <w:jc w:val="both"/>
        <w:rPr>
          <w:rFonts w:hint="eastAsia"/>
          <w:highlight w:val="none"/>
          <w:lang w:val="en-US" w:eastAsia="zh-CN"/>
        </w:rPr>
      </w:pPr>
      <w:r>
        <w:rPr>
          <w:rFonts w:hint="eastAsia" w:ascii="Times" w:hAnsi="Times" w:eastAsia="Batang" w:cs="Times New Roman"/>
          <w:b/>
          <w:bCs/>
          <w:szCs w:val="24"/>
          <w:highlight w:val="none"/>
          <w:lang w:val="en-US" w:eastAsia="zh-CN" w:bidi="ar-SA"/>
        </w:rPr>
        <w:t>For the uniform higher order modulation without shaping, RAN4 can evaluate the MPR/A-MPR and EVM as RAN4 has done previously</w:t>
      </w:r>
    </w:p>
    <w:p w14:paraId="2B508F2E">
      <w:pPr>
        <w:numPr>
          <w:ilvl w:val="0"/>
          <w:numId w:val="6"/>
        </w:numPr>
        <w:spacing w:before="0" w:after="0"/>
        <w:ind w:left="840" w:leftChars="0" w:hanging="420" w:firstLineChars="0"/>
        <w:jc w:val="both"/>
        <w:rPr>
          <w:rFonts w:hint="eastAsia"/>
          <w:highlight w:val="none"/>
          <w:lang w:val="en-US" w:eastAsia="zh-CN"/>
        </w:rPr>
      </w:pPr>
      <w:r>
        <w:rPr>
          <w:rFonts w:hint="eastAsia" w:ascii="Times" w:hAnsi="Times" w:eastAsia="Batang" w:cs="Times New Roman"/>
          <w:b/>
          <w:bCs/>
          <w:szCs w:val="24"/>
          <w:highlight w:val="none"/>
          <w:lang w:val="en-US" w:eastAsia="zh-CN" w:bidi="ar-SA"/>
        </w:rPr>
        <w:t>For the constellation shaping case, RAN4 can be involved to provide more RF impairment analysis.</w:t>
      </w:r>
    </w:p>
    <w:p w14:paraId="5EEE4E53">
      <w:pPr>
        <w:pStyle w:val="2"/>
        <w:ind w:left="0" w:firstLine="0"/>
        <w:rPr>
          <w:highlight w:val="none"/>
        </w:rPr>
      </w:pPr>
      <w:r>
        <w:rPr>
          <w:highlight w:val="none"/>
        </w:rPr>
        <w:t>References</w:t>
      </w:r>
    </w:p>
    <w:bookmarkEnd w:id="3"/>
    <w:bookmarkEnd w:id="4"/>
    <w:bookmarkEnd w:id="5"/>
    <w:p w14:paraId="3A3CD9C8">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RP-251881, New SID: Study on 6G Radio, NTT DOCOMO</w:t>
      </w:r>
    </w:p>
    <w:p w14:paraId="6914961F">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R4-2514641, WF on system parameter, HW</w:t>
      </w:r>
    </w:p>
    <w:p w14:paraId="7DB0DB6B">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R4-2514643, LS on 6G parameter, HW</w:t>
      </w:r>
    </w:p>
    <w:p w14:paraId="32FA68F5">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R1-2508069, LS on PA models in 6GR waveform evaluations, HW</w:t>
      </w:r>
    </w:p>
    <w:p w14:paraId="6AB33AF2">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R4-165195, TX Challenges for 256 QAM, Qualcomm</w:t>
      </w:r>
    </w:p>
    <w:p w14:paraId="09D4CFE2">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R4-151647, show detailed link level and system level simulation results for UL 64QAM, HW</w:t>
      </w:r>
    </w:p>
    <w:p w14:paraId="4A15769E">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R4-152014, show detailed system level simulation results for UL 64QAM, Ericsson</w:t>
      </w:r>
    </w:p>
    <w:p w14:paraId="34514374">
      <w:pPr>
        <w:pStyle w:val="50"/>
        <w:numPr>
          <w:ilvl w:val="0"/>
          <w:numId w:val="8"/>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R4-070368, show detailed system level simulation results for all modulations, Qualcomm</w:t>
      </w:r>
    </w:p>
    <w:p w14:paraId="5021D1EB">
      <w:pPr>
        <w:pStyle w:val="50"/>
        <w:numPr>
          <w:ilvl w:val="0"/>
          <w:numId w:val="0"/>
        </w:numPr>
        <w:ind w:leftChars="0"/>
        <w:rPr>
          <w:rFonts w:hint="eastAsia" w:eastAsia="Malgun Gothic"/>
          <w:sz w:val="20"/>
          <w:szCs w:val="20"/>
          <w:highlight w:val="none"/>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65786"/>
    <w:multiLevelType w:val="multilevel"/>
    <w:tmpl w:val="87765786"/>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FE85AEBA"/>
    <w:multiLevelType w:val="multilevel"/>
    <w:tmpl w:val="FE85AEBA"/>
    <w:lvl w:ilvl="0" w:tentative="0">
      <w:start w:val="1"/>
      <w:numFmt w:val="bullet"/>
      <w:lvlText w:val=""/>
      <w:lvlJc w:val="left"/>
      <w:pPr>
        <w:tabs>
          <w:tab w:val="left" w:pos="420"/>
        </w:tabs>
        <w:ind w:left="840" w:hanging="420"/>
      </w:pPr>
      <w:rPr>
        <w:rFonts w:hint="default" w:ascii="Symbol" w:hAnsi="Symbol"/>
      </w:rPr>
    </w:lvl>
    <w:lvl w:ilvl="1" w:tentative="0">
      <w:start w:val="1"/>
      <w:numFmt w:val="bullet"/>
      <w:lvlText w:val="o"/>
      <w:lvlJc w:val="left"/>
      <w:pPr>
        <w:tabs>
          <w:tab w:val="left" w:pos="420"/>
        </w:tabs>
        <w:ind w:left="1260" w:hanging="420"/>
      </w:pPr>
      <w:rPr>
        <w:rFonts w:hint="default" w:ascii="Courier New" w:hAnsi="Courier New" w:cs="Roboto Condensed"/>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3">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E06308F"/>
    <w:multiLevelType w:val="multilevel"/>
    <w:tmpl w:val="3E063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31580FD"/>
    <w:multiLevelType w:val="multilevel"/>
    <w:tmpl w:val="731580FD"/>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6"/>
  </w:num>
  <w:num w:numId="3">
    <w:abstractNumId w:val="5"/>
  </w:num>
  <w:num w:numId="4">
    <w:abstractNumId w:val="4"/>
  </w:num>
  <w:num w:numId="5">
    <w:abstractNumId w:val="7"/>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0E4FC4"/>
    <w:rsid w:val="01207B0A"/>
    <w:rsid w:val="01785675"/>
    <w:rsid w:val="0203305B"/>
    <w:rsid w:val="02040ADD"/>
    <w:rsid w:val="02252C42"/>
    <w:rsid w:val="022C02C9"/>
    <w:rsid w:val="023D1F3B"/>
    <w:rsid w:val="02886B37"/>
    <w:rsid w:val="02B7624C"/>
    <w:rsid w:val="02D2752A"/>
    <w:rsid w:val="02DA6AD2"/>
    <w:rsid w:val="02DE3CC3"/>
    <w:rsid w:val="03197D52"/>
    <w:rsid w:val="032D1844"/>
    <w:rsid w:val="035C7C85"/>
    <w:rsid w:val="038A6C36"/>
    <w:rsid w:val="03E85138"/>
    <w:rsid w:val="03EA4358"/>
    <w:rsid w:val="045643A0"/>
    <w:rsid w:val="04B3027F"/>
    <w:rsid w:val="04C9495C"/>
    <w:rsid w:val="04D66338"/>
    <w:rsid w:val="04E9263C"/>
    <w:rsid w:val="04E946B9"/>
    <w:rsid w:val="050D64D6"/>
    <w:rsid w:val="05333EBB"/>
    <w:rsid w:val="054908B9"/>
    <w:rsid w:val="055943D7"/>
    <w:rsid w:val="05AB50DB"/>
    <w:rsid w:val="062C0CFF"/>
    <w:rsid w:val="0675147B"/>
    <w:rsid w:val="06A607F6"/>
    <w:rsid w:val="06DA35FE"/>
    <w:rsid w:val="075C7197"/>
    <w:rsid w:val="07AF6AAA"/>
    <w:rsid w:val="07BA57F7"/>
    <w:rsid w:val="07D72EEC"/>
    <w:rsid w:val="08FD0690"/>
    <w:rsid w:val="090135A2"/>
    <w:rsid w:val="09442A65"/>
    <w:rsid w:val="095D498D"/>
    <w:rsid w:val="09C51A18"/>
    <w:rsid w:val="09DE12BD"/>
    <w:rsid w:val="09DF5301"/>
    <w:rsid w:val="0A2C4C3F"/>
    <w:rsid w:val="0A2F3646"/>
    <w:rsid w:val="0A7540C5"/>
    <w:rsid w:val="0B09160F"/>
    <w:rsid w:val="0B0A4BEC"/>
    <w:rsid w:val="0B416FFB"/>
    <w:rsid w:val="0B6423BD"/>
    <w:rsid w:val="0B86071C"/>
    <w:rsid w:val="0BCD6F7D"/>
    <w:rsid w:val="0BD00693"/>
    <w:rsid w:val="0C2226EA"/>
    <w:rsid w:val="0C3D20A1"/>
    <w:rsid w:val="0C743634"/>
    <w:rsid w:val="0C747FFC"/>
    <w:rsid w:val="0C7C0C8C"/>
    <w:rsid w:val="0CC95508"/>
    <w:rsid w:val="0CD439C6"/>
    <w:rsid w:val="0CDA7707"/>
    <w:rsid w:val="0CE82007"/>
    <w:rsid w:val="0D110627"/>
    <w:rsid w:val="0DCF28BA"/>
    <w:rsid w:val="0DDA2DC7"/>
    <w:rsid w:val="0DF453A6"/>
    <w:rsid w:val="0E4449F4"/>
    <w:rsid w:val="0EC7435E"/>
    <w:rsid w:val="0F131023"/>
    <w:rsid w:val="0F2862EC"/>
    <w:rsid w:val="0F372FF9"/>
    <w:rsid w:val="0F473B56"/>
    <w:rsid w:val="0F673852"/>
    <w:rsid w:val="0FC21BD9"/>
    <w:rsid w:val="0FC264EA"/>
    <w:rsid w:val="0FEA5EE3"/>
    <w:rsid w:val="101F0E02"/>
    <w:rsid w:val="1026038E"/>
    <w:rsid w:val="10487BBA"/>
    <w:rsid w:val="104D01F0"/>
    <w:rsid w:val="10AA0E51"/>
    <w:rsid w:val="10F320DF"/>
    <w:rsid w:val="11036AF6"/>
    <w:rsid w:val="11326E44"/>
    <w:rsid w:val="115C61ED"/>
    <w:rsid w:val="118A0054"/>
    <w:rsid w:val="118C0FD9"/>
    <w:rsid w:val="12E3738C"/>
    <w:rsid w:val="1313707C"/>
    <w:rsid w:val="13F05F97"/>
    <w:rsid w:val="14050867"/>
    <w:rsid w:val="14131750"/>
    <w:rsid w:val="141476FE"/>
    <w:rsid w:val="141E3891"/>
    <w:rsid w:val="143F5FC4"/>
    <w:rsid w:val="144D6A10"/>
    <w:rsid w:val="14752984"/>
    <w:rsid w:val="147E73FA"/>
    <w:rsid w:val="14BB6147"/>
    <w:rsid w:val="14DE5C01"/>
    <w:rsid w:val="15076B7F"/>
    <w:rsid w:val="152378BB"/>
    <w:rsid w:val="1549557C"/>
    <w:rsid w:val="15E346C1"/>
    <w:rsid w:val="15E476A1"/>
    <w:rsid w:val="15E95D50"/>
    <w:rsid w:val="16161084"/>
    <w:rsid w:val="161F0A58"/>
    <w:rsid w:val="16225260"/>
    <w:rsid w:val="16733D65"/>
    <w:rsid w:val="16864F84"/>
    <w:rsid w:val="17193D80"/>
    <w:rsid w:val="1720040C"/>
    <w:rsid w:val="17217381"/>
    <w:rsid w:val="174F3A55"/>
    <w:rsid w:val="17A440D7"/>
    <w:rsid w:val="17AF28BA"/>
    <w:rsid w:val="17F06755"/>
    <w:rsid w:val="181C2A9C"/>
    <w:rsid w:val="182A67AD"/>
    <w:rsid w:val="18B508C6"/>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810BAF"/>
    <w:rsid w:val="1BB52303"/>
    <w:rsid w:val="1BB81089"/>
    <w:rsid w:val="1C8B6E63"/>
    <w:rsid w:val="1CC1153B"/>
    <w:rsid w:val="1CCB2BC8"/>
    <w:rsid w:val="1CFC16A6"/>
    <w:rsid w:val="1D0B4E33"/>
    <w:rsid w:val="1D7404DD"/>
    <w:rsid w:val="1E0408DC"/>
    <w:rsid w:val="1E746983"/>
    <w:rsid w:val="1E7D5094"/>
    <w:rsid w:val="1E977E3D"/>
    <w:rsid w:val="1F1330A4"/>
    <w:rsid w:val="1F211421"/>
    <w:rsid w:val="1F3F164B"/>
    <w:rsid w:val="1F5E4382"/>
    <w:rsid w:val="1FE80822"/>
    <w:rsid w:val="204C400B"/>
    <w:rsid w:val="21B535DD"/>
    <w:rsid w:val="21D346CC"/>
    <w:rsid w:val="2207391B"/>
    <w:rsid w:val="232C6642"/>
    <w:rsid w:val="23537507"/>
    <w:rsid w:val="23DC6DE7"/>
    <w:rsid w:val="2491398A"/>
    <w:rsid w:val="24AA68E6"/>
    <w:rsid w:val="24E055E0"/>
    <w:rsid w:val="25465A38"/>
    <w:rsid w:val="256107E0"/>
    <w:rsid w:val="25EC61C5"/>
    <w:rsid w:val="26185305"/>
    <w:rsid w:val="26270314"/>
    <w:rsid w:val="26770328"/>
    <w:rsid w:val="26CE253B"/>
    <w:rsid w:val="273B600E"/>
    <w:rsid w:val="27493F03"/>
    <w:rsid w:val="27832252"/>
    <w:rsid w:val="27E404FE"/>
    <w:rsid w:val="27E466EC"/>
    <w:rsid w:val="27FA6A57"/>
    <w:rsid w:val="282412E8"/>
    <w:rsid w:val="28486025"/>
    <w:rsid w:val="287C3043"/>
    <w:rsid w:val="2888557E"/>
    <w:rsid w:val="28B227D4"/>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2A3A34"/>
    <w:rsid w:val="2B3712F2"/>
    <w:rsid w:val="2B463C55"/>
    <w:rsid w:val="2BAA2CF4"/>
    <w:rsid w:val="2BB12B3E"/>
    <w:rsid w:val="2BDA5F01"/>
    <w:rsid w:val="2BDB094E"/>
    <w:rsid w:val="2BE11E2F"/>
    <w:rsid w:val="2C6A44EB"/>
    <w:rsid w:val="2CD90022"/>
    <w:rsid w:val="2D3227EF"/>
    <w:rsid w:val="2D8D5C78"/>
    <w:rsid w:val="2DBD1919"/>
    <w:rsid w:val="2E285745"/>
    <w:rsid w:val="2ED148FB"/>
    <w:rsid w:val="2EE6487F"/>
    <w:rsid w:val="2EEA79A6"/>
    <w:rsid w:val="2F1302DB"/>
    <w:rsid w:val="2F1A0A62"/>
    <w:rsid w:val="2FE62223"/>
    <w:rsid w:val="30390517"/>
    <w:rsid w:val="30853026"/>
    <w:rsid w:val="30A532D8"/>
    <w:rsid w:val="31422411"/>
    <w:rsid w:val="31743165"/>
    <w:rsid w:val="31BD63F5"/>
    <w:rsid w:val="31E10D64"/>
    <w:rsid w:val="321D78C4"/>
    <w:rsid w:val="332F3E0C"/>
    <w:rsid w:val="334B2535"/>
    <w:rsid w:val="34572B3B"/>
    <w:rsid w:val="34AC75AB"/>
    <w:rsid w:val="34DA42C5"/>
    <w:rsid w:val="357144BF"/>
    <w:rsid w:val="35C91817"/>
    <w:rsid w:val="35D579E0"/>
    <w:rsid w:val="35ED4532"/>
    <w:rsid w:val="3618394C"/>
    <w:rsid w:val="366D0E58"/>
    <w:rsid w:val="36937C0A"/>
    <w:rsid w:val="36954F76"/>
    <w:rsid w:val="36B62551"/>
    <w:rsid w:val="36BC1970"/>
    <w:rsid w:val="37366323"/>
    <w:rsid w:val="375D41C0"/>
    <w:rsid w:val="37E312B6"/>
    <w:rsid w:val="38091EFE"/>
    <w:rsid w:val="3869010C"/>
    <w:rsid w:val="386C41A1"/>
    <w:rsid w:val="386F3B58"/>
    <w:rsid w:val="389F7E73"/>
    <w:rsid w:val="38A15575"/>
    <w:rsid w:val="38EB6C6E"/>
    <w:rsid w:val="39B22BE2"/>
    <w:rsid w:val="3A1431FA"/>
    <w:rsid w:val="3A7B60FF"/>
    <w:rsid w:val="3AC53FE9"/>
    <w:rsid w:val="3B1005B0"/>
    <w:rsid w:val="3B153AA6"/>
    <w:rsid w:val="3B5D4EDB"/>
    <w:rsid w:val="3C0E719B"/>
    <w:rsid w:val="3C2E21CB"/>
    <w:rsid w:val="3C512802"/>
    <w:rsid w:val="3C985175"/>
    <w:rsid w:val="3CC75F2B"/>
    <w:rsid w:val="3CEE3985"/>
    <w:rsid w:val="3CF97968"/>
    <w:rsid w:val="3D1C31D0"/>
    <w:rsid w:val="3D1C5404"/>
    <w:rsid w:val="3D6D113A"/>
    <w:rsid w:val="3DAF1ABE"/>
    <w:rsid w:val="3DC0045B"/>
    <w:rsid w:val="3DE5069A"/>
    <w:rsid w:val="3DF210E6"/>
    <w:rsid w:val="3E286C4C"/>
    <w:rsid w:val="3E390124"/>
    <w:rsid w:val="3E6B4177"/>
    <w:rsid w:val="3EE94A45"/>
    <w:rsid w:val="3F0142EA"/>
    <w:rsid w:val="3F067877"/>
    <w:rsid w:val="3F675313"/>
    <w:rsid w:val="3F6F3890"/>
    <w:rsid w:val="3F7A6532"/>
    <w:rsid w:val="3F87756C"/>
    <w:rsid w:val="40227C45"/>
    <w:rsid w:val="40594B0F"/>
    <w:rsid w:val="408B3411"/>
    <w:rsid w:val="40DD0378"/>
    <w:rsid w:val="41126927"/>
    <w:rsid w:val="415B6A48"/>
    <w:rsid w:val="4205365D"/>
    <w:rsid w:val="42340623"/>
    <w:rsid w:val="428803B3"/>
    <w:rsid w:val="42982C9D"/>
    <w:rsid w:val="42B67B31"/>
    <w:rsid w:val="42DC7E3D"/>
    <w:rsid w:val="4307643F"/>
    <w:rsid w:val="434929F0"/>
    <w:rsid w:val="4395737C"/>
    <w:rsid w:val="43CC05E0"/>
    <w:rsid w:val="44547A2A"/>
    <w:rsid w:val="446972D1"/>
    <w:rsid w:val="44705CD5"/>
    <w:rsid w:val="44890DFE"/>
    <w:rsid w:val="44953938"/>
    <w:rsid w:val="450C745A"/>
    <w:rsid w:val="45481880"/>
    <w:rsid w:val="455B6F58"/>
    <w:rsid w:val="46547170"/>
    <w:rsid w:val="468160C4"/>
    <w:rsid w:val="468477C0"/>
    <w:rsid w:val="468C64C8"/>
    <w:rsid w:val="476475F1"/>
    <w:rsid w:val="478E6E5D"/>
    <w:rsid w:val="47A21C10"/>
    <w:rsid w:val="486758D6"/>
    <w:rsid w:val="487921A7"/>
    <w:rsid w:val="488E6476"/>
    <w:rsid w:val="495E03EC"/>
    <w:rsid w:val="49C51095"/>
    <w:rsid w:val="49F0230F"/>
    <w:rsid w:val="4A077580"/>
    <w:rsid w:val="4A2D77C0"/>
    <w:rsid w:val="4A7D6A91"/>
    <w:rsid w:val="4ACE50CF"/>
    <w:rsid w:val="4AFB588F"/>
    <w:rsid w:val="4B1D294C"/>
    <w:rsid w:val="4BF43082"/>
    <w:rsid w:val="4BFE6267"/>
    <w:rsid w:val="4C8E12FA"/>
    <w:rsid w:val="4CB64C6B"/>
    <w:rsid w:val="4CBB1E86"/>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4FA252B3"/>
    <w:rsid w:val="4FFC24CA"/>
    <w:rsid w:val="502E1226"/>
    <w:rsid w:val="503B294F"/>
    <w:rsid w:val="512A76B9"/>
    <w:rsid w:val="51C63383"/>
    <w:rsid w:val="52016097"/>
    <w:rsid w:val="520E0F94"/>
    <w:rsid w:val="5212491B"/>
    <w:rsid w:val="52551E4F"/>
    <w:rsid w:val="525B7A2A"/>
    <w:rsid w:val="528D14FE"/>
    <w:rsid w:val="536C30EB"/>
    <w:rsid w:val="536C5EBC"/>
    <w:rsid w:val="5402188F"/>
    <w:rsid w:val="54206DFA"/>
    <w:rsid w:val="54BC28B8"/>
    <w:rsid w:val="54C06B56"/>
    <w:rsid w:val="55532F8B"/>
    <w:rsid w:val="55D1679A"/>
    <w:rsid w:val="56022A50"/>
    <w:rsid w:val="566118CC"/>
    <w:rsid w:val="567607EC"/>
    <w:rsid w:val="56874282"/>
    <w:rsid w:val="56B75990"/>
    <w:rsid w:val="56CE49F6"/>
    <w:rsid w:val="5717302B"/>
    <w:rsid w:val="571C4FFB"/>
    <w:rsid w:val="5727418B"/>
    <w:rsid w:val="575842A9"/>
    <w:rsid w:val="578C1931"/>
    <w:rsid w:val="57BD7338"/>
    <w:rsid w:val="57FD01F7"/>
    <w:rsid w:val="5807169D"/>
    <w:rsid w:val="583D5ED1"/>
    <w:rsid w:val="585F1909"/>
    <w:rsid w:val="58F67150"/>
    <w:rsid w:val="59222CCC"/>
    <w:rsid w:val="59350668"/>
    <w:rsid w:val="597823D6"/>
    <w:rsid w:val="59915493"/>
    <w:rsid w:val="59C31BDD"/>
    <w:rsid w:val="59E7017B"/>
    <w:rsid w:val="5B544E5A"/>
    <w:rsid w:val="5BDD0946"/>
    <w:rsid w:val="5BDF5D8A"/>
    <w:rsid w:val="5CB71769"/>
    <w:rsid w:val="5CBF4B0B"/>
    <w:rsid w:val="5D1715C8"/>
    <w:rsid w:val="5D39757E"/>
    <w:rsid w:val="5D6F7A58"/>
    <w:rsid w:val="5D9308DB"/>
    <w:rsid w:val="5EB016E9"/>
    <w:rsid w:val="5EBD2E25"/>
    <w:rsid w:val="5ED26803"/>
    <w:rsid w:val="5F5D0FE7"/>
    <w:rsid w:val="5FB4440F"/>
    <w:rsid w:val="60266F49"/>
    <w:rsid w:val="60631E7F"/>
    <w:rsid w:val="607F5CFE"/>
    <w:rsid w:val="608479ED"/>
    <w:rsid w:val="60AA6949"/>
    <w:rsid w:val="60B430B8"/>
    <w:rsid w:val="60E32902"/>
    <w:rsid w:val="612D61FA"/>
    <w:rsid w:val="613722DE"/>
    <w:rsid w:val="61582CBF"/>
    <w:rsid w:val="615E2032"/>
    <w:rsid w:val="61923FC2"/>
    <w:rsid w:val="628B743B"/>
    <w:rsid w:val="62D91574"/>
    <w:rsid w:val="63C6393F"/>
    <w:rsid w:val="63E450B4"/>
    <w:rsid w:val="65282282"/>
    <w:rsid w:val="654C6FBE"/>
    <w:rsid w:val="657D3C94"/>
    <w:rsid w:val="66115A83"/>
    <w:rsid w:val="67104F71"/>
    <w:rsid w:val="675D7CA3"/>
    <w:rsid w:val="67A96A9E"/>
    <w:rsid w:val="67E85689"/>
    <w:rsid w:val="68845507"/>
    <w:rsid w:val="68853EE6"/>
    <w:rsid w:val="691F7904"/>
    <w:rsid w:val="69421884"/>
    <w:rsid w:val="69931E41"/>
    <w:rsid w:val="69B45BF9"/>
    <w:rsid w:val="69D7242D"/>
    <w:rsid w:val="69E51C4B"/>
    <w:rsid w:val="6A204CFE"/>
    <w:rsid w:val="6A333F49"/>
    <w:rsid w:val="6A4341E3"/>
    <w:rsid w:val="6AB3359E"/>
    <w:rsid w:val="6B776B5F"/>
    <w:rsid w:val="6BA14120"/>
    <w:rsid w:val="6C465F32"/>
    <w:rsid w:val="6C5C14E9"/>
    <w:rsid w:val="6D016666"/>
    <w:rsid w:val="6D0E597B"/>
    <w:rsid w:val="6D344536"/>
    <w:rsid w:val="6D4C4ABE"/>
    <w:rsid w:val="6DDF0252"/>
    <w:rsid w:val="6DE60F88"/>
    <w:rsid w:val="6DFC7777"/>
    <w:rsid w:val="6E0A3294"/>
    <w:rsid w:val="6E406379"/>
    <w:rsid w:val="6E596897"/>
    <w:rsid w:val="6E78714C"/>
    <w:rsid w:val="6EA43493"/>
    <w:rsid w:val="6ECE4E5C"/>
    <w:rsid w:val="6F6F65A1"/>
    <w:rsid w:val="6FA6433B"/>
    <w:rsid w:val="6FBA2FDB"/>
    <w:rsid w:val="6FDB3A32"/>
    <w:rsid w:val="6FF84AE4"/>
    <w:rsid w:val="70903082"/>
    <w:rsid w:val="709F24B1"/>
    <w:rsid w:val="70D03D97"/>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35CF6"/>
    <w:rsid w:val="765E6EE2"/>
    <w:rsid w:val="76993250"/>
    <w:rsid w:val="76E42137"/>
    <w:rsid w:val="76EC20A9"/>
    <w:rsid w:val="774E6582"/>
    <w:rsid w:val="77A779CA"/>
    <w:rsid w:val="78601C0A"/>
    <w:rsid w:val="78630991"/>
    <w:rsid w:val="78E70D46"/>
    <w:rsid w:val="79101DAE"/>
    <w:rsid w:val="791F0D44"/>
    <w:rsid w:val="79697EBE"/>
    <w:rsid w:val="79853F6B"/>
    <w:rsid w:val="79E26883"/>
    <w:rsid w:val="79EA503F"/>
    <w:rsid w:val="7A011336"/>
    <w:rsid w:val="7A3B0217"/>
    <w:rsid w:val="7AF04842"/>
    <w:rsid w:val="7B0F1D7D"/>
    <w:rsid w:val="7B2E412F"/>
    <w:rsid w:val="7B377AE0"/>
    <w:rsid w:val="7B755B87"/>
    <w:rsid w:val="7B812AAC"/>
    <w:rsid w:val="7B9954D3"/>
    <w:rsid w:val="7C951F7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2"/>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1"/>
    <w:semiHidden/>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35"/>
    <w:pPr>
      <w:spacing w:before="120" w:after="120"/>
    </w:pPr>
    <w:rPr>
      <w:rFonts w:eastAsia="MS Mincho"/>
      <w:b/>
    </w:rPr>
  </w:style>
  <w:style w:type="paragraph" w:styleId="12">
    <w:name w:val="annotation text"/>
    <w:basedOn w:val="1"/>
    <w:link w:val="27"/>
    <w:unhideWhenUsed/>
    <w:qFormat/>
    <w:uiPriority w:val="0"/>
  </w:style>
  <w:style w:type="paragraph" w:styleId="13">
    <w:name w:val="footer"/>
    <w:basedOn w:val="1"/>
    <w:link w:val="31"/>
    <w:unhideWhenUsed/>
    <w:qFormat/>
    <w:uiPriority w:val="99"/>
    <w:pPr>
      <w:tabs>
        <w:tab w:val="center" w:pos="4153"/>
        <w:tab w:val="right" w:pos="8306"/>
      </w:tabs>
      <w:snapToGrid w:val="0"/>
    </w:pPr>
    <w:rPr>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List"/>
    <w:basedOn w:val="1"/>
    <w:qFormat/>
    <w:uiPriority w:val="0"/>
    <w:pPr>
      <w:ind w:left="568" w:hanging="284"/>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annotation reference"/>
    <w:basedOn w:val="19"/>
    <w:semiHidden/>
    <w:unhideWhenUsed/>
    <w:qFormat/>
    <w:uiPriority w:val="99"/>
    <w:rPr>
      <w:sz w:val="21"/>
      <w:szCs w:val="21"/>
    </w:rPr>
  </w:style>
  <w:style w:type="character" w:customStyle="1" w:styleId="22">
    <w:name w:val="标题 1 字符"/>
    <w:basedOn w:val="19"/>
    <w:qFormat/>
    <w:uiPriority w:val="9"/>
    <w:rPr>
      <w:rFonts w:ascii="Times New Roman" w:hAnsi="Times New Roman" w:eastAsia="Times New Roman" w:cs="Times New Roman"/>
      <w:b/>
      <w:bCs/>
      <w:kern w:val="44"/>
      <w:sz w:val="44"/>
      <w:szCs w:val="44"/>
      <w:lang w:val="en-GB" w:eastAsia="en-GB"/>
    </w:rPr>
  </w:style>
  <w:style w:type="character" w:customStyle="1" w:styleId="23">
    <w:name w:val="标题 1 字符1"/>
    <w:link w:val="2"/>
    <w:qFormat/>
    <w:uiPriority w:val="0"/>
    <w:rPr>
      <w:rFonts w:ascii="Arial" w:hAnsi="Arial" w:eastAsia="Times New Roman" w:cs="Times New Roman"/>
      <w:kern w:val="0"/>
      <w:sz w:val="36"/>
      <w:szCs w:val="20"/>
      <w:lang w:val="en-GB" w:eastAsia="en-GB"/>
    </w:rPr>
  </w:style>
  <w:style w:type="paragraph" w:customStyle="1" w:styleId="24">
    <w:name w:val="EX"/>
    <w:basedOn w:val="1"/>
    <w:link w:val="25"/>
    <w:qFormat/>
    <w:uiPriority w:val="0"/>
    <w:pPr>
      <w:keepLines/>
      <w:overflowPunct/>
      <w:autoSpaceDE/>
      <w:autoSpaceDN/>
      <w:adjustRightInd/>
      <w:ind w:left="1702" w:hanging="1418"/>
      <w:textAlignment w:val="auto"/>
    </w:pPr>
    <w:rPr>
      <w:rFonts w:eastAsia="MS Mincho"/>
      <w:lang w:eastAsia="en-US"/>
    </w:rPr>
  </w:style>
  <w:style w:type="character" w:customStyle="1" w:styleId="25">
    <w:name w:val="EX Char"/>
    <w:link w:val="24"/>
    <w:qFormat/>
    <w:uiPriority w:val="0"/>
    <w:rPr>
      <w:rFonts w:ascii="Times New Roman" w:hAnsi="Times New Roman" w:eastAsia="MS Mincho" w:cs="Times New Roman"/>
      <w:kern w:val="0"/>
      <w:sz w:val="20"/>
      <w:szCs w:val="20"/>
      <w:lang w:val="en-GB" w:eastAsia="en-US"/>
    </w:rPr>
  </w:style>
  <w:style w:type="paragraph" w:styleId="26">
    <w:name w:val="List Paragraph"/>
    <w:basedOn w:val="1"/>
    <w:link w:val="28"/>
    <w:qFormat/>
    <w:uiPriority w:val="34"/>
    <w:pPr>
      <w:ind w:firstLine="420" w:firstLineChars="200"/>
    </w:pPr>
  </w:style>
  <w:style w:type="character" w:customStyle="1" w:styleId="27">
    <w:name w:val="批注文字 字符"/>
    <w:basedOn w:val="19"/>
    <w:link w:val="12"/>
    <w:qFormat/>
    <w:uiPriority w:val="0"/>
    <w:rPr>
      <w:rFonts w:ascii="Times New Roman" w:hAnsi="Times New Roman" w:eastAsia="Times New Roman" w:cs="Times New Roman"/>
      <w:kern w:val="0"/>
      <w:sz w:val="20"/>
      <w:szCs w:val="20"/>
      <w:lang w:val="en-GB" w:eastAsia="en-GB"/>
    </w:rPr>
  </w:style>
  <w:style w:type="character" w:customStyle="1" w:styleId="28">
    <w:name w:val="列表段落 字符"/>
    <w:link w:val="26"/>
    <w:qFormat/>
    <w:locked/>
    <w:uiPriority w:val="34"/>
    <w:rPr>
      <w:rFonts w:ascii="Times New Roman" w:hAnsi="Times New Roman" w:eastAsia="Times New Roman" w:cs="Times New Roman"/>
      <w:kern w:val="0"/>
      <w:sz w:val="20"/>
      <w:szCs w:val="20"/>
      <w:lang w:val="en-GB" w:eastAsia="en-GB"/>
    </w:rPr>
  </w:style>
  <w:style w:type="paragraph" w:customStyle="1" w:styleId="29">
    <w:name w:val="NO"/>
    <w:basedOn w:val="1"/>
    <w:qFormat/>
    <w:uiPriority w:val="0"/>
    <w:pPr>
      <w:keepLines/>
      <w:ind w:left="1135" w:hanging="851"/>
      <w:textAlignment w:val="auto"/>
    </w:pPr>
    <w:rPr>
      <w:rFonts w:eastAsia="宋体"/>
    </w:rPr>
  </w:style>
  <w:style w:type="character" w:customStyle="1" w:styleId="30">
    <w:name w:val="页眉 字符"/>
    <w:basedOn w:val="19"/>
    <w:link w:val="14"/>
    <w:qFormat/>
    <w:uiPriority w:val="99"/>
    <w:rPr>
      <w:rFonts w:ascii="Times New Roman" w:hAnsi="Times New Roman" w:eastAsia="Times New Roman" w:cs="Times New Roman"/>
      <w:kern w:val="0"/>
      <w:sz w:val="18"/>
      <w:szCs w:val="18"/>
      <w:lang w:val="en-GB" w:eastAsia="en-GB"/>
    </w:rPr>
  </w:style>
  <w:style w:type="character" w:customStyle="1" w:styleId="31">
    <w:name w:val="页脚 字符"/>
    <w:basedOn w:val="19"/>
    <w:link w:val="13"/>
    <w:qFormat/>
    <w:uiPriority w:val="99"/>
    <w:rPr>
      <w:rFonts w:ascii="Times New Roman" w:hAnsi="Times New Roman" w:eastAsia="Times New Roman" w:cs="Times New Roman"/>
      <w:kern w:val="0"/>
      <w:sz w:val="18"/>
      <w:szCs w:val="18"/>
      <w:lang w:val="en-GB" w:eastAsia="en-GB"/>
    </w:rPr>
  </w:style>
  <w:style w:type="character" w:customStyle="1" w:styleId="32">
    <w:name w:val="标题 2 字符"/>
    <w:basedOn w:val="19"/>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4">
    <w:name w:val="无格式表格 21"/>
    <w:basedOn w:val="17"/>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5">
    <w:name w:val="网格表 1 浅色1"/>
    <w:basedOn w:val="17"/>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6">
    <w:name w:val="CR Cover Page"/>
    <w:qFormat/>
    <w:uiPriority w:val="0"/>
    <w:pPr>
      <w:spacing w:after="120"/>
    </w:pPr>
    <w:rPr>
      <w:rFonts w:ascii="Arial" w:hAnsi="Arial" w:cs="Times New Roman" w:eastAsiaTheme="minorEastAsia"/>
      <w:lang w:val="en-GB" w:eastAsia="en-US" w:bidi="ar-SA"/>
    </w:rPr>
  </w:style>
  <w:style w:type="paragraph" w:customStyle="1" w:styleId="37">
    <w:name w:val="B1"/>
    <w:basedOn w:val="15"/>
    <w:link w:val="39"/>
    <w:qFormat/>
    <w:uiPriority w:val="0"/>
    <w:pPr>
      <w:overflowPunct/>
      <w:autoSpaceDE/>
      <w:autoSpaceDN/>
      <w:adjustRightInd/>
      <w:ind w:left="568" w:hanging="284"/>
      <w:textAlignment w:val="auto"/>
    </w:pPr>
    <w:rPr>
      <w:rFonts w:eastAsiaTheme="minorEastAsia"/>
      <w:lang w:eastAsia="en-US"/>
    </w:rPr>
  </w:style>
  <w:style w:type="paragraph" w:customStyle="1" w:styleId="38">
    <w:name w:val="B2"/>
    <w:basedOn w:val="1"/>
    <w:link w:val="40"/>
    <w:qFormat/>
    <w:uiPriority w:val="0"/>
    <w:pPr>
      <w:overflowPunct/>
      <w:autoSpaceDE/>
      <w:autoSpaceDN/>
      <w:adjustRightInd/>
      <w:ind w:left="851" w:hanging="284"/>
      <w:textAlignment w:val="auto"/>
    </w:pPr>
    <w:rPr>
      <w:rFonts w:eastAsiaTheme="minorEastAsia"/>
      <w:lang w:eastAsia="en-US"/>
    </w:rPr>
  </w:style>
  <w:style w:type="character" w:customStyle="1" w:styleId="39">
    <w:name w:val="B1 Char"/>
    <w:link w:val="37"/>
    <w:qFormat/>
    <w:uiPriority w:val="0"/>
    <w:rPr>
      <w:rFonts w:ascii="Times New Roman" w:hAnsi="Times New Roman" w:cs="Times New Roman"/>
      <w:kern w:val="0"/>
      <w:sz w:val="20"/>
      <w:szCs w:val="20"/>
      <w:lang w:val="en-GB" w:eastAsia="en-US"/>
    </w:rPr>
  </w:style>
  <w:style w:type="character" w:customStyle="1" w:styleId="40">
    <w:name w:val="B2 Char"/>
    <w:link w:val="38"/>
    <w:qFormat/>
    <w:uiPriority w:val="0"/>
    <w:rPr>
      <w:rFonts w:ascii="Times New Roman" w:hAnsi="Times New Roman" w:cs="Times New Roman"/>
      <w:kern w:val="0"/>
      <w:sz w:val="20"/>
      <w:szCs w:val="20"/>
      <w:lang w:val="en-GB" w:eastAsia="en-US"/>
    </w:rPr>
  </w:style>
  <w:style w:type="character" w:customStyle="1" w:styleId="41">
    <w:name w:val="标题 3 字符"/>
    <w:basedOn w:val="19"/>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2">
    <w:name w:val="TAH"/>
    <w:basedOn w:val="43"/>
    <w:link w:val="46"/>
    <w:qFormat/>
    <w:uiPriority w:val="99"/>
    <w:rPr>
      <w:b/>
    </w:rPr>
  </w:style>
  <w:style w:type="paragraph" w:customStyle="1" w:styleId="43">
    <w:name w:val="TAC"/>
    <w:basedOn w:val="44"/>
    <w:link w:val="45"/>
    <w:qFormat/>
    <w:uiPriority w:val="99"/>
    <w:pPr>
      <w:overflowPunct/>
      <w:autoSpaceDE/>
      <w:autoSpaceDN/>
      <w:adjustRightInd/>
      <w:jc w:val="center"/>
      <w:textAlignment w:val="auto"/>
    </w:pPr>
    <w:rPr>
      <w:rFonts w:eastAsiaTheme="minorEastAsia"/>
      <w:lang w:eastAsia="en-US"/>
    </w:rPr>
  </w:style>
  <w:style w:type="paragraph" w:customStyle="1" w:styleId="44">
    <w:name w:val="TAL"/>
    <w:basedOn w:val="1"/>
    <w:qFormat/>
    <w:uiPriority w:val="0"/>
    <w:pPr>
      <w:keepNext/>
      <w:keepLines/>
      <w:spacing w:after="0"/>
    </w:pPr>
    <w:rPr>
      <w:rFonts w:ascii="Arial" w:hAnsi="Arial"/>
      <w:sz w:val="18"/>
    </w:rPr>
  </w:style>
  <w:style w:type="character" w:customStyle="1" w:styleId="45">
    <w:name w:val="TAC Char"/>
    <w:link w:val="43"/>
    <w:qFormat/>
    <w:uiPriority w:val="99"/>
    <w:rPr>
      <w:rFonts w:ascii="Arial" w:hAnsi="Arial" w:cs="Times New Roman"/>
      <w:kern w:val="0"/>
      <w:sz w:val="18"/>
      <w:szCs w:val="20"/>
      <w:lang w:val="en-GB" w:eastAsia="en-US"/>
    </w:rPr>
  </w:style>
  <w:style w:type="character" w:customStyle="1" w:styleId="46">
    <w:name w:val="TAH Car"/>
    <w:link w:val="42"/>
    <w:qFormat/>
    <w:uiPriority w:val="99"/>
    <w:rPr>
      <w:rFonts w:ascii="Arial" w:hAnsi="Arial" w:cs="Times New Roman"/>
      <w:b/>
      <w:kern w:val="0"/>
      <w:sz w:val="18"/>
      <w:szCs w:val="20"/>
      <w:lang w:val="en-GB" w:eastAsia="en-US"/>
    </w:rPr>
  </w:style>
  <w:style w:type="paragraph" w:customStyle="1" w:styleId="47">
    <w:name w:val="TAN"/>
    <w:basedOn w:val="44"/>
    <w:link w:val="48"/>
    <w:qFormat/>
    <w:uiPriority w:val="0"/>
    <w:pPr>
      <w:overflowPunct/>
      <w:autoSpaceDE/>
      <w:autoSpaceDN/>
      <w:adjustRightInd/>
      <w:ind w:left="851" w:hanging="851"/>
      <w:textAlignment w:val="auto"/>
    </w:pPr>
    <w:rPr>
      <w:rFonts w:eastAsiaTheme="minorEastAsia"/>
      <w:lang w:eastAsia="en-US"/>
    </w:rPr>
  </w:style>
  <w:style w:type="character" w:customStyle="1" w:styleId="48">
    <w:name w:val="TAN Char"/>
    <w:link w:val="47"/>
    <w:qFormat/>
    <w:uiPriority w:val="0"/>
    <w:rPr>
      <w:rFonts w:ascii="Arial" w:hAnsi="Arial" w:cs="Times New Roman"/>
      <w:kern w:val="0"/>
      <w:sz w:val="18"/>
      <w:szCs w:val="20"/>
      <w:lang w:val="en-GB" w:eastAsia="en-US"/>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1">
    <w:name w:val="Status"/>
    <w:basedOn w:val="52"/>
    <w:qFormat/>
    <w:uiPriority w:val="0"/>
    <w:rPr>
      <w:b w:val="0"/>
    </w:rPr>
  </w:style>
  <w:style w:type="paragraph" w:styleId="5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3">
    <w:name w:val="TF"/>
    <w:basedOn w:val="49"/>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2025-11-07T09:53:57Z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2C0A1E232FFC4928AC0CB030DEDA48CE_13</vt:lpwstr>
  </property>
  <property fmtid="{D5CDD505-2E9C-101B-9397-08002B2CF9AE}" pid="4" name="KSOTemplateDocerSaveRecord">
    <vt:lpwstr>eyJoZGlkIjoiOTU4MjljY2YzMDI1NGE4ZjYxYjczNDgxZmJjYzMzMTQiLCJ1c2VySWQiOiI0OTE3MDIwNzMifQ==</vt:lpwstr>
  </property>
</Properties>
</file>