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F353" w14:textId="0A02C484" w:rsidR="00303C25" w:rsidRPr="00C02C2D" w:rsidRDefault="00303C25" w:rsidP="00303C25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C02C2D">
        <w:rPr>
          <w:rFonts w:ascii="Arial" w:hAnsi="Arial" w:cs="Arial"/>
          <w:b/>
          <w:sz w:val="24"/>
          <w:lang w:val="de-DE"/>
        </w:rPr>
        <w:t>3GPP TSG-RAN WG4 Meeting #11</w:t>
      </w:r>
      <w:r w:rsidR="00E920B1" w:rsidRPr="00C02C2D">
        <w:rPr>
          <w:rFonts w:ascii="Arial" w:hAnsi="Arial" w:cs="Arial"/>
          <w:b/>
          <w:sz w:val="24"/>
          <w:lang w:val="de-DE"/>
        </w:rPr>
        <w:t>6</w:t>
      </w:r>
      <w:r w:rsidR="005E7800" w:rsidRPr="00C02C2D">
        <w:rPr>
          <w:rFonts w:ascii="Arial" w:hAnsi="Arial" w:cs="Arial"/>
          <w:b/>
          <w:sz w:val="24"/>
          <w:lang w:val="de-DE"/>
        </w:rPr>
        <w:t>bis</w:t>
      </w:r>
      <w:r w:rsidRPr="00C02C2D">
        <w:rPr>
          <w:rFonts w:ascii="Arial" w:hAnsi="Arial" w:cs="Arial"/>
          <w:b/>
          <w:sz w:val="24"/>
          <w:lang w:val="de-DE"/>
        </w:rPr>
        <w:tab/>
      </w:r>
      <w:r w:rsidRPr="00C02C2D">
        <w:rPr>
          <w:rFonts w:ascii="Arial" w:hAnsi="Arial" w:cs="Arial"/>
          <w:b/>
          <w:sz w:val="24"/>
          <w:lang w:val="de-DE"/>
        </w:rPr>
        <w:tab/>
      </w:r>
      <w:r w:rsidR="000431E3" w:rsidRPr="00C02C2D">
        <w:rPr>
          <w:rFonts w:ascii="Arial" w:hAnsi="Arial" w:cs="Arial"/>
          <w:b/>
          <w:sz w:val="24"/>
          <w:lang w:val="de-DE"/>
        </w:rPr>
        <w:t>R4-25</w:t>
      </w:r>
      <w:r w:rsidR="004A4B21">
        <w:rPr>
          <w:rFonts w:ascii="Arial" w:hAnsi="Arial" w:cs="Arial"/>
          <w:b/>
          <w:sz w:val="24"/>
          <w:lang w:val="de-DE"/>
        </w:rPr>
        <w:t>13993</w:t>
      </w:r>
      <w:r w:rsidRPr="00C02C2D">
        <w:rPr>
          <w:rFonts w:ascii="Arial" w:hAnsi="Arial" w:cs="Arial"/>
          <w:b/>
          <w:sz w:val="24"/>
          <w:lang w:val="de-DE"/>
        </w:rPr>
        <w:br/>
      </w:r>
      <w:r w:rsidR="005E7800" w:rsidRPr="00C02C2D">
        <w:rPr>
          <w:rFonts w:ascii="Arial" w:eastAsia="宋体" w:hAnsi="Arial" w:cs="Arial"/>
          <w:b/>
          <w:sz w:val="24"/>
          <w:szCs w:val="24"/>
          <w:lang w:eastAsia="zh-CN"/>
        </w:rPr>
        <w:t>Prague</w:t>
      </w:r>
      <w:r w:rsidR="00876B64" w:rsidRPr="00C02C2D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="005E7800" w:rsidRPr="00C02C2D">
        <w:rPr>
          <w:rFonts w:ascii="Arial" w:eastAsia="宋体" w:hAnsi="Arial" w:cs="Arial"/>
          <w:b/>
          <w:sz w:val="24"/>
          <w:szCs w:val="24"/>
          <w:lang w:eastAsia="zh-CN"/>
        </w:rPr>
        <w:t>Czech Republic</w:t>
      </w:r>
      <w:r w:rsidR="00876B64" w:rsidRPr="00C02C2D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="005E7800" w:rsidRPr="00C02C2D">
        <w:rPr>
          <w:rFonts w:ascii="Arial" w:eastAsia="宋体" w:hAnsi="Arial" w:cs="Arial"/>
          <w:b/>
          <w:sz w:val="24"/>
          <w:szCs w:val="24"/>
          <w:lang w:eastAsia="zh-CN"/>
        </w:rPr>
        <w:t>13</w:t>
      </w:r>
      <w:r w:rsidR="00876B64" w:rsidRPr="00C02C2D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 w:rsidR="005E7800" w:rsidRPr="00C02C2D">
        <w:rPr>
          <w:rFonts w:ascii="Arial" w:eastAsia="宋体" w:hAnsi="Arial" w:cs="Arial"/>
          <w:b/>
          <w:sz w:val="24"/>
          <w:szCs w:val="24"/>
          <w:lang w:eastAsia="zh-CN"/>
        </w:rPr>
        <w:t>17</w:t>
      </w:r>
      <w:r w:rsidR="00876B64" w:rsidRPr="00C02C2D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5E7800" w:rsidRPr="00C02C2D">
        <w:rPr>
          <w:rFonts w:ascii="Arial" w:eastAsia="宋体" w:hAnsi="Arial" w:cs="Arial"/>
          <w:b/>
          <w:sz w:val="24"/>
          <w:szCs w:val="24"/>
          <w:lang w:eastAsia="zh-CN"/>
        </w:rPr>
        <w:t>Oct</w:t>
      </w:r>
      <w:r w:rsidR="00876B64" w:rsidRPr="00C02C2D">
        <w:rPr>
          <w:rFonts w:ascii="Arial" w:eastAsia="宋体" w:hAnsi="Arial" w:cs="Arial"/>
          <w:b/>
          <w:sz w:val="24"/>
          <w:szCs w:val="24"/>
          <w:lang w:eastAsia="zh-CN"/>
        </w:rPr>
        <w:t xml:space="preserve"> 2025</w:t>
      </w:r>
      <w:bookmarkEnd w:id="0"/>
    </w:p>
    <w:p w14:paraId="194F5C4B" w14:textId="77777777" w:rsidR="00C555E7" w:rsidRPr="00C02C2D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394D6EE7" w:rsidR="00C555E7" w:rsidRPr="00C02C2D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C02C2D">
        <w:rPr>
          <w:rFonts w:ascii="Arial" w:hAnsi="Arial" w:cs="Arial"/>
          <w:b/>
          <w:sz w:val="24"/>
          <w:szCs w:val="24"/>
        </w:rPr>
        <w:t>Title:</w:t>
      </w:r>
      <w:r w:rsidRPr="00C02C2D">
        <w:rPr>
          <w:rFonts w:ascii="Arial" w:hAnsi="Arial" w:cs="Arial"/>
          <w:b/>
          <w:sz w:val="24"/>
          <w:szCs w:val="24"/>
        </w:rPr>
        <w:tab/>
      </w:r>
      <w:r w:rsidR="000E4277" w:rsidRPr="00C02C2D">
        <w:rPr>
          <w:rFonts w:ascii="Arial" w:hAnsi="Arial" w:cs="Arial"/>
          <w:b/>
          <w:sz w:val="24"/>
          <w:szCs w:val="24"/>
        </w:rPr>
        <w:t xml:space="preserve">Discussion on </w:t>
      </w:r>
      <w:r w:rsidR="00B25A6F" w:rsidRPr="00C02C2D">
        <w:rPr>
          <w:rFonts w:ascii="Arial" w:hAnsi="Arial" w:cs="Arial"/>
          <w:b/>
          <w:sz w:val="24"/>
          <w:szCs w:val="24"/>
        </w:rPr>
        <w:t xml:space="preserve">R20 </w:t>
      </w:r>
      <w:r w:rsidR="000E4277" w:rsidRPr="00C02C2D">
        <w:rPr>
          <w:rFonts w:ascii="Arial" w:hAnsi="Arial" w:cs="Arial"/>
          <w:b/>
          <w:sz w:val="24"/>
          <w:szCs w:val="24"/>
        </w:rPr>
        <w:t>low NR band carrier aggregation via switching</w:t>
      </w:r>
    </w:p>
    <w:p w14:paraId="1D313A4D" w14:textId="77777777" w:rsidR="00C555E7" w:rsidRPr="00C02C2D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C02C2D">
        <w:rPr>
          <w:rFonts w:ascii="Arial" w:hAnsi="Arial" w:cs="Arial"/>
          <w:b/>
          <w:sz w:val="24"/>
          <w:szCs w:val="24"/>
        </w:rPr>
        <w:t>Source:</w:t>
      </w:r>
      <w:r w:rsidRPr="00C02C2D">
        <w:rPr>
          <w:rFonts w:ascii="Arial" w:hAnsi="Arial" w:cs="Arial"/>
          <w:b/>
          <w:sz w:val="24"/>
          <w:szCs w:val="24"/>
        </w:rPr>
        <w:tab/>
        <w:t>OPPO</w:t>
      </w:r>
    </w:p>
    <w:p w14:paraId="049658F8" w14:textId="15A12FE1" w:rsidR="00C555E7" w:rsidRPr="00C02C2D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C02C2D">
        <w:rPr>
          <w:rFonts w:ascii="Arial" w:hAnsi="Arial" w:cs="Arial"/>
          <w:b/>
          <w:sz w:val="24"/>
          <w:szCs w:val="24"/>
        </w:rPr>
        <w:t>Agenda item:</w:t>
      </w:r>
      <w:r w:rsidRPr="00C02C2D">
        <w:rPr>
          <w:rFonts w:ascii="Arial" w:hAnsi="Arial" w:cs="Arial"/>
          <w:b/>
          <w:sz w:val="24"/>
          <w:szCs w:val="24"/>
        </w:rPr>
        <w:tab/>
      </w:r>
      <w:r w:rsidR="003D1644" w:rsidRPr="00C02C2D">
        <w:rPr>
          <w:rFonts w:ascii="Arial" w:hAnsi="Arial" w:cs="Arial"/>
          <w:b/>
          <w:sz w:val="24"/>
          <w:szCs w:val="24"/>
        </w:rPr>
        <w:t>7.</w:t>
      </w:r>
      <w:r w:rsidR="000E4277" w:rsidRPr="00C02C2D">
        <w:rPr>
          <w:rFonts w:ascii="Arial" w:hAnsi="Arial" w:cs="Arial"/>
          <w:b/>
          <w:sz w:val="24"/>
          <w:szCs w:val="24"/>
        </w:rPr>
        <w:t>8</w:t>
      </w:r>
      <w:r w:rsidR="003D1644" w:rsidRPr="00C02C2D">
        <w:rPr>
          <w:rFonts w:ascii="Arial" w:hAnsi="Arial" w:cs="Arial"/>
          <w:b/>
          <w:sz w:val="24"/>
          <w:szCs w:val="24"/>
        </w:rPr>
        <w:t>.</w:t>
      </w:r>
      <w:r w:rsidR="004C7598" w:rsidRPr="00C02C2D">
        <w:rPr>
          <w:rFonts w:ascii="Arial" w:hAnsi="Arial" w:cs="Arial"/>
          <w:b/>
          <w:sz w:val="24"/>
          <w:szCs w:val="24"/>
        </w:rPr>
        <w:t>3</w:t>
      </w:r>
    </w:p>
    <w:p w14:paraId="16DFD007" w14:textId="77777777" w:rsidR="00C555E7" w:rsidRPr="00C02C2D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C02C2D">
        <w:rPr>
          <w:rFonts w:ascii="Arial" w:hAnsi="Arial" w:cs="Arial"/>
          <w:b/>
          <w:sz w:val="24"/>
          <w:szCs w:val="24"/>
        </w:rPr>
        <w:t>Document for:</w:t>
      </w:r>
      <w:r w:rsidRPr="00C02C2D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14:paraId="39C7E2B7" w14:textId="77777777" w:rsidR="00C555E7" w:rsidRPr="00C02C2D" w:rsidRDefault="00C555E7" w:rsidP="0079283D">
      <w:pPr>
        <w:pStyle w:val="a"/>
      </w:pPr>
      <w:r w:rsidRPr="00C02C2D">
        <w:t>Introduction</w:t>
      </w:r>
    </w:p>
    <w:p w14:paraId="4286B87B" w14:textId="6D7896D8" w:rsidR="00C555E7" w:rsidRPr="00C02C2D" w:rsidRDefault="00B23E46" w:rsidP="00C555E7">
      <w:pPr>
        <w:rPr>
          <w:rFonts w:eastAsiaTheme="minorEastAsia"/>
          <w:lang w:eastAsia="zh-CN"/>
        </w:rPr>
      </w:pPr>
      <w:r w:rsidRPr="00C02C2D">
        <w:rPr>
          <w:rFonts w:eastAsiaTheme="minorEastAsia" w:hint="eastAsia"/>
          <w:lang w:eastAsia="zh-CN"/>
        </w:rPr>
        <w:t>In</w:t>
      </w:r>
      <w:r w:rsidRPr="00C02C2D">
        <w:rPr>
          <w:rFonts w:eastAsiaTheme="minorEastAsia"/>
          <w:lang w:eastAsia="zh-CN"/>
        </w:rPr>
        <w:t xml:space="preserve"> Rel-20, t</w:t>
      </w:r>
      <w:r w:rsidR="00013E9D" w:rsidRPr="00C02C2D">
        <w:rPr>
          <w:rFonts w:eastAsiaTheme="minorEastAsia"/>
          <w:lang w:eastAsia="zh-CN"/>
        </w:rPr>
        <w:t>he</w:t>
      </w:r>
      <w:r w:rsidR="00013E9D" w:rsidRPr="00C02C2D">
        <w:rPr>
          <w:rFonts w:eastAsiaTheme="minorEastAsia" w:hint="eastAsia"/>
          <w:lang w:eastAsia="zh-CN"/>
        </w:rPr>
        <w:t xml:space="preserve"> enhancement of low NR band carrier aggregation via switching</w:t>
      </w:r>
      <w:r w:rsidR="00013E9D" w:rsidRPr="00C02C2D">
        <w:rPr>
          <w:rFonts w:eastAsiaTheme="minorEastAsia"/>
          <w:lang w:eastAsia="zh-CN"/>
        </w:rPr>
        <w:t xml:space="preserve"> was approved in </w:t>
      </w:r>
      <w:r w:rsidR="00B7443E" w:rsidRPr="00C02C2D">
        <w:rPr>
          <w:rFonts w:eastAsiaTheme="minorEastAsia"/>
          <w:lang w:eastAsia="zh-CN"/>
        </w:rPr>
        <w:t>[1]</w:t>
      </w:r>
      <w:r w:rsidRPr="00C02C2D">
        <w:rPr>
          <w:rFonts w:eastAsiaTheme="minorEastAsia"/>
          <w:lang w:eastAsia="zh-CN"/>
        </w:rPr>
        <w:t>.</w:t>
      </w:r>
      <w:r w:rsidR="00506E34" w:rsidRPr="00C02C2D">
        <w:rPr>
          <w:rFonts w:eastAsiaTheme="minorEastAsia"/>
          <w:lang w:eastAsia="zh-CN"/>
        </w:rPr>
        <w:t xml:space="preserve"> This paper shares our view on</w:t>
      </w:r>
      <w:r w:rsidRPr="00C02C2D">
        <w:rPr>
          <w:rFonts w:eastAsiaTheme="minorEastAsia"/>
          <w:lang w:eastAsia="zh-CN"/>
        </w:rPr>
        <w:t xml:space="preserve"> this aspect</w:t>
      </w:r>
      <w:r w:rsidR="00074851" w:rsidRPr="00C02C2D">
        <w:rPr>
          <w:rFonts w:eastAsiaTheme="minorEastAsia"/>
          <w:lang w:eastAsia="zh-CN"/>
        </w:rPr>
        <w:t>.</w:t>
      </w:r>
    </w:p>
    <w:p w14:paraId="19D9073A" w14:textId="77777777" w:rsidR="00B23E46" w:rsidRPr="00C02C2D" w:rsidRDefault="00B23E46" w:rsidP="00C555E7">
      <w:pPr>
        <w:rPr>
          <w:rFonts w:eastAsiaTheme="minorEastAsia"/>
          <w:lang w:eastAsia="zh-CN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23E46" w:rsidRPr="00C02C2D" w14:paraId="68E879C2" w14:textId="77777777" w:rsidTr="00B23E46">
        <w:tc>
          <w:tcPr>
            <w:tcW w:w="9631" w:type="dxa"/>
          </w:tcPr>
          <w:p w14:paraId="10C3CCEB" w14:textId="77777777" w:rsidR="000E4277" w:rsidRPr="00C02C2D" w:rsidRDefault="000E4277" w:rsidP="000E4277">
            <w:pPr>
              <w:widowControl w:val="0"/>
              <w:numPr>
                <w:ilvl w:val="0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lang w:eastAsia="x-none"/>
              </w:rPr>
              <w:t xml:space="preserve">Specify the necessary UE RF and RRM core requirements to allow switching between {case 1, case </w:t>
            </w:r>
            <w:r w:rsidRPr="00C02C2D">
              <w:rPr>
                <w:rFonts w:hint="eastAsia"/>
                <w:lang w:eastAsia="x-none"/>
              </w:rPr>
              <w:t>3</w:t>
            </w:r>
            <w:r w:rsidRPr="00C02C2D">
              <w:rPr>
                <w:lang w:eastAsia="x-none"/>
              </w:rPr>
              <w:t>} to enable low band carrier aggregation via switching for the dual downlink scenario between FDD band and SDL band [RAN4].</w:t>
            </w:r>
          </w:p>
          <w:p w14:paraId="429913F6" w14:textId="77777777" w:rsidR="000E4277" w:rsidRPr="00C02C2D" w:rsidRDefault="000E4277" w:rsidP="000E4277">
            <w:pPr>
              <w:widowControl w:val="0"/>
              <w:numPr>
                <w:ilvl w:val="1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lang w:eastAsia="x-none"/>
              </w:rPr>
              <w:t>Case 1: Tx/Rx on FDD carrier 1 and no Rx on SDL carrier 2.</w:t>
            </w:r>
          </w:p>
          <w:p w14:paraId="059F8DE0" w14:textId="77777777" w:rsidR="000E4277" w:rsidRPr="00C02C2D" w:rsidRDefault="000E4277" w:rsidP="000E4277">
            <w:pPr>
              <w:widowControl w:val="0"/>
              <w:numPr>
                <w:ilvl w:val="1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lang w:eastAsia="x-none"/>
              </w:rPr>
              <w:t xml:space="preserve">Case </w:t>
            </w:r>
            <w:r w:rsidRPr="00C02C2D">
              <w:rPr>
                <w:rFonts w:hint="eastAsia"/>
                <w:lang w:eastAsia="x-none"/>
              </w:rPr>
              <w:t>3</w:t>
            </w:r>
            <w:r w:rsidRPr="00C02C2D">
              <w:rPr>
                <w:lang w:eastAsia="x-none"/>
              </w:rPr>
              <w:t>: Rx on both FDD carrier 1 and SDL carrier 2 and no Tx on FDD carrier 1.</w:t>
            </w:r>
          </w:p>
          <w:p w14:paraId="5512851E" w14:textId="77777777" w:rsidR="000E4277" w:rsidRPr="00C02C2D" w:rsidRDefault="000E4277" w:rsidP="000E4277">
            <w:pPr>
              <w:widowControl w:val="0"/>
              <w:numPr>
                <w:ilvl w:val="1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rFonts w:hint="eastAsia"/>
                <w:lang w:eastAsia="x-none"/>
              </w:rPr>
              <w:t>E</w:t>
            </w:r>
            <w:r w:rsidRPr="00C02C2D">
              <w:rPr>
                <w:lang w:eastAsia="x-none"/>
              </w:rPr>
              <w:t>xample band combinations: CA_n12A-n29A and CA_n28</w:t>
            </w:r>
            <w:r w:rsidRPr="00C02C2D">
              <w:rPr>
                <w:rFonts w:hint="eastAsia"/>
                <w:lang w:eastAsia="x-none"/>
              </w:rPr>
              <w:t>A</w:t>
            </w:r>
            <w:r w:rsidRPr="00C02C2D">
              <w:rPr>
                <w:lang w:eastAsia="x-none"/>
              </w:rPr>
              <w:t>-n67</w:t>
            </w:r>
            <w:r w:rsidRPr="00C02C2D">
              <w:rPr>
                <w:rFonts w:hint="eastAsia"/>
                <w:lang w:eastAsia="x-none"/>
              </w:rPr>
              <w:t>A</w:t>
            </w:r>
            <w:r w:rsidRPr="00C02C2D">
              <w:rPr>
                <w:lang w:eastAsia="x-none"/>
              </w:rPr>
              <w:t>, additional FDD+SDL band combinations can be added in the specific basket WI after this WI is completed.</w:t>
            </w:r>
          </w:p>
          <w:p w14:paraId="4289B953" w14:textId="77777777" w:rsidR="000E4277" w:rsidRPr="00C02C2D" w:rsidRDefault="000E4277" w:rsidP="000E4277">
            <w:pPr>
              <w:widowControl w:val="0"/>
              <w:numPr>
                <w:ilvl w:val="1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lang w:eastAsia="x-none"/>
              </w:rPr>
              <w:t>Reuse the time mask requirements defined in Rel-19 for low-band CA via switching as much as possible</w:t>
            </w:r>
          </w:p>
          <w:p w14:paraId="38976E6F" w14:textId="77777777" w:rsidR="000E4277" w:rsidRPr="00C02C2D" w:rsidRDefault="000E4277" w:rsidP="000E4277">
            <w:pPr>
              <w:widowControl w:val="0"/>
              <w:numPr>
                <w:ilvl w:val="1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rFonts w:hint="eastAsia"/>
                <w:lang w:eastAsia="x-none"/>
              </w:rPr>
              <w:t xml:space="preserve">Note: Case 2 is specified in Rel-19 WID of </w:t>
            </w:r>
            <w:proofErr w:type="spellStart"/>
            <w:r w:rsidRPr="00C02C2D">
              <w:rPr>
                <w:lang w:eastAsia="x-none"/>
              </w:rPr>
              <w:t>NR_LBCA_Sw</w:t>
            </w:r>
            <w:proofErr w:type="spellEnd"/>
          </w:p>
          <w:p w14:paraId="24746487" w14:textId="77777777" w:rsidR="000E4277" w:rsidRPr="00C02C2D" w:rsidRDefault="000E4277" w:rsidP="000E4277">
            <w:pPr>
              <w:widowControl w:val="0"/>
              <w:numPr>
                <w:ilvl w:val="0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lang w:eastAsia="x-none"/>
              </w:rPr>
              <w:t>Reuse the semi-static switching mechanism based on RRC configuration defined in Rel-19 for low-band CA via switching</w:t>
            </w:r>
          </w:p>
          <w:p w14:paraId="20415E78" w14:textId="77777777" w:rsidR="000E4277" w:rsidRPr="00C02C2D" w:rsidRDefault="000E4277" w:rsidP="000E4277">
            <w:pPr>
              <w:widowControl w:val="0"/>
              <w:numPr>
                <w:ilvl w:val="0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lang w:eastAsia="x-none"/>
              </w:rPr>
              <w:t xml:space="preserve">Consider the following deployment constraints: </w:t>
            </w:r>
          </w:p>
          <w:p w14:paraId="06D1E9C1" w14:textId="77777777" w:rsidR="000E4277" w:rsidRPr="00C02C2D" w:rsidRDefault="000E4277" w:rsidP="000E4277">
            <w:pPr>
              <w:widowControl w:val="0"/>
              <w:numPr>
                <w:ilvl w:val="1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lang w:eastAsia="x-none"/>
              </w:rPr>
              <w:t>The carrier frequency for all cases is &lt;1GHz.</w:t>
            </w:r>
          </w:p>
          <w:p w14:paraId="3E014184" w14:textId="77777777" w:rsidR="000E4277" w:rsidRPr="00C02C2D" w:rsidRDefault="000E4277" w:rsidP="000E4277">
            <w:pPr>
              <w:widowControl w:val="0"/>
              <w:numPr>
                <w:ilvl w:val="1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lang w:eastAsia="x-none"/>
              </w:rPr>
              <w:t>Co-located and synchronized network deployment for both carriers.</w:t>
            </w:r>
          </w:p>
          <w:p w14:paraId="513B4BD4" w14:textId="77777777" w:rsidR="000E4277" w:rsidRPr="00C02C2D" w:rsidRDefault="000E4277" w:rsidP="000E4277">
            <w:pPr>
              <w:widowControl w:val="0"/>
              <w:numPr>
                <w:ilvl w:val="1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lang w:eastAsia="x-none"/>
              </w:rPr>
              <w:t>Both carriers are in a single TAG.</w:t>
            </w:r>
          </w:p>
          <w:p w14:paraId="6AD8ECEA" w14:textId="77777777" w:rsidR="000E4277" w:rsidRPr="00C02C2D" w:rsidRDefault="000E4277" w:rsidP="000E4277">
            <w:pPr>
              <w:widowControl w:val="0"/>
              <w:numPr>
                <w:ilvl w:val="1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lang w:eastAsia="x-none"/>
              </w:rPr>
              <w:t>SCS 15Khz on both carriers.</w:t>
            </w:r>
          </w:p>
          <w:p w14:paraId="1F05B23D" w14:textId="77777777" w:rsidR="000E4277" w:rsidRPr="00C02C2D" w:rsidRDefault="000E4277" w:rsidP="000E4277">
            <w:pPr>
              <w:widowControl w:val="0"/>
              <w:numPr>
                <w:ilvl w:val="1"/>
                <w:numId w:val="5"/>
              </w:numPr>
              <w:jc w:val="left"/>
              <w:rPr>
                <w:lang w:eastAsia="x-none"/>
              </w:rPr>
            </w:pPr>
            <w:r w:rsidRPr="00C02C2D">
              <w:rPr>
                <w:lang w:eastAsia="x-none"/>
              </w:rPr>
              <w:t>No in-gap interference between DL carriers is expected</w:t>
            </w:r>
          </w:p>
          <w:p w14:paraId="1FAA721D" w14:textId="389390EC" w:rsidR="000E4277" w:rsidRPr="00C02C2D" w:rsidRDefault="000E4277" w:rsidP="000E4277">
            <w:pPr>
              <w:widowControl w:val="0"/>
            </w:pPr>
            <w:r w:rsidRPr="00C02C2D">
              <w:rPr>
                <w:lang w:eastAsia="x-none"/>
              </w:rPr>
              <w:t>Note 1: Reuse Rel-19 LB-CA RAN4 requirements as much as possible</w:t>
            </w:r>
            <w:r w:rsidRPr="00C02C2D">
              <w:rPr>
                <w:rFonts w:hint="eastAsia"/>
                <w:lang w:eastAsia="x-none"/>
              </w:rPr>
              <w:t>.</w:t>
            </w:r>
          </w:p>
        </w:tc>
      </w:tr>
    </w:tbl>
    <w:p w14:paraId="33041385" w14:textId="77777777" w:rsidR="00B23E46" w:rsidRPr="00C02C2D" w:rsidRDefault="00B23E46" w:rsidP="00C555E7">
      <w:pPr>
        <w:rPr>
          <w:rFonts w:eastAsiaTheme="minorEastAsia"/>
          <w:lang w:eastAsia="zh-CN"/>
        </w:rPr>
      </w:pPr>
    </w:p>
    <w:p w14:paraId="238242BD" w14:textId="121851F5" w:rsidR="00826026" w:rsidRPr="00C02C2D" w:rsidRDefault="00C555E7" w:rsidP="001924A5">
      <w:pPr>
        <w:pStyle w:val="a"/>
      </w:pPr>
      <w:r w:rsidRPr="00C02C2D">
        <w:t>Discussion</w:t>
      </w:r>
    </w:p>
    <w:p w14:paraId="73C3B7B4" w14:textId="42A09D63" w:rsidR="00B66507" w:rsidRPr="00C02C2D" w:rsidRDefault="00B66507" w:rsidP="002D6840">
      <w:pPr>
        <w:spacing w:afterLines="50" w:after="120"/>
        <w:rPr>
          <w:bCs/>
          <w:iCs/>
          <w:lang w:val="en-US"/>
        </w:rPr>
      </w:pPr>
      <w:r w:rsidRPr="00C02C2D">
        <w:rPr>
          <w:bCs/>
          <w:iCs/>
          <w:lang w:val="en-US"/>
        </w:rPr>
        <w:t>In Rel-19, it had introduced the switching between {case 1, case 2} to enable low band carrier aggregation via switching between FDD band and SDL band.</w:t>
      </w:r>
    </w:p>
    <w:p w14:paraId="49722E89" w14:textId="77777777" w:rsidR="00B66507" w:rsidRPr="00C02C2D" w:rsidRDefault="00B66507" w:rsidP="00B66507">
      <w:pPr>
        <w:pStyle w:val="B2"/>
        <w:ind w:leftChars="83" w:left="450"/>
      </w:pPr>
      <w:r w:rsidRPr="00C02C2D">
        <w:t>-</w:t>
      </w:r>
      <w:r w:rsidRPr="00C02C2D">
        <w:tab/>
        <w:t>Case 1: Tx/Rx on FDD carrier 1 and no Rx on SDL carrier 2</w:t>
      </w:r>
    </w:p>
    <w:p w14:paraId="3C701E0E" w14:textId="77777777" w:rsidR="00B66507" w:rsidRPr="00C02C2D" w:rsidRDefault="00B66507" w:rsidP="00B66507">
      <w:pPr>
        <w:pStyle w:val="B2"/>
        <w:ind w:leftChars="83" w:left="450"/>
      </w:pPr>
      <w:r w:rsidRPr="00C02C2D">
        <w:t>-</w:t>
      </w:r>
      <w:r w:rsidRPr="00C02C2D">
        <w:tab/>
        <w:t>Case 2: Rx on SDL carrier 2 and no Tx/Rx on FDD carrier 1</w:t>
      </w:r>
    </w:p>
    <w:p w14:paraId="5D8B9C80" w14:textId="77504C16" w:rsidR="00D418CD" w:rsidRPr="00C02C2D" w:rsidRDefault="00D418CD" w:rsidP="002D6840">
      <w:pPr>
        <w:spacing w:afterLines="50" w:after="120"/>
        <w:rPr>
          <w:rFonts w:eastAsiaTheme="minorEastAsia"/>
          <w:bCs/>
          <w:iCs/>
          <w:lang w:eastAsia="zh-CN"/>
        </w:rPr>
      </w:pPr>
      <w:r w:rsidRPr="00C02C2D">
        <w:rPr>
          <w:rFonts w:eastAsiaTheme="minorEastAsia"/>
          <w:bCs/>
          <w:iCs/>
          <w:lang w:eastAsia="zh-CN"/>
        </w:rPr>
        <w:t xml:space="preserve">The essence of Rel-19 switching between case 1 and case 2 is the switching between FDD band and SDL band. In Rel-20, switching between case 1 and case 3 is </w:t>
      </w:r>
      <w:r w:rsidR="003558C6" w:rsidRPr="00C02C2D">
        <w:rPr>
          <w:rFonts w:eastAsiaTheme="minorEastAsia"/>
          <w:bCs/>
          <w:iCs/>
          <w:lang w:eastAsia="zh-CN"/>
        </w:rPr>
        <w:t>to switch</w:t>
      </w:r>
      <w:r w:rsidRPr="00C02C2D">
        <w:rPr>
          <w:rFonts w:eastAsiaTheme="minorEastAsia"/>
          <w:bCs/>
          <w:iCs/>
          <w:lang w:eastAsia="zh-CN"/>
        </w:rPr>
        <w:t xml:space="preserve"> between FDD band and FDD DL+SDL band. </w:t>
      </w:r>
    </w:p>
    <w:p w14:paraId="022D196B" w14:textId="0E37A8A2" w:rsidR="00D418CD" w:rsidRPr="00C02C2D" w:rsidRDefault="00D418CD" w:rsidP="00D418CD">
      <w:pPr>
        <w:spacing w:afterLines="50" w:after="120"/>
        <w:jc w:val="center"/>
        <w:rPr>
          <w:rFonts w:eastAsiaTheme="minorEastAsia"/>
          <w:bCs/>
          <w:iCs/>
          <w:lang w:eastAsia="zh-CN"/>
        </w:rPr>
      </w:pPr>
      <w:r w:rsidRPr="00C02C2D">
        <w:rPr>
          <w:rFonts w:eastAsiaTheme="minorEastAsia"/>
          <w:bCs/>
          <w:iCs/>
          <w:noProof/>
          <w:lang w:eastAsia="zh-CN"/>
        </w:rPr>
        <w:drawing>
          <wp:inline distT="0" distB="0" distL="0" distR="0" wp14:anchorId="1F46CCC8" wp14:editId="7FE2BE53">
            <wp:extent cx="2309446" cy="1688029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7768" cy="169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D01BB" w14:textId="1389CDFF" w:rsidR="00D418CD" w:rsidRPr="00C02C2D" w:rsidRDefault="00D418CD" w:rsidP="00D418CD">
      <w:pPr>
        <w:spacing w:afterLines="50" w:after="120"/>
        <w:jc w:val="center"/>
        <w:rPr>
          <w:rFonts w:eastAsiaTheme="minorEastAsia"/>
          <w:bCs/>
          <w:iCs/>
          <w:lang w:eastAsia="zh-CN"/>
        </w:rPr>
      </w:pPr>
      <w:r w:rsidRPr="00C02C2D">
        <w:rPr>
          <w:rFonts w:eastAsiaTheme="minorEastAsia" w:hint="eastAsia"/>
          <w:bCs/>
          <w:iCs/>
          <w:lang w:eastAsia="zh-CN"/>
        </w:rPr>
        <w:t>F</w:t>
      </w:r>
      <w:r w:rsidRPr="00C02C2D">
        <w:rPr>
          <w:rFonts w:eastAsiaTheme="minorEastAsia"/>
          <w:bCs/>
          <w:iCs/>
          <w:lang w:eastAsia="zh-CN"/>
        </w:rPr>
        <w:t xml:space="preserve">igure 1 </w:t>
      </w:r>
      <w:r w:rsidR="00BF3E85" w:rsidRPr="00C02C2D">
        <w:rPr>
          <w:rFonts w:eastAsiaTheme="minorEastAsia"/>
          <w:bCs/>
          <w:iCs/>
          <w:lang w:eastAsia="zh-CN"/>
        </w:rPr>
        <w:t>Compared case 3 to case 2</w:t>
      </w:r>
    </w:p>
    <w:p w14:paraId="440A341B" w14:textId="77777777" w:rsidR="003558C6" w:rsidRPr="00C02C2D" w:rsidRDefault="003558C6" w:rsidP="002D6840">
      <w:pPr>
        <w:spacing w:afterLines="50" w:after="120"/>
      </w:pPr>
      <w:r w:rsidRPr="00C02C2D">
        <w:rPr>
          <w:rFonts w:eastAsiaTheme="minorEastAsia"/>
          <w:bCs/>
          <w:iCs/>
          <w:lang w:eastAsia="zh-CN"/>
        </w:rPr>
        <w:t xml:space="preserve">As shown the example </w:t>
      </w:r>
      <w:r w:rsidRPr="00C02C2D">
        <w:rPr>
          <w:lang w:eastAsia="x-none"/>
        </w:rPr>
        <w:t xml:space="preserve">CA_n12A-n29A </w:t>
      </w:r>
      <w:r w:rsidRPr="00C02C2D">
        <w:rPr>
          <w:rFonts w:eastAsiaTheme="minorEastAsia"/>
          <w:bCs/>
          <w:iCs/>
          <w:lang w:eastAsia="zh-CN"/>
        </w:rPr>
        <w:t xml:space="preserve">in Figure 1, at the time of T1, </w:t>
      </w:r>
      <w:r w:rsidRPr="00C02C2D">
        <w:t>normal FDD band works on its only UL/DL; at the time of T2, case 2 and case 3 all only have DL carrier(s). therefore, there is no impact of Tx to Rx in case 2 and case 3.</w:t>
      </w:r>
    </w:p>
    <w:p w14:paraId="7A784EED" w14:textId="4B9BE11B" w:rsidR="003558C6" w:rsidRPr="00C02C2D" w:rsidRDefault="003558C6" w:rsidP="003D0700">
      <w:pPr>
        <w:pStyle w:val="Observe"/>
        <w:spacing w:beforeLines="50" w:before="120" w:afterLines="50" w:after="120"/>
        <w:ind w:left="1418" w:hanging="1418"/>
      </w:pPr>
      <w:r w:rsidRPr="00C02C2D">
        <w:lastRenderedPageBreak/>
        <w:t xml:space="preserve"> </w:t>
      </w:r>
      <w:r w:rsidR="003D0700" w:rsidRPr="00C02C2D">
        <w:t>There is no impact of Tx to Rx in both of case 2 and case 3.</w:t>
      </w:r>
    </w:p>
    <w:p w14:paraId="762F2B43" w14:textId="2F58BDDB" w:rsidR="00BF3E85" w:rsidRPr="00C02C2D" w:rsidRDefault="00BF3E85" w:rsidP="002D6840">
      <w:pPr>
        <w:spacing w:afterLines="50" w:after="120"/>
        <w:rPr>
          <w:bCs/>
          <w:iCs/>
        </w:rPr>
      </w:pPr>
      <w:r w:rsidRPr="00C02C2D">
        <w:rPr>
          <w:bCs/>
          <w:iCs/>
        </w:rPr>
        <w:t xml:space="preserve">In Rel-20, band n12 DL and n29 DL need receive simultaneously. It’s the same for another example </w:t>
      </w:r>
      <w:r w:rsidRPr="00C02C2D">
        <w:rPr>
          <w:lang w:eastAsia="x-none"/>
        </w:rPr>
        <w:t>band combinations CA_n28A-n67A. As shown in Figure 2, the spectrum of band n12 DL is nearby the spectrum of SDL band n</w:t>
      </w:r>
      <w:proofErr w:type="gramStart"/>
      <w:r w:rsidRPr="00C02C2D">
        <w:rPr>
          <w:lang w:eastAsia="x-none"/>
        </w:rPr>
        <w:t>29,the</w:t>
      </w:r>
      <w:proofErr w:type="gramEnd"/>
      <w:r w:rsidRPr="00C02C2D">
        <w:rPr>
          <w:lang w:eastAsia="x-none"/>
        </w:rPr>
        <w:t xml:space="preserve"> spectrum of band n28 DL is  adjacent with the spectrum of SDL band n67, therefore, one </w:t>
      </w:r>
      <w:r w:rsidR="003E224C" w:rsidRPr="00C02C2D">
        <w:rPr>
          <w:lang w:eastAsia="x-none"/>
        </w:rPr>
        <w:t xml:space="preserve">wider </w:t>
      </w:r>
      <w:r w:rsidRPr="00C02C2D">
        <w:rPr>
          <w:lang w:eastAsia="x-none"/>
        </w:rPr>
        <w:t xml:space="preserve">filter </w:t>
      </w:r>
      <w:r w:rsidR="003E224C" w:rsidRPr="00C02C2D">
        <w:rPr>
          <w:lang w:eastAsia="x-none"/>
        </w:rPr>
        <w:t>can be adopt to combine FDD DL spectrum with SDL spectrum for CA_n12A-n29A and CA_n28A-n67A, and it’s not needed to consider the in-gap interference due to there is no gap or only 1MHz gap between two DL carriers</w:t>
      </w:r>
      <w:r w:rsidRPr="00C02C2D">
        <w:rPr>
          <w:lang w:eastAsia="x-none"/>
        </w:rPr>
        <w:t>:</w:t>
      </w:r>
    </w:p>
    <w:p w14:paraId="11AA00E6" w14:textId="5FCF0480" w:rsidR="00BF3E85" w:rsidRPr="00C02C2D" w:rsidRDefault="00E57EC6" w:rsidP="00E57EC6">
      <w:pPr>
        <w:spacing w:afterLines="50" w:after="120"/>
        <w:jc w:val="center"/>
        <w:rPr>
          <w:bCs/>
          <w:iCs/>
        </w:rPr>
      </w:pPr>
      <w:r w:rsidRPr="00C02C2D">
        <w:rPr>
          <w:bCs/>
          <w:iCs/>
          <w:noProof/>
        </w:rPr>
        <w:drawing>
          <wp:inline distT="0" distB="0" distL="0" distR="0" wp14:anchorId="23EC9E35" wp14:editId="25941981">
            <wp:extent cx="4044461" cy="1083544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0627" cy="108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0EF2D" w14:textId="27412F42" w:rsidR="00E57EC6" w:rsidRPr="00C02C2D" w:rsidRDefault="00E57EC6" w:rsidP="00E57EC6">
      <w:pPr>
        <w:spacing w:afterLines="50" w:after="120"/>
        <w:jc w:val="center"/>
        <w:rPr>
          <w:bCs/>
          <w:iCs/>
        </w:rPr>
      </w:pPr>
      <w:r w:rsidRPr="00C02C2D">
        <w:rPr>
          <w:lang w:eastAsia="x-none"/>
        </w:rPr>
        <w:t>Figure 2 The spectrum of band n12 + band n29 and band n28+band n67</w:t>
      </w:r>
    </w:p>
    <w:p w14:paraId="7F7EC355" w14:textId="416E447F" w:rsidR="003E224C" w:rsidRPr="00C02C2D" w:rsidRDefault="003E224C" w:rsidP="003E224C">
      <w:pPr>
        <w:pStyle w:val="Observe"/>
        <w:spacing w:beforeLines="50" w:before="120" w:afterLines="50" w:after="120"/>
        <w:ind w:left="1418" w:hanging="1418"/>
      </w:pPr>
      <w:bookmarkStart w:id="3" w:name="_Hlk210138631"/>
      <w:r w:rsidRPr="00C02C2D">
        <w:rPr>
          <w:rFonts w:hint="eastAsia"/>
        </w:rPr>
        <w:t>O</w:t>
      </w:r>
      <w:r w:rsidRPr="00C02C2D">
        <w:t>ne wider filter can be adopted to combine FDD DL spectrum with SDL spectrum for CA_n12A-n29A and CA_n28A-n67A, and it’s not needed to consider the in-gap interference due to there is no gap or only 1MHz gap between two DL carriers.</w:t>
      </w:r>
    </w:p>
    <w:p w14:paraId="3E468CE9" w14:textId="4C904A4C" w:rsidR="00372E5D" w:rsidRPr="00C02C2D" w:rsidRDefault="00372E5D" w:rsidP="003558C6">
      <w:pPr>
        <w:pStyle w:val="Propose"/>
        <w:spacing w:beforeLines="50" w:before="120" w:afterLines="50" w:after="120"/>
        <w:ind w:left="1418" w:hanging="1418"/>
      </w:pPr>
      <w:r w:rsidRPr="00C02C2D">
        <w:t>Using one wider filter cover two bands DL spectrum</w:t>
      </w:r>
      <w:r w:rsidR="003558C6" w:rsidRPr="00C02C2D">
        <w:t>s</w:t>
      </w:r>
      <w:r w:rsidRPr="00C02C2D">
        <w:t xml:space="preserve"> for </w:t>
      </w:r>
      <w:r w:rsidR="003558C6" w:rsidRPr="00C02C2D">
        <w:t>CA_n12A-n29A and CA_n28A-n67A.</w:t>
      </w:r>
    </w:p>
    <w:bookmarkEnd w:id="3"/>
    <w:p w14:paraId="72EDF024" w14:textId="74011016" w:rsidR="009B074D" w:rsidRPr="00C02C2D" w:rsidRDefault="009B074D" w:rsidP="009B074D">
      <w:pPr>
        <w:spacing w:afterLines="50" w:after="120"/>
        <w:jc w:val="center"/>
        <w:rPr>
          <w:bCs/>
          <w:iCs/>
        </w:rPr>
      </w:pPr>
      <w:r w:rsidRPr="00C02C2D">
        <w:rPr>
          <w:bCs/>
          <w:iCs/>
          <w:noProof/>
        </w:rPr>
        <w:drawing>
          <wp:inline distT="0" distB="0" distL="0" distR="0" wp14:anchorId="4F0F24CE" wp14:editId="7DB3DBF0">
            <wp:extent cx="5023339" cy="2344155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1477" cy="2347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31107" w14:textId="4308D6AA" w:rsidR="003E224C" w:rsidRPr="00C02C2D" w:rsidRDefault="003E224C" w:rsidP="009B074D">
      <w:pPr>
        <w:spacing w:afterLines="50" w:after="120"/>
        <w:jc w:val="center"/>
        <w:rPr>
          <w:bCs/>
          <w:iCs/>
        </w:rPr>
      </w:pPr>
      <w:r w:rsidRPr="00C02C2D">
        <w:rPr>
          <w:lang w:eastAsia="x-none"/>
        </w:rPr>
        <w:t xml:space="preserve">Figure </w:t>
      </w:r>
      <w:r w:rsidR="00372E5D" w:rsidRPr="00C02C2D">
        <w:rPr>
          <w:lang w:eastAsia="x-none"/>
        </w:rPr>
        <w:t>3</w:t>
      </w:r>
      <w:r w:rsidRPr="00C02C2D">
        <w:rPr>
          <w:lang w:eastAsia="x-none"/>
        </w:rPr>
        <w:t xml:space="preserve"> The possible UE implementation for the switching between {case 1, case </w:t>
      </w:r>
      <w:r w:rsidRPr="00C02C2D">
        <w:rPr>
          <w:rFonts w:hint="eastAsia"/>
          <w:lang w:eastAsia="x-none"/>
        </w:rPr>
        <w:t>3</w:t>
      </w:r>
      <w:r w:rsidRPr="00C02C2D">
        <w:rPr>
          <w:lang w:eastAsia="x-none"/>
        </w:rPr>
        <w:t>} and between {case 1, case 2}</w:t>
      </w:r>
    </w:p>
    <w:p w14:paraId="3F99FD0D" w14:textId="794E58CC" w:rsidR="00372E5D" w:rsidRPr="00C02C2D" w:rsidRDefault="00372E5D" w:rsidP="002D6840">
      <w:pPr>
        <w:spacing w:afterLines="50" w:after="120"/>
        <w:rPr>
          <w:lang w:eastAsia="x-none"/>
        </w:rPr>
      </w:pPr>
      <w:r w:rsidRPr="00C02C2D">
        <w:rPr>
          <w:bCs/>
          <w:iCs/>
        </w:rPr>
        <w:t>Compared t</w:t>
      </w:r>
      <w:r w:rsidRPr="00C02C2D">
        <w:rPr>
          <w:lang w:eastAsia="x-none"/>
        </w:rPr>
        <w:t xml:space="preserve">he possible UE implementation for the switching between {case 1, case </w:t>
      </w:r>
      <w:r w:rsidRPr="00C02C2D">
        <w:rPr>
          <w:rFonts w:hint="eastAsia"/>
          <w:lang w:eastAsia="x-none"/>
        </w:rPr>
        <w:t>3</w:t>
      </w:r>
      <w:r w:rsidRPr="00C02C2D">
        <w:rPr>
          <w:lang w:eastAsia="x-none"/>
        </w:rPr>
        <w:t>} and between {case 1, case 2} as shown in Figure 3, the only different is the filter in the receiver for SDL or for FDD DL+ SDL.</w:t>
      </w:r>
      <w:r w:rsidR="003558C6" w:rsidRPr="00C02C2D">
        <w:rPr>
          <w:lang w:eastAsia="x-none"/>
        </w:rPr>
        <w:t xml:space="preserve"> </w:t>
      </w:r>
    </w:p>
    <w:p w14:paraId="4214A0A1" w14:textId="5BDDCC26" w:rsidR="00372E5D" w:rsidRPr="00C02C2D" w:rsidRDefault="00372E5D" w:rsidP="00372E5D">
      <w:pPr>
        <w:pStyle w:val="Observe"/>
        <w:spacing w:beforeLines="50" w:before="120" w:afterLines="50" w:after="120"/>
        <w:ind w:left="1418" w:hanging="1418"/>
      </w:pPr>
      <w:bookmarkStart w:id="4" w:name="_Hlk210138649"/>
      <w:r w:rsidRPr="00C02C2D">
        <w:t xml:space="preserve">The only difference </w:t>
      </w:r>
      <w:r w:rsidR="003D0700" w:rsidRPr="00C02C2D">
        <w:t>of</w:t>
      </w:r>
      <w:r w:rsidRPr="00C02C2D">
        <w:t xml:space="preserve"> UE implementation</w:t>
      </w:r>
      <w:r w:rsidR="003D0700" w:rsidRPr="00C02C2D">
        <w:t xml:space="preserve"> between</w:t>
      </w:r>
      <w:r w:rsidRPr="00C02C2D">
        <w:t xml:space="preserve"> </w:t>
      </w:r>
      <w:r w:rsidR="003D0700" w:rsidRPr="00C02C2D">
        <w:rPr>
          <w:lang w:eastAsia="x-none"/>
        </w:rPr>
        <w:t>Rel-19 low-band CA via switching</w:t>
      </w:r>
      <w:r w:rsidRPr="00C02C2D">
        <w:t xml:space="preserve"> and </w:t>
      </w:r>
      <w:r w:rsidR="003D0700" w:rsidRPr="00C02C2D">
        <w:t xml:space="preserve">R20 </w:t>
      </w:r>
      <w:r w:rsidR="003D0700" w:rsidRPr="00C02C2D">
        <w:rPr>
          <w:lang w:eastAsia="x-none"/>
        </w:rPr>
        <w:t>low-band CA via switching</w:t>
      </w:r>
      <w:r w:rsidR="003D0700" w:rsidRPr="00C02C2D">
        <w:t xml:space="preserve"> for CA_n12A-n29A and CA_n28A-n67A </w:t>
      </w:r>
      <w:r w:rsidRPr="00C02C2D">
        <w:t>is the filter in the receiver for SDL or for FDD DL+ SDL</w:t>
      </w:r>
      <w:r w:rsidR="003558C6" w:rsidRPr="00C02C2D">
        <w:t>.</w:t>
      </w:r>
    </w:p>
    <w:p w14:paraId="1A9B7FF3" w14:textId="64A3DE2D" w:rsidR="003558C6" w:rsidRPr="00C02C2D" w:rsidRDefault="004229AE" w:rsidP="004229AE">
      <w:pPr>
        <w:pStyle w:val="Propose"/>
        <w:spacing w:beforeLines="50" w:before="120" w:afterLines="50" w:after="120"/>
        <w:ind w:left="1418" w:hanging="1418"/>
      </w:pPr>
      <w:r w:rsidRPr="00C02C2D">
        <w:t>R20 low-band CA via switching</w:t>
      </w:r>
      <w:r w:rsidR="003D0700" w:rsidRPr="00C02C2D">
        <w:t xml:space="preserve"> </w:t>
      </w:r>
      <w:r w:rsidRPr="00C02C2D">
        <w:t>can r</w:t>
      </w:r>
      <w:r w:rsidR="003D0700" w:rsidRPr="00C02C2D">
        <w:t>euse the semi-static switching mechanism based on RRC configuration defined in Rel-19 for low-band CA via switching</w:t>
      </w:r>
      <w:r w:rsidRPr="00C02C2D">
        <w:t>.</w:t>
      </w:r>
    </w:p>
    <w:p w14:paraId="7BAC6880" w14:textId="315B6CD6" w:rsidR="00D92743" w:rsidRPr="00C02C2D" w:rsidRDefault="00372E5D" w:rsidP="004229AE">
      <w:pPr>
        <w:spacing w:afterLines="50" w:after="120"/>
        <w:rPr>
          <w:lang w:eastAsia="x-none"/>
        </w:rPr>
      </w:pPr>
      <w:r w:rsidRPr="00C02C2D">
        <w:rPr>
          <w:lang w:eastAsia="x-none"/>
        </w:rPr>
        <w:t xml:space="preserve"> </w:t>
      </w:r>
      <w:bookmarkStart w:id="5" w:name="_Hlk210120552"/>
      <w:r w:rsidR="004229AE" w:rsidRPr="00C02C2D">
        <w:rPr>
          <w:lang w:eastAsia="x-none"/>
        </w:rPr>
        <w:t xml:space="preserve">Since FDD DL and </w:t>
      </w:r>
      <w:r w:rsidR="00D92743" w:rsidRPr="00C02C2D">
        <w:rPr>
          <w:lang w:eastAsia="x-none"/>
        </w:rPr>
        <w:t>S</w:t>
      </w:r>
      <w:r w:rsidR="004229AE" w:rsidRPr="00C02C2D">
        <w:rPr>
          <w:lang w:eastAsia="x-none"/>
        </w:rPr>
        <w:t xml:space="preserve">DL in case 3 </w:t>
      </w:r>
      <w:r w:rsidR="00897568" w:rsidRPr="00C02C2D">
        <w:rPr>
          <w:lang w:eastAsia="x-none"/>
        </w:rPr>
        <w:t>shar</w:t>
      </w:r>
      <w:r w:rsidR="002A026C" w:rsidRPr="00C02C2D">
        <w:rPr>
          <w:lang w:eastAsia="x-none"/>
        </w:rPr>
        <w:t>e</w:t>
      </w:r>
      <w:r w:rsidR="00897568" w:rsidRPr="00C02C2D">
        <w:rPr>
          <w:lang w:eastAsia="x-none"/>
        </w:rPr>
        <w:t xml:space="preserve"> </w:t>
      </w:r>
      <w:r w:rsidR="004229AE" w:rsidRPr="00C02C2D">
        <w:rPr>
          <w:lang w:eastAsia="x-none"/>
        </w:rPr>
        <w:t xml:space="preserve">one RF chain </w:t>
      </w:r>
      <w:r w:rsidR="00D92743" w:rsidRPr="00C02C2D">
        <w:rPr>
          <w:lang w:eastAsia="x-none"/>
        </w:rPr>
        <w:t>in the receiver, and there is no impact of Tx to Rx, the REFSENs of FDD band need re-evaluate based on new receiver architecture.</w:t>
      </w:r>
    </w:p>
    <w:p w14:paraId="7972C09C" w14:textId="5DD9B983" w:rsidR="005620CB" w:rsidRPr="00C02C2D" w:rsidRDefault="00D92743" w:rsidP="005620CB">
      <w:pPr>
        <w:pStyle w:val="Propose"/>
        <w:spacing w:beforeLines="50" w:before="120" w:afterLines="50" w:after="120"/>
        <w:ind w:left="1418" w:hanging="1418"/>
      </w:pPr>
      <w:r w:rsidRPr="00C02C2D">
        <w:t>The REFSENs of FDD band in case 3 need re-evaluate based on new receiver architecture.</w:t>
      </w:r>
      <w:bookmarkEnd w:id="4"/>
      <w:r w:rsidR="00E8575B" w:rsidRPr="00C02C2D">
        <w:rPr>
          <w:lang w:eastAsia="x-none"/>
        </w:rPr>
        <w:t xml:space="preserve"> </w:t>
      </w:r>
    </w:p>
    <w:bookmarkEnd w:id="5"/>
    <w:p w14:paraId="7C2A5535" w14:textId="0C0D5BE4" w:rsidR="0023469E" w:rsidRPr="00C02C2D" w:rsidRDefault="0023469E" w:rsidP="008D6EE8">
      <w:pPr>
        <w:pStyle w:val="a"/>
        <w:rPr>
          <w:rFonts w:ascii="Times New Roman" w:eastAsiaTheme="minorEastAsia" w:hAnsi="Times New Roman"/>
          <w:sz w:val="20"/>
          <w:lang w:val="en-US" w:eastAsia="zh-CN"/>
        </w:rPr>
      </w:pPr>
      <w:r w:rsidRPr="00C02C2D">
        <w:t>Conclusion</w:t>
      </w:r>
    </w:p>
    <w:p w14:paraId="205217CF" w14:textId="37F31A51" w:rsidR="009329DA" w:rsidRPr="00C02C2D" w:rsidRDefault="0023469E" w:rsidP="0023469E">
      <w:pPr>
        <w:rPr>
          <w:rFonts w:eastAsiaTheme="minorEastAsia"/>
          <w:lang w:val="en-US" w:eastAsia="zh-CN"/>
        </w:rPr>
      </w:pPr>
      <w:r w:rsidRPr="00C02C2D">
        <w:rPr>
          <w:rFonts w:eastAsiaTheme="minorEastAsia" w:hint="eastAsia"/>
          <w:lang w:val="en-US" w:eastAsia="zh-CN"/>
        </w:rPr>
        <w:t>T</w:t>
      </w:r>
      <w:r w:rsidRPr="00C02C2D">
        <w:rPr>
          <w:rFonts w:eastAsiaTheme="minorEastAsia"/>
          <w:lang w:val="en-US" w:eastAsia="zh-CN"/>
        </w:rPr>
        <w:t xml:space="preserve">his paper </w:t>
      </w:r>
      <w:r w:rsidR="002E34AB" w:rsidRPr="00C02C2D">
        <w:rPr>
          <w:rFonts w:eastAsiaTheme="minorEastAsia"/>
          <w:lang w:val="en-US" w:eastAsia="zh-CN"/>
        </w:rPr>
        <w:t>discussed</w:t>
      </w:r>
      <w:r w:rsidR="00C15F13" w:rsidRPr="00C02C2D">
        <w:rPr>
          <w:rFonts w:eastAsiaTheme="minorEastAsia"/>
          <w:lang w:val="en-US" w:eastAsia="zh-CN"/>
        </w:rPr>
        <w:t xml:space="preserve"> the</w:t>
      </w:r>
      <w:r w:rsidR="00FE229D" w:rsidRPr="00C02C2D">
        <w:rPr>
          <w:rFonts w:eastAsiaTheme="minorEastAsia"/>
          <w:lang w:val="en-US" w:eastAsia="zh-CN"/>
        </w:rPr>
        <w:t xml:space="preserve"> </w:t>
      </w:r>
      <w:r w:rsidR="00D92743" w:rsidRPr="00C02C2D">
        <w:rPr>
          <w:rFonts w:eastAsiaTheme="minorEastAsia"/>
          <w:lang w:val="en-US" w:eastAsia="zh-CN"/>
        </w:rPr>
        <w:t xml:space="preserve">switching between {case 1, case </w:t>
      </w:r>
      <w:r w:rsidR="00D92743" w:rsidRPr="00C02C2D">
        <w:rPr>
          <w:rFonts w:eastAsiaTheme="minorEastAsia" w:hint="eastAsia"/>
          <w:lang w:val="en-US" w:eastAsia="zh-CN"/>
        </w:rPr>
        <w:t>3</w:t>
      </w:r>
      <w:r w:rsidR="00D92743" w:rsidRPr="00C02C2D">
        <w:rPr>
          <w:rFonts w:eastAsiaTheme="minorEastAsia"/>
          <w:lang w:val="en-US" w:eastAsia="zh-CN"/>
        </w:rPr>
        <w:t>}</w:t>
      </w:r>
      <w:r w:rsidR="002E34AB" w:rsidRPr="00C02C2D">
        <w:rPr>
          <w:rFonts w:eastAsiaTheme="minorEastAsia"/>
          <w:lang w:val="en-US" w:eastAsia="zh-CN"/>
        </w:rPr>
        <w:t xml:space="preserve">, and </w:t>
      </w:r>
      <w:r w:rsidR="00FE229D" w:rsidRPr="00C02C2D">
        <w:rPr>
          <w:rFonts w:eastAsiaTheme="minorEastAsia"/>
          <w:lang w:val="en-US" w:eastAsia="zh-CN"/>
        </w:rPr>
        <w:t>got below observations and proposals</w:t>
      </w:r>
      <w:r w:rsidR="002E34AB" w:rsidRPr="00C02C2D">
        <w:rPr>
          <w:rFonts w:eastAsiaTheme="minorEastAsia"/>
          <w:lang w:val="en-US" w:eastAsia="zh-CN"/>
        </w:rPr>
        <w:t xml:space="preserve">. </w:t>
      </w:r>
    </w:p>
    <w:p w14:paraId="3E7B169E" w14:textId="72881F2A" w:rsidR="002E34AB" w:rsidRPr="00C02C2D" w:rsidRDefault="00D92743" w:rsidP="00B7443E">
      <w:pPr>
        <w:spacing w:beforeLines="50" w:before="120" w:afterLines="50" w:after="120"/>
        <w:ind w:left="1200" w:hangingChars="600" w:hanging="1200"/>
        <w:rPr>
          <w:rFonts w:eastAsiaTheme="minorEastAsia"/>
          <w:b/>
          <w:bCs/>
          <w:lang w:eastAsia="zh-CN"/>
        </w:rPr>
      </w:pPr>
      <w:r w:rsidRPr="00C02C2D">
        <w:rPr>
          <w:rFonts w:eastAsiaTheme="minorEastAsia"/>
          <w:b/>
          <w:bCs/>
          <w:lang w:eastAsia="zh-CN"/>
        </w:rPr>
        <w:t xml:space="preserve">Observation 1: </w:t>
      </w:r>
      <w:r w:rsidRPr="00C02C2D">
        <w:rPr>
          <w:rFonts w:eastAsiaTheme="minorEastAsia"/>
          <w:b/>
          <w:bCs/>
          <w:lang w:eastAsia="zh-CN"/>
        </w:rPr>
        <w:tab/>
        <w:t xml:space="preserve"> There is no impact of Tx to Rx in both of case 2 and case 3.</w:t>
      </w:r>
    </w:p>
    <w:p w14:paraId="65EE54BD" w14:textId="77777777" w:rsidR="00D92743" w:rsidRPr="00C02C2D" w:rsidRDefault="00D92743" w:rsidP="00D92743">
      <w:pPr>
        <w:spacing w:beforeLines="50" w:before="120" w:afterLines="50" w:after="120"/>
        <w:ind w:left="1200" w:hangingChars="600" w:hanging="1200"/>
        <w:rPr>
          <w:rFonts w:eastAsiaTheme="minorEastAsia"/>
          <w:b/>
          <w:bCs/>
          <w:lang w:eastAsia="zh-CN"/>
        </w:rPr>
      </w:pPr>
      <w:r w:rsidRPr="00C02C2D">
        <w:rPr>
          <w:rFonts w:eastAsiaTheme="minorEastAsia"/>
          <w:b/>
          <w:bCs/>
          <w:lang w:eastAsia="zh-CN"/>
        </w:rPr>
        <w:lastRenderedPageBreak/>
        <w:t xml:space="preserve">Observation 2: </w:t>
      </w:r>
      <w:r w:rsidRPr="00C02C2D">
        <w:rPr>
          <w:rFonts w:eastAsiaTheme="minorEastAsia"/>
          <w:b/>
          <w:bCs/>
          <w:lang w:eastAsia="zh-CN"/>
        </w:rPr>
        <w:tab/>
        <w:t>One wider filter can be adopted to combine FDD DL spectrum with SDL spectrum for CA_n12A-n29A and CA_n28A-n67A, and it’s not needed to consider the in-gap interference due to there is no gap or only 1MHz gap between two DL carriers.</w:t>
      </w:r>
    </w:p>
    <w:p w14:paraId="6B208458" w14:textId="7E013205" w:rsidR="00D92743" w:rsidRPr="00C02C2D" w:rsidRDefault="00D92743" w:rsidP="00D92743">
      <w:pPr>
        <w:spacing w:beforeLines="50" w:before="120" w:afterLines="50" w:after="120"/>
        <w:ind w:left="1200" w:hangingChars="600" w:hanging="1200"/>
        <w:rPr>
          <w:rFonts w:eastAsiaTheme="minorEastAsia"/>
          <w:b/>
          <w:bCs/>
          <w:lang w:eastAsia="zh-CN"/>
        </w:rPr>
      </w:pPr>
      <w:r w:rsidRPr="00C02C2D">
        <w:rPr>
          <w:rFonts w:eastAsiaTheme="minorEastAsia"/>
          <w:b/>
          <w:bCs/>
          <w:lang w:eastAsia="zh-CN"/>
        </w:rPr>
        <w:t xml:space="preserve">Proposal 1: </w:t>
      </w:r>
      <w:r w:rsidRPr="00C02C2D">
        <w:rPr>
          <w:rFonts w:eastAsiaTheme="minorEastAsia"/>
          <w:b/>
          <w:bCs/>
          <w:lang w:eastAsia="zh-CN"/>
        </w:rPr>
        <w:tab/>
        <w:t>Using one wider filter cover two bands DL spectrums for CA_n12A-n29A and CA_n28A-n67A.</w:t>
      </w:r>
    </w:p>
    <w:p w14:paraId="09C879CF" w14:textId="77777777" w:rsidR="00D92743" w:rsidRPr="00C02C2D" w:rsidRDefault="00D92743" w:rsidP="00D92743">
      <w:pPr>
        <w:spacing w:beforeLines="50" w:before="120" w:afterLines="50" w:after="120"/>
        <w:ind w:left="1200" w:hangingChars="600" w:hanging="1200"/>
        <w:rPr>
          <w:rFonts w:eastAsiaTheme="minorEastAsia"/>
          <w:b/>
          <w:bCs/>
          <w:lang w:eastAsia="zh-CN"/>
        </w:rPr>
      </w:pPr>
      <w:r w:rsidRPr="00C02C2D">
        <w:rPr>
          <w:rFonts w:eastAsiaTheme="minorEastAsia"/>
          <w:b/>
          <w:bCs/>
          <w:lang w:eastAsia="zh-CN"/>
        </w:rPr>
        <w:t xml:space="preserve">Observation 3: </w:t>
      </w:r>
      <w:r w:rsidRPr="00C02C2D">
        <w:rPr>
          <w:rFonts w:eastAsiaTheme="minorEastAsia"/>
          <w:b/>
          <w:bCs/>
          <w:lang w:eastAsia="zh-CN"/>
        </w:rPr>
        <w:tab/>
        <w:t>The only difference of UE implementation between Rel-19 low-band CA via switching and R20 low-band CA via switching for CA_n12A-n29A and CA_n28A-n67A is the filter in the receiver for SDL or for FDD DL+ SDL.</w:t>
      </w:r>
    </w:p>
    <w:p w14:paraId="6AF5B564" w14:textId="77777777" w:rsidR="00D92743" w:rsidRPr="00C02C2D" w:rsidRDefault="00D92743" w:rsidP="00D92743">
      <w:pPr>
        <w:spacing w:beforeLines="50" w:before="120" w:afterLines="50" w:after="120"/>
        <w:ind w:left="1200" w:hangingChars="600" w:hanging="1200"/>
        <w:rPr>
          <w:rFonts w:eastAsiaTheme="minorEastAsia"/>
          <w:b/>
          <w:bCs/>
          <w:lang w:eastAsia="zh-CN"/>
        </w:rPr>
      </w:pPr>
      <w:r w:rsidRPr="00C02C2D">
        <w:rPr>
          <w:rFonts w:eastAsiaTheme="minorEastAsia"/>
          <w:b/>
          <w:bCs/>
          <w:lang w:eastAsia="zh-CN"/>
        </w:rPr>
        <w:t xml:space="preserve">Proposal 2: </w:t>
      </w:r>
      <w:r w:rsidRPr="00C02C2D">
        <w:rPr>
          <w:rFonts w:eastAsiaTheme="minorEastAsia"/>
          <w:b/>
          <w:bCs/>
          <w:lang w:eastAsia="zh-CN"/>
        </w:rPr>
        <w:tab/>
        <w:t>R20 low-band CA via switching can reuse the semi-static switching mechanism based on RRC configuration defined in Rel-19 for low-band CA via switching.</w:t>
      </w:r>
    </w:p>
    <w:p w14:paraId="0EE8ED52" w14:textId="055A3D86" w:rsidR="00D92743" w:rsidRPr="00C02C2D" w:rsidRDefault="00D92743" w:rsidP="00D92743">
      <w:pPr>
        <w:spacing w:beforeLines="50" w:before="120" w:afterLines="50" w:after="120"/>
        <w:ind w:left="1200" w:hangingChars="600" w:hanging="1200"/>
        <w:rPr>
          <w:rFonts w:eastAsiaTheme="minorEastAsia"/>
          <w:b/>
          <w:bCs/>
          <w:lang w:eastAsia="zh-CN"/>
        </w:rPr>
      </w:pPr>
      <w:r w:rsidRPr="00C02C2D">
        <w:rPr>
          <w:rFonts w:eastAsiaTheme="minorEastAsia"/>
          <w:b/>
          <w:bCs/>
          <w:lang w:eastAsia="zh-CN"/>
        </w:rPr>
        <w:t xml:space="preserve">Proposal 3: </w:t>
      </w:r>
      <w:r w:rsidRPr="00C02C2D">
        <w:rPr>
          <w:rFonts w:eastAsiaTheme="minorEastAsia"/>
          <w:b/>
          <w:bCs/>
          <w:lang w:eastAsia="zh-CN"/>
        </w:rPr>
        <w:tab/>
        <w:t>The REFSENs of FDD band in case 3 need re-evaluate based on new receiver architecture.</w:t>
      </w:r>
    </w:p>
    <w:p w14:paraId="6541D2B4" w14:textId="4E17FDB2" w:rsidR="003B6BA5" w:rsidRPr="00C02C2D" w:rsidRDefault="003B6BA5" w:rsidP="008D6EE8">
      <w:pPr>
        <w:pStyle w:val="a"/>
      </w:pPr>
      <w:bookmarkStart w:id="6" w:name="_Hlk173939413"/>
      <w:bookmarkEnd w:id="1"/>
      <w:r w:rsidRPr="00C02C2D">
        <w:t>Reference</w:t>
      </w:r>
    </w:p>
    <w:bookmarkEnd w:id="6"/>
    <w:p w14:paraId="4855E5BF" w14:textId="2235C0DA" w:rsidR="000A0558" w:rsidRPr="00C02C2D" w:rsidRDefault="00D50B39" w:rsidP="008B1322">
      <w:pPr>
        <w:pStyle w:val="1"/>
        <w:rPr>
          <w:rFonts w:eastAsiaTheme="minorEastAsia"/>
          <w:noProof/>
          <w:lang w:eastAsia="zh-CN"/>
        </w:rPr>
      </w:pPr>
      <w:r w:rsidRPr="00C02C2D">
        <w:rPr>
          <w:rFonts w:eastAsiaTheme="minorEastAsia" w:hint="eastAsia"/>
          <w:noProof/>
          <w:lang w:eastAsia="zh-CN"/>
        </w:rPr>
        <w:t xml:space="preserve"> </w:t>
      </w:r>
      <w:r w:rsidRPr="00C02C2D">
        <w:rPr>
          <w:rFonts w:eastAsiaTheme="minorEastAsia"/>
          <w:noProof/>
          <w:lang w:eastAsia="zh-CN"/>
        </w:rPr>
        <w:t>RP-2529</w:t>
      </w:r>
      <w:r w:rsidR="00E8575B" w:rsidRPr="00C02C2D">
        <w:rPr>
          <w:rFonts w:eastAsiaTheme="minorEastAsia"/>
          <w:noProof/>
          <w:lang w:eastAsia="zh-CN"/>
        </w:rPr>
        <w:t>53</w:t>
      </w:r>
      <w:r w:rsidRPr="00C02C2D">
        <w:rPr>
          <w:rFonts w:eastAsiaTheme="minorEastAsia"/>
          <w:noProof/>
          <w:lang w:eastAsia="zh-CN"/>
        </w:rPr>
        <w:t xml:space="preserve">, </w:t>
      </w:r>
      <w:r w:rsidR="00E8575B" w:rsidRPr="00C02C2D">
        <w:rPr>
          <w:rFonts w:eastAsiaTheme="minorEastAsia"/>
          <w:noProof/>
          <w:lang w:eastAsia="zh-CN"/>
        </w:rPr>
        <w:t xml:space="preserve">New WID on </w:t>
      </w:r>
      <w:r w:rsidR="00E8575B" w:rsidRPr="00C02C2D">
        <w:rPr>
          <w:rFonts w:eastAsiaTheme="minorEastAsia" w:hint="eastAsia"/>
          <w:noProof/>
          <w:lang w:eastAsia="zh-CN"/>
        </w:rPr>
        <w:t>enhancement of low NR band carrier aggregation via switching</w:t>
      </w:r>
      <w:r w:rsidRPr="00C02C2D">
        <w:rPr>
          <w:rFonts w:eastAsiaTheme="minorEastAsia"/>
          <w:noProof/>
          <w:lang w:eastAsia="zh-CN"/>
        </w:rPr>
        <w:t>, RAN #109.</w:t>
      </w:r>
    </w:p>
    <w:sectPr w:rsidR="000A0558" w:rsidRPr="00C02C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B8107" w14:textId="77777777" w:rsidR="00B43343" w:rsidRDefault="00B43343">
      <w:r>
        <w:separator/>
      </w:r>
    </w:p>
  </w:endnote>
  <w:endnote w:type="continuationSeparator" w:id="0">
    <w:p w14:paraId="08F6449F" w14:textId="77777777" w:rsidR="00B43343" w:rsidRDefault="00B4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3E504" w14:textId="77777777" w:rsidR="00B43343" w:rsidRDefault="00B43343">
      <w:r>
        <w:separator/>
      </w:r>
    </w:p>
  </w:footnote>
  <w:footnote w:type="continuationSeparator" w:id="0">
    <w:p w14:paraId="3C15FF39" w14:textId="77777777" w:rsidR="00B43343" w:rsidRDefault="00B43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0014C3"/>
    <w:multiLevelType w:val="hybridMultilevel"/>
    <w:tmpl w:val="D174C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3" w15:restartNumberingAfterBreak="0">
    <w:nsid w:val="1DAE58AF"/>
    <w:multiLevelType w:val="multilevel"/>
    <w:tmpl w:val="979A6DB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4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等线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2515DFD"/>
    <w:multiLevelType w:val="multilevel"/>
    <w:tmpl w:val="098EF20C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736250DB"/>
    <w:multiLevelType w:val="hybridMultilevel"/>
    <w:tmpl w:val="323EDD14"/>
    <w:lvl w:ilvl="0" w:tplc="39968626">
      <w:start w:val="1"/>
      <w:numFmt w:val="bullet"/>
      <w:lvlText w:val="•"/>
      <w:lvlJc w:val="left"/>
      <w:pPr>
        <w:ind w:left="1838" w:hanging="420"/>
      </w:pPr>
      <w:rPr>
        <w:rFonts w:ascii="Tw Cen MT" w:hAnsi="Tw Cen MT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8" w15:restartNumberingAfterBreak="0">
    <w:nsid w:val="7D59129A"/>
    <w:multiLevelType w:val="hybridMultilevel"/>
    <w:tmpl w:val="C26AD802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  <w:num w:numId="10">
    <w:abstractNumId w:val="6"/>
  </w:num>
  <w:num w:numId="11">
    <w:abstractNumId w:val="7"/>
  </w:num>
  <w:num w:numId="12">
    <w:abstractNumId w:val="6"/>
  </w:num>
  <w:num w:numId="13">
    <w:abstractNumId w:val="3"/>
  </w:num>
  <w:num w:numId="14">
    <w:abstractNumId w:val="6"/>
  </w:num>
  <w:num w:numId="15">
    <w:abstractNumId w:val="4"/>
  </w:num>
  <w:num w:numId="16">
    <w:abstractNumId w:val="3"/>
  </w:num>
  <w:num w:numId="17">
    <w:abstractNumId w:val="3"/>
  </w:num>
  <w:num w:numId="18">
    <w:abstractNumId w:val="6"/>
  </w:num>
  <w:num w:numId="19">
    <w:abstractNumId w:val="3"/>
  </w:num>
  <w:num w:numId="20">
    <w:abstractNumId w:val="6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E9D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287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7FC"/>
    <w:rsid w:val="00095C5B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277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5E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30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5795"/>
    <w:rsid w:val="001F598E"/>
    <w:rsid w:val="001F6595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80F"/>
    <w:rsid w:val="00211927"/>
    <w:rsid w:val="00212373"/>
    <w:rsid w:val="002128AF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2222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1564"/>
    <w:rsid w:val="00292727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6C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72E"/>
    <w:rsid w:val="002D50DA"/>
    <w:rsid w:val="002D6840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44FD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A34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8C6"/>
    <w:rsid w:val="003559BD"/>
    <w:rsid w:val="00357129"/>
    <w:rsid w:val="00357D9F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E5D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700"/>
    <w:rsid w:val="003D0BB1"/>
    <w:rsid w:val="003D0EAB"/>
    <w:rsid w:val="003D13EA"/>
    <w:rsid w:val="003D1644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224C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29AE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0E46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4B2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6AF9"/>
    <w:rsid w:val="004C7598"/>
    <w:rsid w:val="004C7C0E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847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218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568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C5"/>
    <w:rsid w:val="009A54D3"/>
    <w:rsid w:val="009A5EC2"/>
    <w:rsid w:val="009A698C"/>
    <w:rsid w:val="009A77CD"/>
    <w:rsid w:val="009B074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582"/>
    <w:rsid w:val="009E69F6"/>
    <w:rsid w:val="009E6D4E"/>
    <w:rsid w:val="009E73BD"/>
    <w:rsid w:val="009E7529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343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4914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494A"/>
    <w:rsid w:val="00B654F6"/>
    <w:rsid w:val="00B66507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443E"/>
    <w:rsid w:val="00B753D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AEE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4627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E85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2C2D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4586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78C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7444"/>
    <w:rsid w:val="00D37A5A"/>
    <w:rsid w:val="00D402C2"/>
    <w:rsid w:val="00D418CD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B3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1846"/>
    <w:rsid w:val="00D9229B"/>
    <w:rsid w:val="00D922A6"/>
    <w:rsid w:val="00D92743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C7DE4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57EC6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75B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6E6F"/>
    <w:rsid w:val="00F7768F"/>
    <w:rsid w:val="00F7792A"/>
    <w:rsid w:val="00F77EB0"/>
    <w:rsid w:val="00F804F7"/>
    <w:rsid w:val="00F80698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6751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2E3C"/>
    <w:rsid w:val="00FB3349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B66507"/>
    <w:pPr>
      <w:jc w:val="both"/>
    </w:pPr>
    <w:rPr>
      <w:lang w:val="en-GB" w:eastAsia="en-US"/>
    </w:r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val="en-US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rFonts w:eastAsiaTheme="minorEastAsia"/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 w:eastAsia="zh-CN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B51A5B"/>
    <w:pPr>
      <w:numPr>
        <w:numId w:val="3"/>
      </w:numPr>
      <w:contextualSpacing/>
      <w:jc w:val="left"/>
    </w:pPr>
    <w:rPr>
      <w:rFonts w:eastAsiaTheme="minorEastAsia"/>
      <w:b/>
      <w:bCs/>
      <w:lang w:eastAsia="zh-CN"/>
    </w:rPr>
  </w:style>
  <w:style w:type="paragraph" w:customStyle="1" w:styleId="Observe">
    <w:name w:val="Observe"/>
    <w:basedOn w:val="a3"/>
    <w:link w:val="Observe0"/>
    <w:qFormat/>
    <w:rsid w:val="00B51A5B"/>
    <w:pPr>
      <w:numPr>
        <w:numId w:val="4"/>
      </w:numPr>
      <w:jc w:val="left"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a4"/>
    <w:link w:val="Propose"/>
    <w:rsid w:val="00B51A5B"/>
    <w:rPr>
      <w:rFonts w:eastAsiaTheme="minorEastAsia"/>
      <w:b/>
      <w:bCs/>
      <w:lang w:val="en-GB"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B51A5B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2C148A"/>
    <w:pPr>
      <w:ind w:left="1418" w:hangingChars="709" w:hanging="1418"/>
      <w:jc w:val="left"/>
    </w:pPr>
    <w:rPr>
      <w:rFonts w:eastAsiaTheme="minorEastAsia"/>
      <w:b/>
      <w:bCs/>
      <w:lang w:eastAsia="zh-CN"/>
    </w:rPr>
  </w:style>
  <w:style w:type="character" w:customStyle="1" w:styleId="Conclusion0">
    <w:name w:val="Conclusion 字符"/>
    <w:basedOn w:val="a4"/>
    <w:link w:val="Conclusion"/>
    <w:rsid w:val="002C148A"/>
    <w:rPr>
      <w:rFonts w:eastAsiaTheme="minorEastAsia"/>
      <w:b/>
      <w:bCs/>
      <w:lang w:val="en-GB"/>
    </w:rPr>
  </w:style>
  <w:style w:type="character" w:customStyle="1" w:styleId="B2Char1">
    <w:name w:val="B2 Char1"/>
    <w:locked/>
    <w:rsid w:val="00B6650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1904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5335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OPPO-Juan 2</cp:lastModifiedBy>
  <cp:revision>32</cp:revision>
  <dcterms:created xsi:type="dcterms:W3CDTF">2024-11-04T04:02:00Z</dcterms:created>
  <dcterms:modified xsi:type="dcterms:W3CDTF">2025-10-03T08:02:00Z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