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09ED56C"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R3-25xxxx</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r w:rsidRPr="007331BC">
        <w:rPr>
          <w:rFonts w:cs="Calibri"/>
          <w:b/>
          <w:bCs/>
          <w:color w:val="FF0000"/>
          <w:sz w:val="24"/>
        </w:rPr>
        <w:t>Tdoc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1795710A"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08:00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2"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3"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3"/>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2"/>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4" w:name="_Hlt11082143"/>
              <w:r w:rsidRPr="006706AE">
                <w:rPr>
                  <w:rStyle w:val="Hyperlink"/>
                  <w:rFonts w:cs="Calibri"/>
                  <w:szCs w:val="18"/>
                  <w:lang w:eastAsia="en-US"/>
                </w:rPr>
                <w:t>e</w:t>
              </w:r>
              <w:bookmarkEnd w:id="4"/>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lastRenderedPageBreak/>
              <w:t>3. Approval of the 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t>4. Approval of the minutes from previous meetings</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1"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8.2. LSin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5"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5"/>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642FDD" w:rsidRPr="006706AE" w14:paraId="5B63B575"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lastRenderedPageBreak/>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R19 NR Sidelink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6"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7" w:name="_Hlk205548042"/>
            <w:r w:rsidRPr="006706AE">
              <w:rPr>
                <w:lang w:eastAsia="en-US"/>
              </w:rPr>
              <w:lastRenderedPageBreak/>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12"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t xml:space="preserve">10.2.2. </w:t>
            </w:r>
            <w:r w:rsidRPr="006706AE">
              <w:t xml:space="preserve">RAN </w:t>
            </w:r>
            <w:r w:rsidR="003E1164">
              <w:t xml:space="preserve">functions and </w:t>
            </w:r>
            <w:r w:rsidRPr="006706AE">
              <w:t>logical architecture</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Heading2"/>
            </w:pPr>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6"/>
      <w:bookmarkEnd w:id="7"/>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1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lastRenderedPageBreak/>
              <w:t>1</w:t>
            </w:r>
            <w:r w:rsidR="00627452" w:rsidRPr="006706AE">
              <w:rPr>
                <w:rFonts w:eastAsia="DengXian"/>
              </w:rPr>
              <w:t>1</w:t>
            </w:r>
            <w:r w:rsidRPr="006706AE">
              <w:rPr>
                <w:rFonts w:eastAsia="DengXian"/>
              </w:rPr>
              <w:t>.2.1. Inter-CU LTM</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14"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.2.1. Multi-hop UE trajectory across gNBs</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.2.2. Intra-CU LTM</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.2.3. Handover enhancements</w:t>
            </w:r>
          </w:p>
          <w:p w14:paraId="2849451D" w14:textId="586E2593" w:rsidR="009A091A" w:rsidRPr="006706AE" w:rsidRDefault="009A091A" w:rsidP="00EB0278">
            <w:pPr>
              <w:pStyle w:val="Guidance"/>
              <w:rPr>
                <w:rFonts w:eastAsia="DengXian"/>
                <w:b/>
                <w:bCs/>
                <w:iCs/>
                <w:color w:val="800000"/>
                <w:szCs w:val="28"/>
              </w:rPr>
            </w:pPr>
            <w:r w:rsidRPr="006706AE">
              <w:t>E.g. inter-CU LTM.</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8"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15"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Heading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Heading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Heading2"/>
            </w:pPr>
            <w:r w:rsidRPr="006706AE">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bookmarkEnd w:id="8"/>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16"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Heading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Heading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Heading1"/>
            </w:pPr>
            <w:r w:rsidRPr="006706AE">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17"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Heading1"/>
            </w:pPr>
            <w:r w:rsidRPr="006706AE">
              <w:lastRenderedPageBreak/>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Heading1"/>
            </w:pPr>
            <w:r w:rsidRPr="006706AE">
              <w:t>1</w:t>
            </w:r>
            <w:r w:rsidR="00246C0E" w:rsidRPr="006706AE">
              <w:t>5</w:t>
            </w:r>
            <w:r w:rsidRPr="006706AE">
              <w:t>.</w:t>
            </w:r>
            <w:r w:rsidR="00246C0E" w:rsidRPr="006706AE">
              <w:t>2</w:t>
            </w:r>
            <w:r w:rsidRPr="006706AE">
              <w:t xml:space="preserve">. </w:t>
            </w:r>
            <w:r w:rsidR="00246C0E" w:rsidRPr="006706AE">
              <w:t>LTM SCell activation enhancements</w:t>
            </w:r>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Heading2"/>
              <w:rPr>
                <w:rFonts w:eastAsia="DengXian"/>
              </w:rPr>
            </w:pPr>
            <w:bookmarkStart w:id="9" w:name="_Hlk202621694"/>
            <w:r w:rsidRPr="006706AE">
              <w:rPr>
                <w:rFonts w:eastAsia="DengXian"/>
              </w:rPr>
              <w:t>20</w:t>
            </w:r>
            <w:r w:rsidR="004B38E9" w:rsidRPr="006706AE">
              <w:rPr>
                <w:rFonts w:eastAsia="DengXian"/>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18"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Heading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Heading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Heading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19"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Heading1"/>
            </w:pPr>
            <w:r w:rsidRPr="006706AE">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Heading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9"/>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Heading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Heading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10" w:name="_Hlk516525052"/>
            <w:bookmarkStart w:id="11" w:name="_Hlk516525030"/>
            <w:bookmarkEnd w:id="10"/>
            <w:bookmarkEnd w:id="11"/>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2" w:name="_Hlk511294021"/>
            <w:bookmarkEnd w:id="12"/>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06278A7"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5A590E">
              <w:rPr>
                <w:rFonts w:ascii="Calibri" w:hAnsi="Calibri" w:cs="Calibri"/>
                <w:sz w:val="18"/>
                <w:szCs w:val="18"/>
                <w:highlight w:val="yellow"/>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5A590E" w:rsidRDefault="005A590E" w:rsidP="005A590E">
            <w:pPr>
              <w:pStyle w:val="20"/>
              <w:spacing w:after="0"/>
              <w:jc w:val="center"/>
              <w:rPr>
                <w:rFonts w:ascii="Calibri" w:hAnsi="Calibri" w:cs="Calibri"/>
                <w:sz w:val="18"/>
                <w:szCs w:val="18"/>
                <w:highlight w:val="yellow"/>
              </w:rPr>
            </w:pPr>
            <w:r w:rsidRPr="005A590E">
              <w:rPr>
                <w:rFonts w:ascii="Calibri" w:hAnsi="Calibri" w:cs="Calibri"/>
                <w:sz w:val="18"/>
                <w:szCs w:val="18"/>
                <w:highlight w:val="yellow"/>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5A590E">
              <w:rPr>
                <w:rFonts w:cs="Calibri"/>
                <w:szCs w:val="18"/>
                <w:highlight w:val="yellow"/>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2"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3"/>
  </w:num>
  <w:num w:numId="11" w16cid:durableId="550851738">
    <w:abstractNumId w:val="32"/>
  </w:num>
  <w:num w:numId="12" w16cid:durableId="1516648961">
    <w:abstractNumId w:val="4"/>
  </w:num>
  <w:num w:numId="13" w16cid:durableId="1188064866">
    <w:abstractNumId w:val="36"/>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1"/>
  </w:num>
  <w:num w:numId="21" w16cid:durableId="150799690">
    <w:abstractNumId w:val="5"/>
  </w:num>
  <w:num w:numId="22" w16cid:durableId="661860874">
    <w:abstractNumId w:val="39"/>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7"/>
  </w:num>
  <w:num w:numId="29" w16cid:durableId="1917283369">
    <w:abstractNumId w:val="13"/>
  </w:num>
  <w:num w:numId="30" w16cid:durableId="1052267372">
    <w:abstractNumId w:val="29"/>
  </w:num>
  <w:num w:numId="31" w16cid:durableId="1974021109">
    <w:abstractNumId w:val="34"/>
  </w:num>
  <w:num w:numId="32" w16cid:durableId="1861159582">
    <w:abstractNumId w:val="38"/>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5"/>
  </w:num>
  <w:num w:numId="38" w16cid:durableId="1929341154">
    <w:abstractNumId w:val="17"/>
  </w:num>
  <w:num w:numId="39" w16cid:durableId="776677631">
    <w:abstractNumId w:val="40"/>
  </w:num>
  <w:num w:numId="40" w16cid:durableId="1595897541">
    <w:abstractNumId w:val="26"/>
  </w:num>
  <w:num w:numId="41" w16cid:durableId="806552381">
    <w:abstractNumId w:val="30"/>
  </w:num>
  <w:num w:numId="42" w16cid:durableId="1342050358">
    <w:abstractNumId w:val="12"/>
  </w:num>
  <w:num w:numId="43" w16cid:durableId="1623418233">
    <w:abstractNumId w:val="11"/>
  </w:num>
  <w:num w:numId="44" w16cid:durableId="12346577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BDA"/>
    <w:rsid w:val="000E1DEA"/>
    <w:rsid w:val="000E1E5D"/>
    <w:rsid w:val="000E1FC4"/>
    <w:rsid w:val="000E23F0"/>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PCG/PCG_27/DOCS/PCG27_13r1.zip" TargetMode="External"/><Relationship Id="rId13" Type="http://schemas.openxmlformats.org/officeDocument/2006/relationships/hyperlink" Target="https://www.3gpp.org/ftp/tsg_ran/TSG_RAN/TSGR_109/Docs/RP-252560.zip" TargetMode="External"/><Relationship Id="rId18" Type="http://schemas.openxmlformats.org/officeDocument/2006/relationships/hyperlink" Target="https://www.3gpp.org/ftp/tsg_ran/TSG_RAN/TSGR_109/Docs/RP-252755.zi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3gpp.org/about-us/legal-matters/statement-regarding-competition-law" TargetMode="External"/><Relationship Id="rId12" Type="http://schemas.openxmlformats.org/officeDocument/2006/relationships/hyperlink" Target="https://www.3gpp.org/ftp/tsg_ran/TSG_RAN/TSGR_109/Docs/RP-252912.zip" TargetMode="External"/><Relationship Id="rId17" Type="http://schemas.openxmlformats.org/officeDocument/2006/relationships/hyperlink" Target="https://www.3gpp.org/ftp/tsg_ran/TSG_RAN/TSGR_109/Docs/RP-252113.zip" TargetMode="External"/><Relationship Id="rId2" Type="http://schemas.openxmlformats.org/officeDocument/2006/relationships/styles" Target="styles.xml"/><Relationship Id="rId16" Type="http://schemas.openxmlformats.org/officeDocument/2006/relationships/hyperlink" Target="https://www.3gpp.org/ftp/tsg_ran/TSG_RAN/TSGR_109/Docs/RP-252894.zi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pr.etsi.org/" TargetMode="External"/><Relationship Id="rId11" Type="http://schemas.openxmlformats.org/officeDocument/2006/relationships/hyperlink" Target="http://www.3gpp.org/DynaReport/30531.htm" TargetMode="External"/><Relationship Id="rId5" Type="http://schemas.openxmlformats.org/officeDocument/2006/relationships/hyperlink" Target="https://www.3gpp.org/about-us/legal-matters/call-for-ipr" TargetMode="External"/><Relationship Id="rId15" Type="http://schemas.openxmlformats.org/officeDocument/2006/relationships/hyperlink" Target="https://www.3gpp.org/ftp/tsg_ran/TSG_RAN/TSGR_109/Docs/RP-252819.zip" TargetMode="External"/><Relationship Id="rId10" Type="http://schemas.openxmlformats.org/officeDocument/2006/relationships/hyperlink" Target="http://www.3gpp.org/ftp/tsg_ran/WG3_Iu/TSGR3_AHGs/R3_AH_NR_1706/Docs/R3-172219.zip" TargetMode="External"/><Relationship Id="rId19" Type="http://schemas.openxmlformats.org/officeDocument/2006/relationships/hyperlink" Target="https://www.3gpp.org/ftp/tsg_ran/TSG_RAN/TSGR_109/Docs/RP-252445.zip" TargetMode="External"/><Relationship Id="rId4" Type="http://schemas.openxmlformats.org/officeDocument/2006/relationships/webSettings" Target="webSettings.xml"/><Relationship Id="rId9" Type="http://schemas.openxmlformats.org/officeDocument/2006/relationships/hyperlink" Target="https://www.3gpp.org/ftp/tsg_ran/WG3_Iu/TSGR3_129/Docs/R3-255141.zip" TargetMode="External"/><Relationship Id="rId14" Type="http://schemas.openxmlformats.org/officeDocument/2006/relationships/hyperlink" Target="https://www.3gpp.org/ftp/tsg_ran/TSG_RAN/TSGR_109/Docs/RP-2528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11</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18464</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58</cp:revision>
  <cp:lastPrinted>2025-06-30T13:38:00Z</cp:lastPrinted>
  <dcterms:created xsi:type="dcterms:W3CDTF">2025-08-08T17:48:00Z</dcterms:created>
  <dcterms:modified xsi:type="dcterms:W3CDTF">2025-09-26T00:17:00Z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