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D76E91" w14:textId="77777777" w:rsidR="0063435B" w:rsidRDefault="00267045">
      <w:pPr>
        <w:spacing w:beforeLines="0" w:before="0" w:afterLines="0" w:after="60"/>
        <w:rPr>
          <w:rFonts w:ascii="Arial" w:eastAsia="宋体" w:hAnsi="Arial" w:cs="Arial"/>
          <w:b/>
          <w:bCs/>
          <w:sz w:val="24"/>
        </w:rPr>
      </w:pPr>
      <w:r>
        <w:rPr>
          <w:rFonts w:ascii="Arial" w:hAnsi="Arial" w:cs="Arial"/>
          <w:b/>
          <w:bCs/>
          <w:sz w:val="24"/>
          <w:lang w:val="de-DE"/>
        </w:rPr>
        <w:t>3GPP TSG RAN WG 2 #</w:t>
      </w:r>
      <w:r>
        <w:rPr>
          <w:rFonts w:ascii="Arial" w:eastAsia="宋体" w:hAnsi="Arial" w:cs="Arial" w:hint="eastAsia"/>
          <w:b/>
          <w:bCs/>
          <w:sz w:val="24"/>
          <w:lang w:val="de-DE"/>
        </w:rPr>
        <w:t>131-bis</w:t>
      </w:r>
      <w:r>
        <w:rPr>
          <w:rFonts w:ascii="Arial" w:hAnsi="Arial" w:cs="Arial"/>
          <w:b/>
          <w:bCs/>
          <w:sz w:val="24"/>
          <w:lang w:val="de-DE"/>
        </w:rPr>
        <w:tab/>
      </w:r>
      <w:r>
        <w:rPr>
          <w:rFonts w:ascii="Arial" w:hAnsi="Arial" w:cs="Arial"/>
          <w:b/>
          <w:bCs/>
          <w:sz w:val="24"/>
          <w:lang w:val="de-DE"/>
        </w:rPr>
        <w:tab/>
      </w:r>
      <w:r>
        <w:rPr>
          <w:rFonts w:ascii="Arial" w:hAnsi="Arial" w:cs="Arial"/>
          <w:b/>
          <w:bCs/>
          <w:sz w:val="24"/>
          <w:lang w:val="de-DE"/>
        </w:rPr>
        <w:tab/>
      </w:r>
      <w:r>
        <w:rPr>
          <w:rFonts w:ascii="Arial" w:hAnsi="Arial" w:cs="Arial"/>
          <w:b/>
          <w:bCs/>
          <w:sz w:val="24"/>
          <w:lang w:val="de-DE"/>
        </w:rPr>
        <w:tab/>
      </w:r>
      <w:r>
        <w:rPr>
          <w:rFonts w:ascii="Arial" w:hAnsi="Arial" w:cs="Arial"/>
          <w:b/>
          <w:bCs/>
          <w:sz w:val="24"/>
          <w:lang w:val="de-DE"/>
        </w:rPr>
        <w:tab/>
      </w:r>
      <w:r>
        <w:rPr>
          <w:rFonts w:ascii="Arial" w:hAnsi="Arial" w:cs="Arial"/>
          <w:b/>
          <w:bCs/>
          <w:sz w:val="24"/>
          <w:lang w:val="de-DE"/>
        </w:rPr>
        <w:tab/>
      </w:r>
      <w:r>
        <w:rPr>
          <w:rFonts w:ascii="Arial" w:hAnsi="Arial" w:cs="Arial"/>
          <w:b/>
          <w:bCs/>
          <w:sz w:val="24"/>
          <w:lang w:val="de-DE"/>
        </w:rPr>
        <w:tab/>
      </w:r>
      <w:r>
        <w:rPr>
          <w:rFonts w:ascii="Arial" w:hAnsi="Arial" w:cs="Arial"/>
          <w:b/>
          <w:bCs/>
          <w:sz w:val="24"/>
          <w:lang w:val="de-DE"/>
        </w:rPr>
        <w:tab/>
      </w:r>
      <w:r>
        <w:rPr>
          <w:rFonts w:ascii="Arial" w:hAnsi="Arial" w:cs="Arial"/>
          <w:b/>
          <w:bCs/>
          <w:sz w:val="24"/>
          <w:lang w:val="de-DE"/>
        </w:rPr>
        <w:tab/>
      </w:r>
      <w:r>
        <w:rPr>
          <w:rFonts w:ascii="Arial" w:hAnsi="Arial" w:cs="Arial"/>
          <w:b/>
          <w:bCs/>
          <w:sz w:val="24"/>
          <w:lang w:val="de-DE"/>
        </w:rPr>
        <w:tab/>
        <w:t>R</w:t>
      </w:r>
      <w:r>
        <w:rPr>
          <w:rFonts w:ascii="Arial" w:eastAsiaTheme="minorEastAsia" w:hAnsi="Arial" w:cs="Arial" w:hint="eastAsia"/>
          <w:b/>
          <w:bCs/>
          <w:sz w:val="24"/>
          <w:lang w:val="de-DE"/>
        </w:rPr>
        <w:t>2</w:t>
      </w:r>
      <w:r>
        <w:rPr>
          <w:rFonts w:ascii="Arial" w:hAnsi="Arial" w:cs="Arial"/>
          <w:b/>
          <w:bCs/>
          <w:sz w:val="24"/>
          <w:lang w:val="de-DE"/>
        </w:rPr>
        <w:t>-25</w:t>
      </w:r>
      <w:r>
        <w:rPr>
          <w:rFonts w:ascii="Arial" w:eastAsia="宋体" w:hAnsi="Arial" w:cs="Arial" w:hint="eastAsia"/>
          <w:b/>
          <w:bCs/>
          <w:sz w:val="24"/>
        </w:rPr>
        <w:t>07774</w:t>
      </w:r>
    </w:p>
    <w:p w14:paraId="1EB9AA49" w14:textId="77777777" w:rsidR="0063435B" w:rsidRDefault="00267045">
      <w:pPr>
        <w:tabs>
          <w:tab w:val="left" w:pos="1820"/>
        </w:tabs>
        <w:spacing w:beforeLines="0" w:before="0" w:afterLines="0" w:after="60"/>
        <w:rPr>
          <w:rFonts w:ascii="Arial" w:hAnsi="Arial" w:cs="Arial"/>
          <w:b/>
          <w:bCs/>
          <w:sz w:val="24"/>
          <w:lang w:val="en-GB"/>
        </w:rPr>
      </w:pPr>
      <w:r>
        <w:rPr>
          <w:rFonts w:ascii="Arial" w:hAnsi="Arial" w:cs="Arial"/>
          <w:b/>
          <w:bCs/>
          <w:sz w:val="24"/>
        </w:rPr>
        <w:t>Prague, Czech Republic</w:t>
      </w:r>
      <w:r>
        <w:rPr>
          <w:rFonts w:ascii="Arial" w:eastAsiaTheme="minorEastAsia" w:hAnsi="Arial" w:cs="Arial" w:hint="eastAsia"/>
          <w:b/>
          <w:bCs/>
          <w:sz w:val="24"/>
        </w:rPr>
        <w:t xml:space="preserve">, </w:t>
      </w:r>
      <w:r>
        <w:rPr>
          <w:rFonts w:ascii="Arial" w:eastAsiaTheme="minorEastAsia" w:hAnsi="Arial" w:cs="Arial" w:hint="eastAsia"/>
          <w:b/>
          <w:bCs/>
          <w:sz w:val="24"/>
          <w:lang w:val="en-GB"/>
        </w:rPr>
        <w:t>October 13</w:t>
      </w:r>
      <w:r>
        <w:rPr>
          <w:rFonts w:ascii="Arial" w:eastAsiaTheme="minorEastAsia" w:hAnsi="Arial" w:cs="Arial" w:hint="eastAsia"/>
          <w:b/>
          <w:bCs/>
          <w:sz w:val="24"/>
          <w:vertAlign w:val="superscript"/>
          <w:lang w:val="en-GB"/>
        </w:rPr>
        <w:t>th</w:t>
      </w:r>
      <w:r>
        <w:rPr>
          <w:rFonts w:ascii="Arial" w:eastAsiaTheme="minorEastAsia" w:hAnsi="Arial" w:cs="Arial" w:hint="eastAsia"/>
          <w:b/>
          <w:bCs/>
          <w:sz w:val="24"/>
          <w:lang w:val="en-GB"/>
        </w:rPr>
        <w:t>-17</w:t>
      </w:r>
      <w:r>
        <w:rPr>
          <w:rFonts w:ascii="Arial" w:eastAsiaTheme="minorEastAsia" w:hAnsi="Arial" w:cs="Arial" w:hint="eastAsia"/>
          <w:b/>
          <w:bCs/>
          <w:sz w:val="24"/>
          <w:vertAlign w:val="superscript"/>
          <w:lang w:val="en-GB"/>
        </w:rPr>
        <w:t>th</w:t>
      </w:r>
      <w:r>
        <w:rPr>
          <w:rFonts w:ascii="Arial" w:eastAsiaTheme="minorEastAsia" w:hAnsi="Arial" w:cs="Arial" w:hint="eastAsia"/>
          <w:b/>
          <w:bCs/>
          <w:sz w:val="24"/>
          <w:lang w:val="en-GB"/>
        </w:rPr>
        <w:t>,</w:t>
      </w:r>
      <w:r>
        <w:rPr>
          <w:rFonts w:ascii="Arial" w:hAnsi="Arial" w:cs="Arial"/>
          <w:b/>
          <w:bCs/>
          <w:sz w:val="24"/>
          <w:lang w:val="en-GB"/>
        </w:rPr>
        <w:t xml:space="preserve"> 2025</w:t>
      </w:r>
    </w:p>
    <w:p w14:paraId="53C684DD" w14:textId="77777777" w:rsidR="0063435B" w:rsidRDefault="0063435B">
      <w:pPr>
        <w:tabs>
          <w:tab w:val="left" w:pos="1820"/>
        </w:tabs>
        <w:spacing w:beforeLines="0" w:before="0" w:afterLines="0" w:after="60"/>
        <w:rPr>
          <w:rFonts w:ascii="Arial" w:eastAsia="宋体" w:hAnsi="Arial" w:cs="Arial"/>
          <w:b/>
          <w:sz w:val="24"/>
          <w:szCs w:val="24"/>
          <w:lang w:val="en-GB"/>
        </w:rPr>
      </w:pPr>
    </w:p>
    <w:p w14:paraId="01E40408" w14:textId="77777777" w:rsidR="0063435B" w:rsidRDefault="00267045">
      <w:pPr>
        <w:tabs>
          <w:tab w:val="left" w:pos="1820"/>
        </w:tabs>
        <w:spacing w:beforeLines="0" w:before="0" w:afterLines="0" w:after="60"/>
        <w:rPr>
          <w:rFonts w:ascii="Arial" w:eastAsia="宋体" w:hAnsi="Arial" w:cs="Arial"/>
          <w:b/>
          <w:bCs/>
          <w:sz w:val="24"/>
          <w:szCs w:val="24"/>
        </w:rPr>
      </w:pPr>
      <w:r>
        <w:rPr>
          <w:rFonts w:ascii="Arial" w:eastAsia="宋体" w:hAnsi="Arial" w:cs="Arial"/>
          <w:b/>
          <w:sz w:val="24"/>
          <w:szCs w:val="24"/>
          <w:lang w:val="en-AU"/>
        </w:rPr>
        <w:t>Agenda Item:</w:t>
      </w:r>
      <w:r>
        <w:rPr>
          <w:rFonts w:ascii="Arial" w:eastAsia="宋体" w:hAnsi="Arial" w:cs="Arial"/>
          <w:b/>
          <w:bCs/>
          <w:sz w:val="24"/>
          <w:szCs w:val="24"/>
          <w:lang w:val="en-AU"/>
        </w:rPr>
        <w:tab/>
      </w:r>
      <w:bookmarkStart w:id="0" w:name="OLE_LINK6"/>
      <w:bookmarkStart w:id="1" w:name="OLE_LINK7"/>
      <w:r>
        <w:rPr>
          <w:rFonts w:ascii="Arial" w:eastAsia="宋体" w:hAnsi="Arial" w:cs="Arial" w:hint="eastAsia"/>
          <w:b/>
          <w:bCs/>
          <w:sz w:val="24"/>
          <w:szCs w:val="24"/>
        </w:rPr>
        <w:t>7.0.2.17</w:t>
      </w:r>
    </w:p>
    <w:p w14:paraId="237B500B" w14:textId="77777777" w:rsidR="0063435B" w:rsidRDefault="00267045">
      <w:pPr>
        <w:tabs>
          <w:tab w:val="left" w:pos="1824"/>
        </w:tabs>
        <w:spacing w:beforeLines="0" w:before="0" w:afterLines="0" w:after="60"/>
        <w:rPr>
          <w:rFonts w:ascii="Arial" w:eastAsia="宋体" w:hAnsi="Arial" w:cs="Arial"/>
          <w:b/>
          <w:bCs/>
          <w:sz w:val="24"/>
          <w:szCs w:val="24"/>
        </w:rPr>
      </w:pPr>
      <w:r>
        <w:rPr>
          <w:rFonts w:ascii="Arial" w:eastAsia="宋体" w:hAnsi="Arial" w:cs="Arial"/>
          <w:b/>
          <w:sz w:val="24"/>
          <w:szCs w:val="24"/>
          <w:lang w:val="en-AU"/>
        </w:rPr>
        <w:t>Source:</w:t>
      </w:r>
      <w:r>
        <w:rPr>
          <w:rFonts w:ascii="Arial" w:eastAsia="宋体" w:hAnsi="Arial" w:cs="Arial"/>
          <w:b/>
          <w:bCs/>
          <w:sz w:val="24"/>
          <w:szCs w:val="24"/>
          <w:lang w:val="en-AU"/>
        </w:rPr>
        <w:tab/>
        <w:t>CSCN</w:t>
      </w:r>
    </w:p>
    <w:p w14:paraId="4CBA851F" w14:textId="77777777" w:rsidR="0063435B" w:rsidRDefault="00267045">
      <w:pPr>
        <w:tabs>
          <w:tab w:val="left" w:pos="1820"/>
        </w:tabs>
        <w:spacing w:beforeLines="0" w:before="0" w:afterLines="0" w:after="60"/>
        <w:ind w:left="1820" w:hanging="1820"/>
        <w:rPr>
          <w:rFonts w:ascii="Arial" w:eastAsia="宋体" w:hAnsi="Arial" w:cs="Arial"/>
          <w:b/>
          <w:sz w:val="24"/>
          <w:szCs w:val="24"/>
          <w:lang w:val="en-AU"/>
        </w:rPr>
      </w:pPr>
      <w:r>
        <w:rPr>
          <w:rFonts w:ascii="Arial" w:eastAsia="宋体" w:hAnsi="Arial" w:cs="Arial"/>
          <w:b/>
          <w:sz w:val="24"/>
          <w:szCs w:val="24"/>
          <w:lang w:val="en-AU"/>
        </w:rPr>
        <w:t>Title:</w:t>
      </w:r>
      <w:r>
        <w:rPr>
          <w:rFonts w:ascii="Arial" w:eastAsia="宋体" w:hAnsi="Arial" w:cs="Arial"/>
          <w:b/>
          <w:bCs/>
          <w:sz w:val="24"/>
          <w:szCs w:val="24"/>
          <w:lang w:val="en-AU"/>
        </w:rPr>
        <w:tab/>
      </w:r>
      <w:r>
        <w:rPr>
          <w:rFonts w:ascii="Arial" w:eastAsia="宋体" w:hAnsi="Arial" w:cs="Arial" w:hint="eastAsia"/>
          <w:b/>
          <w:bCs/>
          <w:sz w:val="24"/>
          <w:szCs w:val="24"/>
          <w:lang w:val="en-AU"/>
        </w:rPr>
        <w:t>Summary of the offline discussion [AT131bis</w:t>
      </w:r>
      <w:proofErr w:type="gramStart"/>
      <w:r>
        <w:rPr>
          <w:rFonts w:ascii="Arial" w:eastAsia="宋体" w:hAnsi="Arial" w:cs="Arial" w:hint="eastAsia"/>
          <w:b/>
          <w:bCs/>
          <w:sz w:val="24"/>
          <w:szCs w:val="24"/>
          <w:lang w:val="en-AU"/>
        </w:rPr>
        <w:t>][</w:t>
      </w:r>
      <w:proofErr w:type="gramEnd"/>
      <w:r>
        <w:rPr>
          <w:rFonts w:ascii="Arial" w:eastAsia="宋体" w:hAnsi="Arial" w:cs="Arial" w:hint="eastAsia"/>
          <w:b/>
          <w:bCs/>
          <w:sz w:val="24"/>
          <w:szCs w:val="24"/>
          <w:lang w:val="en-AU"/>
        </w:rPr>
        <w:t>3</w:t>
      </w:r>
      <w:r>
        <w:rPr>
          <w:rFonts w:ascii="Arial" w:eastAsia="宋体" w:hAnsi="Arial" w:cs="Arial" w:hint="eastAsia"/>
          <w:b/>
          <w:bCs/>
          <w:sz w:val="24"/>
          <w:szCs w:val="24"/>
        </w:rPr>
        <w:t>10</w:t>
      </w:r>
      <w:r>
        <w:rPr>
          <w:rFonts w:ascii="Arial" w:eastAsia="宋体" w:hAnsi="Arial" w:cs="Arial" w:hint="eastAsia"/>
          <w:b/>
          <w:bCs/>
          <w:sz w:val="24"/>
          <w:szCs w:val="24"/>
          <w:lang w:val="en-AU"/>
        </w:rPr>
        <w:t>][</w:t>
      </w:r>
      <w:r>
        <w:rPr>
          <w:rFonts w:ascii="Arial" w:eastAsia="宋体" w:hAnsi="Arial" w:cs="Arial" w:hint="eastAsia"/>
          <w:b/>
          <w:bCs/>
          <w:sz w:val="24"/>
          <w:szCs w:val="24"/>
        </w:rPr>
        <w:t xml:space="preserve">R18 </w:t>
      </w:r>
      <w:r>
        <w:rPr>
          <w:rFonts w:ascii="Arial" w:eastAsia="宋体" w:hAnsi="Arial" w:cs="Arial" w:hint="eastAsia"/>
          <w:b/>
          <w:bCs/>
          <w:sz w:val="24"/>
          <w:szCs w:val="24"/>
          <w:lang w:val="en-AU"/>
        </w:rPr>
        <w:t xml:space="preserve">NR NTN] </w:t>
      </w:r>
      <w:r>
        <w:rPr>
          <w:rFonts w:ascii="Arial" w:eastAsia="宋体" w:hAnsi="Arial" w:cs="Arial" w:hint="eastAsia"/>
          <w:b/>
          <w:bCs/>
          <w:sz w:val="24"/>
          <w:szCs w:val="24"/>
        </w:rPr>
        <w:t xml:space="preserve"> Event D2</w:t>
      </w:r>
      <w:r>
        <w:rPr>
          <w:rFonts w:ascii="Arial" w:eastAsia="宋体" w:hAnsi="Arial" w:cs="Arial" w:hint="eastAsia"/>
          <w:b/>
          <w:bCs/>
          <w:sz w:val="24"/>
          <w:szCs w:val="24"/>
          <w:lang w:val="en-AU"/>
        </w:rPr>
        <w:t xml:space="preserve"> (</w:t>
      </w:r>
      <w:r>
        <w:rPr>
          <w:rFonts w:ascii="Arial" w:eastAsia="宋体" w:hAnsi="Arial" w:cs="Arial" w:hint="eastAsia"/>
          <w:b/>
          <w:bCs/>
          <w:sz w:val="24"/>
          <w:szCs w:val="24"/>
        </w:rPr>
        <w:t>CSCN</w:t>
      </w:r>
      <w:r>
        <w:rPr>
          <w:rFonts w:ascii="Arial" w:eastAsia="宋体" w:hAnsi="Arial" w:cs="Arial" w:hint="eastAsia"/>
          <w:b/>
          <w:bCs/>
          <w:sz w:val="24"/>
          <w:szCs w:val="24"/>
          <w:lang w:val="en-AU"/>
        </w:rPr>
        <w:t>)</w:t>
      </w:r>
    </w:p>
    <w:p w14:paraId="2A91DFEA" w14:textId="77777777" w:rsidR="0063435B" w:rsidRDefault="00267045">
      <w:pPr>
        <w:tabs>
          <w:tab w:val="left" w:pos="1820"/>
        </w:tabs>
        <w:spacing w:beforeLines="0" w:before="0" w:afterLines="0" w:after="60"/>
        <w:ind w:left="1820" w:hanging="1820"/>
        <w:rPr>
          <w:rFonts w:ascii="Arial" w:eastAsia="宋体" w:hAnsi="Arial" w:cs="Arial"/>
          <w:b/>
          <w:sz w:val="24"/>
          <w:szCs w:val="24"/>
        </w:rPr>
      </w:pPr>
      <w:r>
        <w:rPr>
          <w:rFonts w:ascii="Arial" w:eastAsia="宋体" w:hAnsi="Arial" w:cs="Arial" w:hint="eastAsia"/>
          <w:b/>
          <w:sz w:val="24"/>
          <w:szCs w:val="24"/>
        </w:rPr>
        <w:t>WID/SID:</w:t>
      </w:r>
      <w:r>
        <w:rPr>
          <w:rFonts w:ascii="Arial" w:eastAsia="宋体" w:hAnsi="Arial" w:cs="Arial"/>
          <w:b/>
          <w:bCs/>
          <w:sz w:val="24"/>
          <w:szCs w:val="24"/>
          <w:lang w:val="en-AU"/>
        </w:rPr>
        <w:tab/>
      </w:r>
      <w:proofErr w:type="spellStart"/>
      <w:r>
        <w:rPr>
          <w:rFonts w:ascii="Arial" w:eastAsia="宋体" w:hAnsi="Arial" w:cs="Arial" w:hint="eastAsia"/>
          <w:b/>
          <w:sz w:val="24"/>
          <w:szCs w:val="24"/>
        </w:rPr>
        <w:t>NR_NTN_enh</w:t>
      </w:r>
      <w:proofErr w:type="spellEnd"/>
      <w:r>
        <w:rPr>
          <w:rFonts w:ascii="Arial" w:eastAsia="宋体" w:hAnsi="Arial" w:cs="Arial" w:hint="eastAsia"/>
          <w:b/>
          <w:sz w:val="24"/>
          <w:szCs w:val="24"/>
        </w:rPr>
        <w:t>-Core</w:t>
      </w:r>
    </w:p>
    <w:p w14:paraId="3947CBD5" w14:textId="77777777" w:rsidR="0063435B" w:rsidRDefault="00267045">
      <w:pPr>
        <w:pBdr>
          <w:bottom w:val="single" w:sz="12" w:space="1" w:color="auto"/>
        </w:pBdr>
        <w:tabs>
          <w:tab w:val="left" w:pos="1820"/>
        </w:tabs>
        <w:spacing w:beforeLines="0" w:before="0" w:afterLines="0" w:after="60"/>
        <w:ind w:left="1820" w:hanging="1820"/>
        <w:rPr>
          <w:rFonts w:ascii="Arial" w:eastAsia="宋体" w:hAnsi="Arial" w:cs="Arial"/>
          <w:b/>
          <w:bCs/>
          <w:sz w:val="24"/>
          <w:szCs w:val="24"/>
          <w:lang w:val="en-AU"/>
        </w:rPr>
      </w:pPr>
      <w:r>
        <w:rPr>
          <w:rFonts w:ascii="Arial" w:eastAsia="宋体" w:hAnsi="Arial" w:cs="Arial"/>
          <w:b/>
          <w:sz w:val="24"/>
          <w:szCs w:val="24"/>
          <w:lang w:val="en-AU"/>
        </w:rPr>
        <w:t>Document for:</w:t>
      </w:r>
      <w:r>
        <w:rPr>
          <w:rFonts w:ascii="Arial" w:eastAsia="宋体" w:hAnsi="Arial" w:cs="Arial"/>
          <w:b/>
          <w:bCs/>
          <w:sz w:val="24"/>
          <w:szCs w:val="24"/>
          <w:lang w:val="en-AU"/>
        </w:rPr>
        <w:tab/>
      </w:r>
      <w:r>
        <w:rPr>
          <w:rFonts w:ascii="Arial" w:eastAsia="宋体" w:hAnsi="Arial" w:cs="Arial"/>
          <w:b/>
          <w:sz w:val="24"/>
          <w:szCs w:val="24"/>
          <w:lang w:val="en-AU"/>
        </w:rPr>
        <w:t>Discussion/Decision</w:t>
      </w:r>
      <w:r>
        <w:rPr>
          <w:rFonts w:ascii="Arial" w:eastAsia="宋体" w:hAnsi="Arial" w:cs="Arial"/>
          <w:b/>
          <w:bCs/>
          <w:sz w:val="24"/>
          <w:szCs w:val="24"/>
          <w:lang w:val="en-AU"/>
        </w:rPr>
        <w:tab/>
      </w:r>
      <w:bookmarkEnd w:id="0"/>
      <w:bookmarkEnd w:id="1"/>
    </w:p>
    <w:p w14:paraId="12636A39" w14:textId="77777777" w:rsidR="0063435B" w:rsidRDefault="00267045">
      <w:pPr>
        <w:pStyle w:val="1"/>
        <w:numPr>
          <w:ilvl w:val="0"/>
          <w:numId w:val="4"/>
        </w:numPr>
        <w:spacing w:before="156" w:after="156"/>
        <w:rPr>
          <w:rFonts w:eastAsia="宋体"/>
          <w:sz w:val="28"/>
          <w:szCs w:val="28"/>
        </w:rPr>
      </w:pPr>
      <w:r>
        <w:rPr>
          <w:rFonts w:eastAsia="宋体" w:hint="eastAsia"/>
          <w:sz w:val="28"/>
          <w:szCs w:val="28"/>
        </w:rPr>
        <w:t>Introduction</w:t>
      </w:r>
    </w:p>
    <w:p w14:paraId="0AEEB6E5" w14:textId="77777777" w:rsidR="0063435B" w:rsidRDefault="00267045">
      <w:pPr>
        <w:pStyle w:val="EmailDiscussion2"/>
        <w:spacing w:before="156" w:after="156"/>
        <w:ind w:leftChars="200" w:left="763"/>
      </w:pPr>
      <w:r>
        <w:rPr>
          <w:rFonts w:hint="eastAsia"/>
          <w:lang w:eastAsia="zh-CN"/>
        </w:rPr>
        <w:t>This is summary report of the following offline:</w:t>
      </w:r>
      <w:r>
        <w:rPr>
          <w:rFonts w:hint="eastAsia"/>
        </w:rPr>
        <w:tab/>
      </w:r>
    </w:p>
    <w:p w14:paraId="02EB2CC9" w14:textId="77777777" w:rsidR="0063435B" w:rsidRDefault="00267045">
      <w:pPr>
        <w:pStyle w:val="EmailDiscussion2"/>
        <w:spacing w:before="156" w:after="156"/>
        <w:ind w:leftChars="200" w:left="763"/>
        <w:rPr>
          <w:lang w:val="en-AU"/>
        </w:rPr>
      </w:pPr>
      <w:r>
        <w:rPr>
          <w:rFonts w:hint="eastAsia"/>
          <w:lang w:val="en-AU"/>
        </w:rPr>
        <w:t>[AT131bis][310][R18 NR NTN] Event D2 (</w:t>
      </w:r>
      <w:r>
        <w:rPr>
          <w:rFonts w:eastAsia="宋体" w:hint="eastAsia"/>
          <w:lang w:eastAsia="zh-CN"/>
        </w:rPr>
        <w:t>CS</w:t>
      </w:r>
      <w:r>
        <w:rPr>
          <w:rFonts w:hint="eastAsia"/>
          <w:lang w:val="en-AU"/>
        </w:rPr>
        <w:t>CN)</w:t>
      </w:r>
    </w:p>
    <w:p w14:paraId="1321DA56" w14:textId="77777777" w:rsidR="0063435B" w:rsidRDefault="00267045">
      <w:pPr>
        <w:pStyle w:val="EmailDiscussion2"/>
        <w:spacing w:before="156" w:after="156"/>
        <w:ind w:leftChars="200" w:left="763"/>
      </w:pPr>
      <w:r>
        <w:tab/>
        <w:t xml:space="preserve">Scope: </w:t>
      </w:r>
      <w:r>
        <w:rPr>
          <w:rFonts w:hint="eastAsia"/>
        </w:rPr>
        <w:t>Continue the discussion on correction for Event D2</w:t>
      </w:r>
    </w:p>
    <w:p w14:paraId="14C1DB61" w14:textId="77777777" w:rsidR="0063435B" w:rsidRDefault="00267045">
      <w:pPr>
        <w:pStyle w:val="EmailDiscussion2"/>
        <w:spacing w:before="156" w:after="156"/>
        <w:ind w:leftChars="200" w:left="763"/>
        <w:rPr>
          <w:rFonts w:eastAsia="宋体"/>
          <w:lang w:eastAsia="zh-CN"/>
        </w:rPr>
      </w:pPr>
      <w:r>
        <w:tab/>
        <w:t>Intended outcome:</w:t>
      </w:r>
      <w:r>
        <w:rPr>
          <w:rFonts w:eastAsia="宋体" w:hint="eastAsia"/>
          <w:lang w:eastAsia="zh-CN"/>
        </w:rPr>
        <w:t xml:space="preserve">  summary of the offline discussion and revised CRs (in R2-2507774, 75, 76,77)</w:t>
      </w:r>
    </w:p>
    <w:p w14:paraId="6C09E350" w14:textId="77777777" w:rsidR="0063435B" w:rsidRDefault="00267045">
      <w:pPr>
        <w:pStyle w:val="EmailDiscussion2"/>
        <w:spacing w:before="156" w:after="156"/>
        <w:ind w:leftChars="200" w:left="400" w:firstLineChars="18" w:firstLine="36"/>
      </w:pPr>
      <w:r>
        <w:rPr>
          <w:rFonts w:eastAsia="宋体" w:hint="eastAsia"/>
          <w:lang w:eastAsia="zh-CN"/>
        </w:rPr>
        <w:t xml:space="preserve">Deadline for offline: </w:t>
      </w:r>
      <w:bookmarkStart w:id="2" w:name="OLE_LINK1"/>
      <w:r>
        <w:rPr>
          <w:rFonts w:eastAsia="宋体" w:hint="eastAsia"/>
          <w:lang w:eastAsia="zh-CN"/>
        </w:rPr>
        <w:t>Thursday 2025-10-16 11:00</w:t>
      </w:r>
      <w:bookmarkEnd w:id="2"/>
    </w:p>
    <w:p w14:paraId="5262746A" w14:textId="77777777" w:rsidR="0063435B" w:rsidRDefault="0063435B">
      <w:pPr>
        <w:pBdr>
          <w:bottom w:val="single" w:sz="12" w:space="1" w:color="auto"/>
        </w:pBdr>
        <w:spacing w:before="156" w:after="156"/>
        <w:rPr>
          <w:rFonts w:eastAsia="宋体" w:cs="Times New Roman"/>
          <w:kern w:val="0"/>
          <w:szCs w:val="20"/>
        </w:rPr>
      </w:pPr>
    </w:p>
    <w:p w14:paraId="2618E631" w14:textId="77777777" w:rsidR="0063435B" w:rsidRDefault="00267045">
      <w:pPr>
        <w:pStyle w:val="1"/>
        <w:numPr>
          <w:ilvl w:val="0"/>
          <w:numId w:val="4"/>
        </w:numPr>
        <w:spacing w:before="156" w:after="156"/>
        <w:rPr>
          <w:rFonts w:eastAsia="宋体"/>
          <w:sz w:val="28"/>
          <w:szCs w:val="28"/>
        </w:rPr>
      </w:pPr>
      <w:r>
        <w:rPr>
          <w:rFonts w:eastAsia="宋体" w:hint="eastAsia"/>
          <w:sz w:val="28"/>
          <w:szCs w:val="28"/>
        </w:rPr>
        <w:t>Discussion</w:t>
      </w:r>
    </w:p>
    <w:p w14:paraId="2443BDEB" w14:textId="77777777" w:rsidR="0063435B" w:rsidRDefault="00267045">
      <w:pPr>
        <w:pStyle w:val="1"/>
        <w:numPr>
          <w:ilvl w:val="1"/>
          <w:numId w:val="4"/>
        </w:numPr>
        <w:spacing w:before="156" w:after="156"/>
        <w:rPr>
          <w:rFonts w:eastAsia="宋体"/>
          <w:sz w:val="28"/>
          <w:szCs w:val="28"/>
        </w:rPr>
      </w:pPr>
      <w:r>
        <w:rPr>
          <w:rFonts w:eastAsia="宋体" w:hint="eastAsia"/>
          <w:sz w:val="28"/>
          <w:szCs w:val="28"/>
        </w:rPr>
        <w:t>Online conclusion in Monday session</w:t>
      </w:r>
    </w:p>
    <w:p w14:paraId="55D9AB39" w14:textId="77777777" w:rsidR="0063435B" w:rsidRDefault="00B91DB5">
      <w:pPr>
        <w:pStyle w:val="Doc-title"/>
        <w:spacing w:before="156" w:after="156"/>
      </w:pPr>
      <w:hyperlink r:id="rId8" w:tooltip="C:Data3GPPExtractsR2-2506990 Correction on eventD2 with multiple moving reference locations_CSCN.docx" w:history="1">
        <w:r w:rsidR="00267045">
          <w:rPr>
            <w:rStyle w:val="a7"/>
          </w:rPr>
          <w:t>R2-2506990</w:t>
        </w:r>
      </w:hyperlink>
      <w:r w:rsidR="00267045">
        <w:tab/>
        <w:t>Correction on eventD2 with multiple moving reference locations</w:t>
      </w:r>
      <w:r w:rsidR="00267045">
        <w:tab/>
        <w:t xml:space="preserve">CSCN, ZTE Corporation, </w:t>
      </w:r>
      <w:proofErr w:type="spellStart"/>
      <w:r w:rsidR="00267045">
        <w:t>Sanechips</w:t>
      </w:r>
      <w:proofErr w:type="spellEnd"/>
      <w:r w:rsidR="00267045">
        <w:t xml:space="preserve">, Huawei, </w:t>
      </w:r>
      <w:proofErr w:type="spellStart"/>
      <w:r w:rsidR="00267045">
        <w:t>Hisilicon</w:t>
      </w:r>
      <w:proofErr w:type="spellEnd"/>
      <w:r w:rsidR="00267045">
        <w:t>, Xiaomi, CATT, OPPO</w:t>
      </w:r>
      <w:r w:rsidR="00267045">
        <w:tab/>
        <w:t>discussion</w:t>
      </w:r>
      <w:r w:rsidR="00267045">
        <w:tab/>
        <w:t>Rel-18</w:t>
      </w:r>
      <w:r w:rsidR="00267045">
        <w:tab/>
      </w:r>
      <w:proofErr w:type="spellStart"/>
      <w:r w:rsidR="00267045">
        <w:t>NR_NTN_enh</w:t>
      </w:r>
      <w:proofErr w:type="spellEnd"/>
      <w:r w:rsidR="00267045">
        <w:t>-Core</w:t>
      </w:r>
    </w:p>
    <w:p w14:paraId="1A8A9528" w14:textId="77777777" w:rsidR="0063435B" w:rsidRDefault="00267045">
      <w:pPr>
        <w:pStyle w:val="Comments"/>
        <w:spacing w:before="156" w:after="156"/>
      </w:pPr>
      <w:r>
        <w:t>Proposal 1:</w:t>
      </w:r>
      <w:r>
        <w:tab/>
        <w:t xml:space="preserve">RAN2 can further discuss and down select from the following options to address the case when multiple </w:t>
      </w:r>
      <w:proofErr w:type="spellStart"/>
      <w:r>
        <w:t>neighbor</w:t>
      </w:r>
      <w:proofErr w:type="spellEnd"/>
      <w:r>
        <w:t xml:space="preserve"> cells with moving reference locations fulfil eventD2 and would trigger measurement report:</w:t>
      </w:r>
    </w:p>
    <w:p w14:paraId="5188E524" w14:textId="77777777" w:rsidR="0063435B" w:rsidRDefault="00267045">
      <w:pPr>
        <w:pStyle w:val="Comments"/>
        <w:spacing w:before="156" w:after="156"/>
        <w:ind w:left="720"/>
      </w:pPr>
      <w:r>
        <w:t>−</w:t>
      </w:r>
      <w:r>
        <w:tab/>
        <w:t xml:space="preserve">Option 1: For multiple moving reference locations on the same frequency, the network should configure separate </w:t>
      </w:r>
      <w:proofErr w:type="spellStart"/>
      <w:r>
        <w:t>MeasObjectNR</w:t>
      </w:r>
      <w:proofErr w:type="spellEnd"/>
      <w:r>
        <w:t xml:space="preserve"> for each reference location, where only one MO can perform SSB measurements.</w:t>
      </w:r>
    </w:p>
    <w:p w14:paraId="0BCB661B" w14:textId="77777777" w:rsidR="0063435B" w:rsidRDefault="00267045">
      <w:pPr>
        <w:pStyle w:val="Comments"/>
        <w:spacing w:before="156" w:after="156"/>
        <w:ind w:left="720"/>
      </w:pPr>
      <w:r>
        <w:t>−</w:t>
      </w:r>
      <w:r>
        <w:tab/>
        <w:t xml:space="preserve">Option 2: Similar as the </w:t>
      </w:r>
      <w:proofErr w:type="spellStart"/>
      <w:r>
        <w:t>eventA</w:t>
      </w:r>
      <w:proofErr w:type="spellEnd"/>
      <w:r>
        <w:t xml:space="preserve"> processing mechanism, use a </w:t>
      </w:r>
      <w:proofErr w:type="spellStart"/>
      <w:r>
        <w:t>cellsTriggeredList</w:t>
      </w:r>
      <w:proofErr w:type="spellEnd"/>
      <w:r>
        <w:t xml:space="preserve"> to include cells with moving reference locations that meet the entering/leaving condition for eventD2 during the "Measurement report triggering" and "Measurement reporting" procedures. Add information in </w:t>
      </w:r>
      <w:proofErr w:type="spellStart"/>
      <w:r>
        <w:t>MeasResults</w:t>
      </w:r>
      <w:proofErr w:type="spellEnd"/>
      <w:r>
        <w:t xml:space="preserve"> to indicate which neighbour cell (s) triggered event D2 is FFS.</w:t>
      </w:r>
    </w:p>
    <w:p w14:paraId="1518CCFD" w14:textId="77777777" w:rsidR="0063435B" w:rsidRDefault="00267045">
      <w:pPr>
        <w:pStyle w:val="Comments"/>
        <w:spacing w:before="156" w:after="156"/>
        <w:ind w:left="720"/>
      </w:pPr>
      <w:r>
        <w:t>−</w:t>
      </w:r>
      <w:r>
        <w:tab/>
        <w:t xml:space="preserve">Option 3: Add the moving reference location(s) for eventD2 to the </w:t>
      </w:r>
      <w:proofErr w:type="spellStart"/>
      <w:r>
        <w:t>ReportConfigNR</w:t>
      </w:r>
      <w:proofErr w:type="spellEnd"/>
      <w:r>
        <w:t>.</w:t>
      </w:r>
    </w:p>
    <w:p w14:paraId="737CBBB5" w14:textId="77777777" w:rsidR="0063435B" w:rsidRDefault="0063435B">
      <w:pPr>
        <w:pStyle w:val="Doc-text2"/>
        <w:spacing w:before="156" w:after="156"/>
      </w:pPr>
    </w:p>
    <w:p w14:paraId="1339F8A1" w14:textId="77777777" w:rsidR="0063435B" w:rsidRDefault="00267045">
      <w:pPr>
        <w:pStyle w:val="Doc-text2"/>
        <w:numPr>
          <w:ilvl w:val="0"/>
          <w:numId w:val="5"/>
        </w:numPr>
        <w:spacing w:before="156" w:after="156"/>
      </w:pPr>
      <w:r>
        <w:lastRenderedPageBreak/>
        <w:t>Apple thinks this is a valid issue, and prefers option 2 (if we go for option 3 we need to add more).</w:t>
      </w:r>
    </w:p>
    <w:p w14:paraId="3204054A" w14:textId="77777777" w:rsidR="0063435B" w:rsidRDefault="00267045">
      <w:pPr>
        <w:pStyle w:val="Doc-text2"/>
        <w:numPr>
          <w:ilvl w:val="0"/>
          <w:numId w:val="5"/>
        </w:numPr>
        <w:spacing w:before="156" w:after="156"/>
      </w:pPr>
      <w:r>
        <w:t>Vivo thinks we can leave this to NW implementation to only configure one, alternatively we can go for option 1. QC agrees</w:t>
      </w:r>
    </w:p>
    <w:p w14:paraId="5F4BC8B0" w14:textId="77777777" w:rsidR="0063435B" w:rsidRDefault="00267045">
      <w:pPr>
        <w:pStyle w:val="Doc-text2"/>
        <w:numPr>
          <w:ilvl w:val="0"/>
          <w:numId w:val="5"/>
        </w:numPr>
        <w:spacing w:before="156" w:after="156"/>
      </w:pPr>
      <w:r>
        <w:t xml:space="preserve">QC thinks there could be a problem also for multiple </w:t>
      </w:r>
      <w:proofErr w:type="gramStart"/>
      <w:r>
        <w:t>configuration</w:t>
      </w:r>
      <w:proofErr w:type="gramEnd"/>
      <w:r>
        <w:t xml:space="preserve"> of D1 events, for privacy considerations.</w:t>
      </w:r>
    </w:p>
    <w:p w14:paraId="795EFBD9" w14:textId="77777777" w:rsidR="0063435B" w:rsidRDefault="00267045">
      <w:pPr>
        <w:pStyle w:val="Doc-text2"/>
        <w:numPr>
          <w:ilvl w:val="0"/>
          <w:numId w:val="5"/>
        </w:numPr>
        <w:spacing w:before="156" w:after="156"/>
      </w:pPr>
      <w:r>
        <w:t>Nokia thinks in case we can go for option 1</w:t>
      </w:r>
    </w:p>
    <w:p w14:paraId="4BF0B3F6" w14:textId="77777777" w:rsidR="0063435B" w:rsidRDefault="00267045">
      <w:pPr>
        <w:pStyle w:val="Doc-text2"/>
        <w:numPr>
          <w:ilvl w:val="0"/>
          <w:numId w:val="5"/>
        </w:numPr>
        <w:spacing w:before="156" w:after="156"/>
      </w:pPr>
      <w:r>
        <w:t>Ericsson thinks none of the options are necessary and a NW implementation could address this case</w:t>
      </w:r>
    </w:p>
    <w:p w14:paraId="6C34AF38" w14:textId="77777777" w:rsidR="0063435B" w:rsidRDefault="00267045">
      <w:pPr>
        <w:pStyle w:val="Doc-text2"/>
        <w:numPr>
          <w:ilvl w:val="0"/>
          <w:numId w:val="5"/>
        </w:numPr>
        <w:spacing w:before="156" w:after="156"/>
      </w:pPr>
      <w:r>
        <w:t>CSCN thinks we could rule out option 3 and could accept option 1</w:t>
      </w:r>
    </w:p>
    <w:p w14:paraId="3C32E2CB" w14:textId="77777777" w:rsidR="0063435B" w:rsidRDefault="00267045">
      <w:pPr>
        <w:pStyle w:val="Doc-text2"/>
        <w:numPr>
          <w:ilvl w:val="0"/>
          <w:numId w:val="5"/>
        </w:numPr>
        <w:spacing w:before="156" w:after="156"/>
      </w:pPr>
      <w:r>
        <w:t>Xiaomi prefers option 1.</w:t>
      </w:r>
    </w:p>
    <w:p w14:paraId="07334B82" w14:textId="77777777" w:rsidR="0063435B" w:rsidRDefault="00267045">
      <w:pPr>
        <w:pStyle w:val="1"/>
        <w:numPr>
          <w:ilvl w:val="1"/>
          <w:numId w:val="4"/>
        </w:numPr>
        <w:spacing w:before="156" w:after="156"/>
        <w:rPr>
          <w:rFonts w:eastAsia="宋体"/>
          <w:sz w:val="28"/>
          <w:szCs w:val="28"/>
        </w:rPr>
      </w:pPr>
      <w:r>
        <w:rPr>
          <w:rFonts w:eastAsia="宋体" w:hint="eastAsia"/>
          <w:sz w:val="28"/>
          <w:szCs w:val="28"/>
        </w:rPr>
        <w:t>Proposed way-forward</w:t>
      </w:r>
    </w:p>
    <w:p w14:paraId="55E471D3" w14:textId="77777777" w:rsidR="0063435B" w:rsidRDefault="00267045">
      <w:pPr>
        <w:spacing w:before="156" w:after="156"/>
      </w:pPr>
      <w:r>
        <w:rPr>
          <w:rFonts w:eastAsia="宋体" w:hint="eastAsia"/>
        </w:rPr>
        <w:t xml:space="preserve">When multiple moving reference locations configured in </w:t>
      </w:r>
      <w:proofErr w:type="spellStart"/>
      <w:r>
        <w:rPr>
          <w:rFonts w:cs="Times New Roman"/>
          <w:i/>
          <w:iCs/>
          <w:szCs w:val="20"/>
        </w:rPr>
        <w:t>MeasObjectNR</w:t>
      </w:r>
      <w:proofErr w:type="spellEnd"/>
      <w:r>
        <w:rPr>
          <w:rFonts w:eastAsia="宋体" w:cs="Times New Roman" w:hint="eastAsia"/>
          <w:i/>
          <w:iCs/>
          <w:szCs w:val="20"/>
        </w:rPr>
        <w:t xml:space="preserve">, </w:t>
      </w:r>
      <w:r>
        <w:rPr>
          <w:rFonts w:eastAsia="宋体" w:hint="eastAsia"/>
        </w:rPr>
        <w:t>current procedure cannot support the UE triggering more than one measurement report when the eventD2 is met for multiple neighbor cells with different moving reference locations. Majority confirm this is a valid issue in R18</w:t>
      </w:r>
      <w:r>
        <w:t>.</w:t>
      </w:r>
    </w:p>
    <w:p w14:paraId="37EF7CF3" w14:textId="77777777" w:rsidR="0063435B" w:rsidRDefault="00267045">
      <w:pPr>
        <w:spacing w:before="156" w:after="156"/>
        <w:rPr>
          <w:rFonts w:eastAsia="宋体"/>
        </w:rPr>
      </w:pPr>
      <w:r>
        <w:rPr>
          <w:rFonts w:eastAsia="宋体" w:hint="eastAsia"/>
        </w:rPr>
        <w:t>Three options are introduced in R2-2506990:</w:t>
      </w:r>
    </w:p>
    <w:p w14:paraId="7999532F" w14:textId="77777777" w:rsidR="0063435B" w:rsidRDefault="00267045">
      <w:pPr>
        <w:pStyle w:val="21"/>
        <w:tabs>
          <w:tab w:val="right" w:leader="dot" w:pos="9356"/>
        </w:tabs>
        <w:spacing w:before="156" w:after="156"/>
        <w:ind w:left="800" w:hanging="400"/>
        <w:rPr>
          <w:rFonts w:eastAsia="宋体" w:cstheme="minorBidi"/>
          <w:b w:val="0"/>
          <w:i w:val="0"/>
          <w:szCs w:val="21"/>
        </w:rPr>
      </w:pPr>
      <w:r>
        <w:rPr>
          <w:rFonts w:eastAsia="宋体" w:cstheme="minorBidi" w:hint="eastAsia"/>
          <w:b w:val="0"/>
          <w:i w:val="0"/>
          <w:szCs w:val="21"/>
        </w:rPr>
        <w:t>−</w:t>
      </w:r>
      <w:r>
        <w:rPr>
          <w:rFonts w:eastAsia="宋体" w:cstheme="minorBidi" w:hint="eastAsia"/>
          <w:b w:val="0"/>
          <w:i w:val="0"/>
          <w:szCs w:val="21"/>
        </w:rPr>
        <w:t xml:space="preserve"> Option 1: For multiple moving reference locations on the same frequency, the network should configure separate </w:t>
      </w:r>
      <w:proofErr w:type="spellStart"/>
      <w:r>
        <w:rPr>
          <w:rFonts w:eastAsia="宋体" w:cstheme="minorBidi" w:hint="eastAsia"/>
          <w:b w:val="0"/>
          <w:i w:val="0"/>
          <w:szCs w:val="21"/>
        </w:rPr>
        <w:t>MeasObjectNR</w:t>
      </w:r>
      <w:proofErr w:type="spellEnd"/>
      <w:r>
        <w:rPr>
          <w:rFonts w:eastAsia="宋体" w:cstheme="minorBidi" w:hint="eastAsia"/>
          <w:b w:val="0"/>
          <w:i w:val="0"/>
          <w:szCs w:val="21"/>
        </w:rPr>
        <w:t xml:space="preserve"> for each reference location, where only one MO can perform SSB measurements.</w:t>
      </w:r>
    </w:p>
    <w:p w14:paraId="0A193B46" w14:textId="77777777" w:rsidR="0063435B" w:rsidRDefault="00267045">
      <w:pPr>
        <w:pStyle w:val="21"/>
        <w:tabs>
          <w:tab w:val="right" w:leader="dot" w:pos="9356"/>
        </w:tabs>
        <w:spacing w:before="156" w:after="156"/>
        <w:ind w:left="800" w:hanging="400"/>
        <w:rPr>
          <w:rFonts w:eastAsia="宋体" w:cstheme="minorBidi"/>
          <w:b w:val="0"/>
          <w:i w:val="0"/>
          <w:szCs w:val="21"/>
        </w:rPr>
      </w:pPr>
      <w:r>
        <w:rPr>
          <w:rFonts w:eastAsia="宋体" w:cstheme="minorBidi" w:hint="eastAsia"/>
          <w:b w:val="0"/>
          <w:i w:val="0"/>
          <w:szCs w:val="21"/>
        </w:rPr>
        <w:t>−</w:t>
      </w:r>
      <w:r>
        <w:rPr>
          <w:rFonts w:eastAsia="宋体" w:cstheme="minorBidi" w:hint="eastAsia"/>
          <w:b w:val="0"/>
          <w:i w:val="0"/>
          <w:szCs w:val="21"/>
        </w:rPr>
        <w:t xml:space="preserve"> Option 2:Use a </w:t>
      </w:r>
      <w:proofErr w:type="spellStart"/>
      <w:r>
        <w:rPr>
          <w:rFonts w:eastAsia="宋体" w:cstheme="minorBidi" w:hint="eastAsia"/>
          <w:b w:val="0"/>
          <w:i w:val="0"/>
          <w:szCs w:val="21"/>
        </w:rPr>
        <w:t>cellsTriggeredList</w:t>
      </w:r>
      <w:proofErr w:type="spellEnd"/>
      <w:r>
        <w:rPr>
          <w:rFonts w:eastAsia="宋体" w:cstheme="minorBidi" w:hint="eastAsia"/>
          <w:b w:val="0"/>
          <w:i w:val="0"/>
          <w:szCs w:val="21"/>
        </w:rPr>
        <w:t xml:space="preserve"> to include cells with moving reference locations that meet the entering/leaving condition for eventD2 during the "Measurement report triggering" and "Measurement reporting" procedures. Add information in </w:t>
      </w:r>
      <w:proofErr w:type="spellStart"/>
      <w:r>
        <w:rPr>
          <w:rFonts w:eastAsia="宋体" w:cstheme="minorBidi" w:hint="eastAsia"/>
          <w:b w:val="0"/>
          <w:i w:val="0"/>
          <w:szCs w:val="21"/>
        </w:rPr>
        <w:t>MeasResults</w:t>
      </w:r>
      <w:proofErr w:type="spellEnd"/>
      <w:r>
        <w:rPr>
          <w:rFonts w:eastAsia="宋体" w:cstheme="minorBidi" w:hint="eastAsia"/>
          <w:b w:val="0"/>
          <w:i w:val="0"/>
          <w:szCs w:val="21"/>
        </w:rPr>
        <w:t xml:space="preserve"> to indicate which </w:t>
      </w:r>
      <w:proofErr w:type="spellStart"/>
      <w:r>
        <w:rPr>
          <w:rFonts w:eastAsia="宋体" w:cstheme="minorBidi" w:hint="eastAsia"/>
          <w:b w:val="0"/>
          <w:i w:val="0"/>
          <w:szCs w:val="21"/>
        </w:rPr>
        <w:t>neighbour</w:t>
      </w:r>
      <w:proofErr w:type="spellEnd"/>
      <w:r>
        <w:rPr>
          <w:rFonts w:eastAsia="宋体" w:cstheme="minorBidi" w:hint="eastAsia"/>
          <w:b w:val="0"/>
          <w:i w:val="0"/>
          <w:szCs w:val="21"/>
        </w:rPr>
        <w:t xml:space="preserve"> cell (s) triggered event D2 is FFS.</w:t>
      </w:r>
    </w:p>
    <w:p w14:paraId="05039006" w14:textId="77777777" w:rsidR="0063435B" w:rsidRDefault="00267045">
      <w:pPr>
        <w:pStyle w:val="21"/>
        <w:tabs>
          <w:tab w:val="right" w:leader="dot" w:pos="9356"/>
        </w:tabs>
        <w:spacing w:before="156" w:after="156"/>
        <w:ind w:left="800" w:hanging="400"/>
        <w:rPr>
          <w:rFonts w:eastAsia="宋体" w:cstheme="minorBidi"/>
          <w:b w:val="0"/>
          <w:i w:val="0"/>
          <w:szCs w:val="21"/>
        </w:rPr>
      </w:pPr>
      <w:r>
        <w:rPr>
          <w:rFonts w:eastAsia="宋体" w:cstheme="minorBidi" w:hint="eastAsia"/>
          <w:b w:val="0"/>
          <w:i w:val="0"/>
          <w:szCs w:val="21"/>
        </w:rPr>
        <w:t>−</w:t>
      </w:r>
      <w:r>
        <w:rPr>
          <w:rFonts w:eastAsia="宋体" w:cstheme="minorBidi" w:hint="eastAsia"/>
          <w:b w:val="0"/>
          <w:i w:val="0"/>
          <w:szCs w:val="21"/>
        </w:rPr>
        <w:t xml:space="preserve"> Option 3: Add the moving reference location(s) for eventD2 to the </w:t>
      </w:r>
      <w:proofErr w:type="spellStart"/>
      <w:r>
        <w:rPr>
          <w:rFonts w:eastAsia="宋体" w:cstheme="minorBidi" w:hint="eastAsia"/>
          <w:b w:val="0"/>
          <w:i w:val="0"/>
          <w:szCs w:val="21"/>
        </w:rPr>
        <w:t>ReportConfigNR</w:t>
      </w:r>
      <w:proofErr w:type="spellEnd"/>
      <w:r>
        <w:rPr>
          <w:rFonts w:eastAsia="宋体" w:cstheme="minorBidi" w:hint="eastAsia"/>
          <w:b w:val="0"/>
          <w:i w:val="0"/>
          <w:szCs w:val="21"/>
        </w:rPr>
        <w:t>.</w:t>
      </w:r>
    </w:p>
    <w:p w14:paraId="74B8F45E" w14:textId="77777777" w:rsidR="0063435B" w:rsidRDefault="00267045">
      <w:pPr>
        <w:spacing w:before="156" w:after="156"/>
      </w:pPr>
      <w:r>
        <w:rPr>
          <w:rFonts w:eastAsia="宋体" w:hint="eastAsia"/>
        </w:rPr>
        <w:t xml:space="preserve">According to the online discussion, we give the updates based on each option in </w:t>
      </w:r>
      <w:r>
        <w:rPr>
          <w:rFonts w:eastAsia="宋体" w:hint="eastAsia"/>
          <w:lang w:val="de-DE"/>
        </w:rPr>
        <w:t>R2-25</w:t>
      </w:r>
      <w:r>
        <w:rPr>
          <w:rFonts w:eastAsia="宋体" w:hint="eastAsia"/>
        </w:rPr>
        <w:t xml:space="preserve">07775, </w:t>
      </w:r>
      <w:r>
        <w:rPr>
          <w:rFonts w:eastAsia="宋体" w:hint="eastAsia"/>
          <w:lang w:val="de-DE"/>
        </w:rPr>
        <w:t>R2-25</w:t>
      </w:r>
      <w:r>
        <w:rPr>
          <w:rFonts w:eastAsia="宋体" w:hint="eastAsia"/>
        </w:rPr>
        <w:t xml:space="preserve">07776 and </w:t>
      </w:r>
      <w:r>
        <w:rPr>
          <w:rFonts w:eastAsia="宋体" w:hint="eastAsia"/>
          <w:lang w:val="de-DE"/>
        </w:rPr>
        <w:t>R2-25</w:t>
      </w:r>
      <w:r>
        <w:rPr>
          <w:rFonts w:eastAsia="宋体" w:hint="eastAsia"/>
        </w:rPr>
        <w:t>07777. Please note that in option 3a, it</w:t>
      </w:r>
      <w:r>
        <w:rPr>
          <w:rFonts w:eastAsia="宋体"/>
        </w:rPr>
        <w:t>’</w:t>
      </w:r>
      <w:r>
        <w:rPr>
          <w:rFonts w:eastAsia="宋体" w:hint="eastAsia"/>
        </w:rPr>
        <w:t xml:space="preserve">s a new option with much less impact on the specification based on the compromise of option 2 and option 3. </w:t>
      </w:r>
      <w:r>
        <w:rPr>
          <w:rFonts w:hint="eastAsia"/>
          <w:lang w:val="en-GB"/>
        </w:rPr>
        <w:t>The</w:t>
      </w:r>
      <w:r>
        <w:t xml:space="preserve"> </w:t>
      </w:r>
      <w:r>
        <w:rPr>
          <w:rFonts w:hint="eastAsia"/>
        </w:rPr>
        <w:t xml:space="preserve">options </w:t>
      </w:r>
      <w:r>
        <w:t>are listed in Table.1</w:t>
      </w:r>
      <w:r>
        <w:rPr>
          <w:rFonts w:hint="eastAsia"/>
        </w:rPr>
        <w:t>, w</w:t>
      </w:r>
      <w:r>
        <w:t xml:space="preserve">e need to further </w:t>
      </w:r>
      <w:r>
        <w:rPr>
          <w:rFonts w:hint="eastAsia"/>
        </w:rPr>
        <w:t>down-selection for corrections on eventD2 with multiple moving reference locations.</w:t>
      </w:r>
    </w:p>
    <w:p w14:paraId="7683B135" w14:textId="77777777" w:rsidR="0063435B" w:rsidRDefault="00267045">
      <w:pPr>
        <w:spacing w:before="156" w:after="156"/>
        <w:jc w:val="center"/>
      </w:pPr>
      <w:r>
        <w:rPr>
          <w:rFonts w:hint="eastAsia"/>
        </w:rPr>
        <w:t>Table 1: Options for evnetD2 correction</w:t>
      </w:r>
    </w:p>
    <w:tbl>
      <w:tblPr>
        <w:tblStyle w:val="a9"/>
        <w:tblW w:w="0" w:type="auto"/>
        <w:tblLook w:val="04A0" w:firstRow="1" w:lastRow="0" w:firstColumn="1" w:lastColumn="0" w:noHBand="0" w:noVBand="1"/>
      </w:tblPr>
      <w:tblGrid>
        <w:gridCol w:w="2438"/>
        <w:gridCol w:w="3943"/>
        <w:gridCol w:w="3191"/>
      </w:tblGrid>
      <w:tr w:rsidR="0063435B" w14:paraId="1305BF41" w14:textId="77777777">
        <w:tc>
          <w:tcPr>
            <w:tcW w:w="2438" w:type="dxa"/>
          </w:tcPr>
          <w:p w14:paraId="35323039" w14:textId="77777777" w:rsidR="0063435B" w:rsidRDefault="00267045">
            <w:pPr>
              <w:spacing w:before="156" w:after="156"/>
              <w:rPr>
                <w:rFonts w:eastAsia="宋体"/>
              </w:rPr>
            </w:pPr>
            <w:r>
              <w:rPr>
                <w:rFonts w:eastAsia="宋体" w:hint="eastAsia"/>
              </w:rPr>
              <w:t>Option</w:t>
            </w:r>
          </w:p>
        </w:tc>
        <w:tc>
          <w:tcPr>
            <w:tcW w:w="3943" w:type="dxa"/>
          </w:tcPr>
          <w:p w14:paraId="6170B8D2" w14:textId="77777777" w:rsidR="0063435B" w:rsidRDefault="00267045">
            <w:pPr>
              <w:spacing w:before="156" w:after="156"/>
              <w:rPr>
                <w:rFonts w:eastAsia="宋体"/>
              </w:rPr>
            </w:pPr>
            <w:r>
              <w:rPr>
                <w:rFonts w:eastAsia="宋体" w:hint="eastAsia"/>
              </w:rPr>
              <w:t xml:space="preserve">Description </w:t>
            </w:r>
          </w:p>
        </w:tc>
        <w:tc>
          <w:tcPr>
            <w:tcW w:w="3191" w:type="dxa"/>
          </w:tcPr>
          <w:p w14:paraId="3C6F4062" w14:textId="77777777" w:rsidR="0063435B" w:rsidRDefault="00267045">
            <w:pPr>
              <w:spacing w:before="156" w:after="156"/>
              <w:rPr>
                <w:rFonts w:eastAsia="宋体"/>
              </w:rPr>
            </w:pPr>
            <w:r>
              <w:rPr>
                <w:rFonts w:eastAsia="宋体" w:hint="eastAsia"/>
                <w:u w:val="single"/>
              </w:rPr>
              <w:t>Impact</w:t>
            </w:r>
          </w:p>
        </w:tc>
      </w:tr>
      <w:tr w:rsidR="0063435B" w14:paraId="0BBE6F6E" w14:textId="77777777">
        <w:tc>
          <w:tcPr>
            <w:tcW w:w="2438" w:type="dxa"/>
          </w:tcPr>
          <w:p w14:paraId="5E86D74F" w14:textId="77777777" w:rsidR="0063435B" w:rsidRDefault="00267045">
            <w:pPr>
              <w:spacing w:before="156" w:after="156"/>
              <w:rPr>
                <w:rFonts w:eastAsia="宋体"/>
              </w:rPr>
            </w:pPr>
            <w:r>
              <w:rPr>
                <w:rFonts w:eastAsia="宋体" w:hint="eastAsia"/>
              </w:rPr>
              <w:t xml:space="preserve">Option 1 </w:t>
            </w:r>
          </w:p>
          <w:p w14:paraId="75FEE277" w14:textId="77777777" w:rsidR="0063435B" w:rsidRDefault="00267045">
            <w:pPr>
              <w:spacing w:before="156" w:after="156"/>
              <w:rPr>
                <w:rFonts w:eastAsia="宋体"/>
              </w:rPr>
            </w:pPr>
            <w:r>
              <w:rPr>
                <w:rFonts w:eastAsia="宋体" w:hint="eastAsia"/>
              </w:rPr>
              <w:t>(draft R2-2507775)</w:t>
            </w:r>
          </w:p>
        </w:tc>
        <w:tc>
          <w:tcPr>
            <w:tcW w:w="3943" w:type="dxa"/>
          </w:tcPr>
          <w:p w14:paraId="4E42D73B" w14:textId="77777777" w:rsidR="0063435B" w:rsidRDefault="00267045">
            <w:pPr>
              <w:spacing w:before="156" w:after="156"/>
              <w:rPr>
                <w:lang w:eastAsia="en-US"/>
              </w:rPr>
            </w:pPr>
            <w:r>
              <w:rPr>
                <w:rFonts w:eastAsia="宋体" w:hint="eastAsia"/>
              </w:rPr>
              <w:t>1.</w:t>
            </w:r>
            <w:r>
              <w:rPr>
                <w:lang w:eastAsia="en-US"/>
              </w:rPr>
              <w:t xml:space="preserve">In clause 5.5.2.1, clarify eventD2 that each </w:t>
            </w:r>
            <w:proofErr w:type="spellStart"/>
            <w:r>
              <w:rPr>
                <w:lang w:eastAsia="en-US"/>
              </w:rPr>
              <w:t>MeasObjectNR</w:t>
            </w:r>
            <w:proofErr w:type="spellEnd"/>
            <w:r>
              <w:rPr>
                <w:lang w:eastAsia="en-US"/>
              </w:rPr>
              <w:t xml:space="preserve"> associated with CellsToAddModListExt-v1800 can only configure one moving reference location. When multiple moving reference locations </w:t>
            </w:r>
            <w:r>
              <w:rPr>
                <w:lang w:eastAsia="en-US"/>
              </w:rPr>
              <w:lastRenderedPageBreak/>
              <w:t xml:space="preserve">need to be configured on the same frequency, the network needs to configure </w:t>
            </w:r>
            <w:proofErr w:type="spellStart"/>
            <w:r>
              <w:rPr>
                <w:lang w:eastAsia="en-US"/>
              </w:rPr>
              <w:t>MeasObjectNR</w:t>
            </w:r>
            <w:proofErr w:type="spellEnd"/>
            <w:r>
              <w:rPr>
                <w:lang w:eastAsia="en-US"/>
              </w:rPr>
              <w:t xml:space="preserve"> separately for each reference location. Each </w:t>
            </w:r>
            <w:proofErr w:type="spellStart"/>
            <w:r>
              <w:rPr>
                <w:lang w:eastAsia="en-US"/>
              </w:rPr>
              <w:t>MeasObjectNR</w:t>
            </w:r>
            <w:proofErr w:type="spellEnd"/>
            <w:r>
              <w:rPr>
                <w:lang w:eastAsia="en-US"/>
              </w:rPr>
              <w:t xml:space="preserve"> configuration includes one moving reference location associated with eventD2.</w:t>
            </w:r>
          </w:p>
        </w:tc>
        <w:tc>
          <w:tcPr>
            <w:tcW w:w="3191" w:type="dxa"/>
          </w:tcPr>
          <w:p w14:paraId="7547D0C4" w14:textId="77777777" w:rsidR="0063435B" w:rsidRDefault="00267045">
            <w:pPr>
              <w:spacing w:before="156" w:after="156"/>
              <w:rPr>
                <w:lang w:eastAsia="en-US"/>
              </w:rPr>
            </w:pPr>
            <w:r>
              <w:rPr>
                <w:lang w:eastAsia="en-US"/>
              </w:rPr>
              <w:lastRenderedPageBreak/>
              <w:t xml:space="preserve">1.if the network supports the change and the UE does not, UE is able to report measurement results of more than one neighboring cells that fulfil </w:t>
            </w:r>
            <w:r>
              <w:rPr>
                <w:lang w:eastAsia="en-US"/>
              </w:rPr>
              <w:lastRenderedPageBreak/>
              <w:t>eventD2 entering/leaving condition.</w:t>
            </w:r>
          </w:p>
          <w:p w14:paraId="5F20E357" w14:textId="77777777" w:rsidR="0063435B" w:rsidRDefault="00267045">
            <w:pPr>
              <w:spacing w:before="156" w:after="156"/>
              <w:rPr>
                <w:lang w:eastAsia="en-US"/>
              </w:rPr>
            </w:pPr>
            <w:r>
              <w:rPr>
                <w:lang w:eastAsia="en-US"/>
              </w:rPr>
              <w:t xml:space="preserve">2.if the UE supports the change and the network does not, network would configure more than one moving reference locations per MO and expect measurement report of at most one cell that </w:t>
            </w:r>
            <w:r>
              <w:rPr>
                <w:rFonts w:eastAsia="宋体" w:hint="eastAsia"/>
              </w:rPr>
              <w:t>fulfills</w:t>
            </w:r>
            <w:r>
              <w:rPr>
                <w:lang w:eastAsia="en-US"/>
              </w:rPr>
              <w:t xml:space="preserve"> eventD2 entering/leaving condition.</w:t>
            </w:r>
          </w:p>
        </w:tc>
      </w:tr>
      <w:tr w:rsidR="0063435B" w14:paraId="229BE93A" w14:textId="77777777">
        <w:tc>
          <w:tcPr>
            <w:tcW w:w="2438" w:type="dxa"/>
          </w:tcPr>
          <w:p w14:paraId="23C574E0" w14:textId="77777777" w:rsidR="0063435B" w:rsidRDefault="00267045">
            <w:pPr>
              <w:spacing w:before="156" w:after="156"/>
              <w:rPr>
                <w:rFonts w:eastAsia="宋体"/>
              </w:rPr>
            </w:pPr>
            <w:r>
              <w:rPr>
                <w:rFonts w:eastAsia="宋体" w:hint="eastAsia"/>
              </w:rPr>
              <w:lastRenderedPageBreak/>
              <w:t xml:space="preserve">Option 2 </w:t>
            </w:r>
          </w:p>
          <w:p w14:paraId="69218BC4" w14:textId="77777777" w:rsidR="0063435B" w:rsidRDefault="00267045">
            <w:pPr>
              <w:spacing w:before="156" w:after="156"/>
              <w:rPr>
                <w:rFonts w:eastAsia="宋体"/>
              </w:rPr>
            </w:pPr>
            <w:r>
              <w:rPr>
                <w:rFonts w:eastAsia="宋体" w:hint="eastAsia"/>
              </w:rPr>
              <w:t>(draft R2-2507776)</w:t>
            </w:r>
          </w:p>
        </w:tc>
        <w:tc>
          <w:tcPr>
            <w:tcW w:w="3943" w:type="dxa"/>
          </w:tcPr>
          <w:p w14:paraId="46FBC89A" w14:textId="77777777" w:rsidR="0063435B" w:rsidRDefault="00267045">
            <w:pPr>
              <w:spacing w:before="156" w:after="156"/>
              <w:rPr>
                <w:lang w:eastAsia="en-US"/>
              </w:rPr>
            </w:pPr>
            <w:r>
              <w:rPr>
                <w:lang w:eastAsia="en-US"/>
              </w:rPr>
              <w:t xml:space="preserve">1.In clause 5.5.4.1, modify the eventD2 measurement procedure with a </w:t>
            </w:r>
            <w:proofErr w:type="spellStart"/>
            <w:r>
              <w:rPr>
                <w:lang w:eastAsia="en-US"/>
              </w:rPr>
              <w:t>cellsTriggeredList</w:t>
            </w:r>
            <w:proofErr w:type="spellEnd"/>
            <w:r>
              <w:rPr>
                <w:lang w:eastAsia="en-US"/>
              </w:rPr>
              <w:t xml:space="preserve"> to track the state changes of moving reference locations that meet the entering/leaving condition during the "Measurement report triggering" and "Measurement reporting" procedures</w:t>
            </w:r>
          </w:p>
          <w:p w14:paraId="444B9316" w14:textId="77777777" w:rsidR="0063435B" w:rsidRDefault="00267045">
            <w:pPr>
              <w:spacing w:before="156" w:after="156"/>
              <w:rPr>
                <w:lang w:eastAsia="en-US"/>
              </w:rPr>
            </w:pPr>
            <w:r>
              <w:rPr>
                <w:lang w:eastAsia="en-US"/>
              </w:rPr>
              <w:t xml:space="preserve">2.In clause 5.5.5.1, add a note "It is up to UE implementation how to choose the best </w:t>
            </w:r>
            <w:proofErr w:type="spellStart"/>
            <w:r>
              <w:rPr>
                <w:lang w:eastAsia="en-US"/>
              </w:rPr>
              <w:t>neighbouring</w:t>
            </w:r>
            <w:proofErr w:type="spellEnd"/>
            <w:r>
              <w:rPr>
                <w:lang w:eastAsia="en-US"/>
              </w:rPr>
              <w:t xml:space="preserve"> cells for eventD2."</w:t>
            </w:r>
          </w:p>
        </w:tc>
        <w:tc>
          <w:tcPr>
            <w:tcW w:w="3191" w:type="dxa"/>
          </w:tcPr>
          <w:p w14:paraId="22569659" w14:textId="77777777" w:rsidR="0063435B" w:rsidRDefault="00267045">
            <w:pPr>
              <w:spacing w:before="156" w:after="156"/>
              <w:rPr>
                <w:lang w:eastAsia="en-US"/>
              </w:rPr>
            </w:pPr>
            <w:r>
              <w:rPr>
                <w:lang w:eastAsia="en-US"/>
              </w:rPr>
              <w:t>1.if the network supports the change and the UE does not, UE is unable to report measurement results of more than one neighboring cell that fulfil eventD2 entering/leaving condition.</w:t>
            </w:r>
          </w:p>
          <w:p w14:paraId="6ED2A8A0" w14:textId="77777777" w:rsidR="0063435B" w:rsidRDefault="00267045">
            <w:pPr>
              <w:spacing w:before="156" w:after="156"/>
              <w:rPr>
                <w:lang w:eastAsia="en-US"/>
              </w:rPr>
            </w:pPr>
            <w:r>
              <w:rPr>
                <w:lang w:eastAsia="en-US"/>
              </w:rPr>
              <w:t xml:space="preserve">2.if the UE supports the change and the network does not, UE can report measurement results of more than one neighboring cell fulfil eventD2. </w:t>
            </w:r>
          </w:p>
        </w:tc>
      </w:tr>
      <w:tr w:rsidR="0063435B" w14:paraId="55A8C46E" w14:textId="77777777">
        <w:tc>
          <w:tcPr>
            <w:tcW w:w="2438" w:type="dxa"/>
          </w:tcPr>
          <w:p w14:paraId="524F2D83" w14:textId="77777777" w:rsidR="0063435B" w:rsidRDefault="00267045">
            <w:pPr>
              <w:spacing w:before="156" w:after="156"/>
            </w:pPr>
            <w:r>
              <w:rPr>
                <w:rFonts w:hint="eastAsia"/>
              </w:rPr>
              <w:t xml:space="preserve">Option 3a </w:t>
            </w:r>
          </w:p>
          <w:p w14:paraId="4291D374" w14:textId="77777777" w:rsidR="0063435B" w:rsidRDefault="00267045">
            <w:pPr>
              <w:spacing w:before="156" w:after="156"/>
            </w:pPr>
            <w:r>
              <w:rPr>
                <w:rFonts w:hint="eastAsia"/>
              </w:rPr>
              <w:t>(draft R2-2507777)</w:t>
            </w:r>
          </w:p>
        </w:tc>
        <w:tc>
          <w:tcPr>
            <w:tcW w:w="3943" w:type="dxa"/>
          </w:tcPr>
          <w:p w14:paraId="6F69F350" w14:textId="77777777" w:rsidR="0063435B" w:rsidRDefault="00267045">
            <w:pPr>
              <w:spacing w:before="156" w:after="156"/>
            </w:pPr>
            <w:r>
              <w:rPr>
                <w:lang w:eastAsia="en-US"/>
              </w:rPr>
              <w:t xml:space="preserve">1. </w:t>
            </w:r>
            <w:r>
              <w:rPr>
                <w:rFonts w:hint="eastAsia"/>
              </w:rPr>
              <w:t xml:space="preserve">In clause 5.5.4.15a, add a clarification that if eventD2PhysCellId is configured in </w:t>
            </w:r>
            <w:proofErr w:type="spellStart"/>
            <w:r>
              <w:rPr>
                <w:rFonts w:hint="eastAsia"/>
              </w:rPr>
              <w:t>reportConfigNR</w:t>
            </w:r>
            <w:proofErr w:type="spellEnd"/>
            <w:r>
              <w:rPr>
                <w:rFonts w:hint="eastAsia"/>
              </w:rPr>
              <w:t xml:space="preserve">, only the </w:t>
            </w:r>
            <w:proofErr w:type="spellStart"/>
            <w:r>
              <w:rPr>
                <w:rFonts w:hint="eastAsia"/>
              </w:rPr>
              <w:t>movingReferenceLocation</w:t>
            </w:r>
            <w:proofErr w:type="spellEnd"/>
            <w:r>
              <w:rPr>
                <w:rFonts w:hint="eastAsia"/>
              </w:rPr>
              <w:t xml:space="preserve"> associated with this eventD2PhysCellId is used.</w:t>
            </w:r>
          </w:p>
          <w:p w14:paraId="4EA82CA9" w14:textId="77777777" w:rsidR="0063435B" w:rsidRDefault="00267045">
            <w:pPr>
              <w:spacing w:before="156" w:after="156"/>
              <w:rPr>
                <w:lang w:eastAsia="en-US"/>
              </w:rPr>
            </w:pPr>
            <w:r>
              <w:rPr>
                <w:rFonts w:hint="eastAsia"/>
              </w:rPr>
              <w:t xml:space="preserve">2. In clause 6.3.2, add the eventD2PhysCellId-r18 with conditional presence in </w:t>
            </w:r>
            <w:proofErr w:type="spellStart"/>
            <w:r>
              <w:rPr>
                <w:rFonts w:hint="eastAsia"/>
              </w:rPr>
              <w:t>ReportConfigNR</w:t>
            </w:r>
            <w:proofErr w:type="spellEnd"/>
            <w:r>
              <w:rPr>
                <w:rFonts w:hint="eastAsia"/>
              </w:rPr>
              <w:t xml:space="preserve">. </w:t>
            </w:r>
          </w:p>
          <w:p w14:paraId="24C63F1D" w14:textId="77777777" w:rsidR="0063435B" w:rsidRDefault="0063435B">
            <w:pPr>
              <w:spacing w:before="156" w:after="156"/>
              <w:rPr>
                <w:lang w:eastAsia="en-US"/>
              </w:rPr>
            </w:pPr>
          </w:p>
          <w:p w14:paraId="64700EB4" w14:textId="77777777" w:rsidR="0063435B" w:rsidRDefault="0063435B">
            <w:pPr>
              <w:spacing w:before="156" w:after="156"/>
              <w:rPr>
                <w:lang w:eastAsia="en-US"/>
              </w:rPr>
            </w:pPr>
          </w:p>
        </w:tc>
        <w:tc>
          <w:tcPr>
            <w:tcW w:w="3191" w:type="dxa"/>
          </w:tcPr>
          <w:p w14:paraId="39F1010F" w14:textId="77777777" w:rsidR="0063435B" w:rsidRDefault="00267045">
            <w:pPr>
              <w:spacing w:before="156" w:after="156"/>
              <w:rPr>
                <w:lang w:eastAsia="en-US"/>
              </w:rPr>
            </w:pPr>
            <w:r>
              <w:rPr>
                <w:lang w:eastAsia="en-US"/>
              </w:rPr>
              <w:t>1.if the network supports the change and the UE does not, UE is unable to report measurement results of more than one neighboring cell that fulfil eventD2 entering/leaving condition.</w:t>
            </w:r>
          </w:p>
          <w:p w14:paraId="6DC264FA" w14:textId="77777777" w:rsidR="0063435B" w:rsidRDefault="00267045">
            <w:pPr>
              <w:spacing w:before="156" w:after="156"/>
              <w:rPr>
                <w:lang w:eastAsia="en-US"/>
              </w:rPr>
            </w:pPr>
            <w:r>
              <w:rPr>
                <w:lang w:eastAsia="en-US"/>
              </w:rPr>
              <w:t>2.if the UE supports the change and the network does not, UE is unable to report measurement results of more than one neighboring cell that fulfil eventD2 entering/leaving condition.</w:t>
            </w:r>
          </w:p>
        </w:tc>
      </w:tr>
    </w:tbl>
    <w:p w14:paraId="4684824F" w14:textId="77777777" w:rsidR="0063435B" w:rsidRDefault="00267045">
      <w:pPr>
        <w:spacing w:before="156" w:after="156"/>
        <w:rPr>
          <w:b/>
        </w:rPr>
      </w:pPr>
      <w:r>
        <w:rPr>
          <w:b/>
          <w:bCs/>
        </w:rPr>
        <w:t xml:space="preserve">Question 1: Companies are asked to provide comments on which </w:t>
      </w:r>
      <w:r>
        <w:rPr>
          <w:rFonts w:eastAsia="宋体" w:hint="eastAsia"/>
          <w:b/>
          <w:bCs/>
        </w:rPr>
        <w:t>option(s) they support i</w:t>
      </w:r>
      <w:r>
        <w:rPr>
          <w:b/>
          <w:bCs/>
        </w:rPr>
        <w:t>n Rel-19.</w:t>
      </w:r>
    </w:p>
    <w:tbl>
      <w:tblPr>
        <w:tblStyle w:val="41"/>
        <w:tblW w:w="0" w:type="auto"/>
        <w:tblLook w:val="04A0" w:firstRow="1" w:lastRow="0" w:firstColumn="1" w:lastColumn="0" w:noHBand="0" w:noVBand="1"/>
      </w:tblPr>
      <w:tblGrid>
        <w:gridCol w:w="1830"/>
        <w:gridCol w:w="2400"/>
        <w:gridCol w:w="5342"/>
      </w:tblGrid>
      <w:tr w:rsidR="0063435B" w14:paraId="47462929" w14:textId="77777777" w:rsidTr="004E4A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0" w:type="dxa"/>
          </w:tcPr>
          <w:p w14:paraId="6487DC13" w14:textId="77777777" w:rsidR="0063435B" w:rsidRDefault="00267045">
            <w:pPr>
              <w:spacing w:before="156" w:after="156"/>
              <w:rPr>
                <w:b w:val="0"/>
                <w:bCs w:val="0"/>
              </w:rPr>
            </w:pPr>
            <w:r>
              <w:t>Company</w:t>
            </w:r>
          </w:p>
        </w:tc>
        <w:tc>
          <w:tcPr>
            <w:tcW w:w="2400" w:type="dxa"/>
          </w:tcPr>
          <w:p w14:paraId="4B12BAC4" w14:textId="77777777" w:rsidR="0063435B" w:rsidRDefault="00267045">
            <w:pPr>
              <w:spacing w:before="156" w:after="156"/>
              <w:cnfStyle w:val="100000000000" w:firstRow="1" w:lastRow="0" w:firstColumn="0" w:lastColumn="0" w:oddVBand="0" w:evenVBand="0" w:oddHBand="0" w:evenHBand="0" w:firstRowFirstColumn="0" w:firstRowLastColumn="0" w:lastRowFirstColumn="0" w:lastRowLastColumn="0"/>
              <w:rPr>
                <w:rFonts w:eastAsia="宋体"/>
                <w:b w:val="0"/>
                <w:bCs w:val="0"/>
              </w:rPr>
            </w:pPr>
            <w:r>
              <w:t xml:space="preserve">Preferred </w:t>
            </w:r>
            <w:r>
              <w:rPr>
                <w:rFonts w:eastAsia="宋体" w:hint="eastAsia"/>
              </w:rPr>
              <w:t>option(s)</w:t>
            </w:r>
          </w:p>
        </w:tc>
        <w:tc>
          <w:tcPr>
            <w:tcW w:w="5342" w:type="dxa"/>
          </w:tcPr>
          <w:p w14:paraId="2893C054" w14:textId="77777777" w:rsidR="0063435B" w:rsidRDefault="00267045">
            <w:pPr>
              <w:spacing w:before="156" w:after="156"/>
              <w:cnfStyle w:val="100000000000" w:firstRow="1" w:lastRow="0" w:firstColumn="0" w:lastColumn="0" w:oddVBand="0" w:evenVBand="0" w:oddHBand="0" w:evenHBand="0" w:firstRowFirstColumn="0" w:firstRowLastColumn="0" w:lastRowFirstColumn="0" w:lastRowLastColumn="0"/>
              <w:rPr>
                <w:b w:val="0"/>
                <w:bCs w:val="0"/>
              </w:rPr>
            </w:pPr>
            <w:r>
              <w:t>Comments</w:t>
            </w:r>
          </w:p>
        </w:tc>
      </w:tr>
      <w:tr w:rsidR="0063435B" w14:paraId="52A5A291" w14:textId="77777777" w:rsidTr="004E4AD0">
        <w:tc>
          <w:tcPr>
            <w:cnfStyle w:val="001000000000" w:firstRow="0" w:lastRow="0" w:firstColumn="1" w:lastColumn="0" w:oddVBand="0" w:evenVBand="0" w:oddHBand="0" w:evenHBand="0" w:firstRowFirstColumn="0" w:firstRowLastColumn="0" w:lastRowFirstColumn="0" w:lastRowLastColumn="0"/>
            <w:tcW w:w="1830" w:type="dxa"/>
            <w:shd w:val="clear" w:color="auto" w:fill="CCCCCC" w:themeFill="text1" w:themeFillTint="33"/>
          </w:tcPr>
          <w:p w14:paraId="69A5F125" w14:textId="77777777" w:rsidR="0063435B" w:rsidRDefault="00267045">
            <w:pPr>
              <w:spacing w:before="156" w:after="156"/>
              <w:rPr>
                <w:rFonts w:eastAsia="宋体"/>
                <w:b w:val="0"/>
                <w:bCs w:val="0"/>
              </w:rPr>
            </w:pPr>
            <w:r>
              <w:rPr>
                <w:rFonts w:eastAsia="宋体" w:hint="eastAsia"/>
              </w:rPr>
              <w:t>xxx</w:t>
            </w:r>
          </w:p>
        </w:tc>
        <w:tc>
          <w:tcPr>
            <w:tcW w:w="2400" w:type="dxa"/>
            <w:shd w:val="clear" w:color="auto" w:fill="CCCCCC" w:themeFill="text1" w:themeFillTint="33"/>
          </w:tcPr>
          <w:p w14:paraId="1E20FDD2" w14:textId="77777777" w:rsidR="0063435B" w:rsidRDefault="00267045">
            <w:pPr>
              <w:spacing w:before="156" w:after="156"/>
              <w:cnfStyle w:val="000000000000" w:firstRow="0" w:lastRow="0" w:firstColumn="0" w:lastColumn="0" w:oddVBand="0" w:evenVBand="0" w:oddHBand="0" w:evenHBand="0" w:firstRowFirstColumn="0" w:firstRowLastColumn="0" w:lastRowFirstColumn="0" w:lastRowLastColumn="0"/>
              <w:rPr>
                <w:rFonts w:eastAsia="宋体"/>
              </w:rPr>
            </w:pPr>
            <w:r>
              <w:rPr>
                <w:rFonts w:eastAsia="宋体" w:hint="eastAsia"/>
              </w:rPr>
              <w:t>option 1, option 2,option 2</w:t>
            </w:r>
          </w:p>
        </w:tc>
        <w:tc>
          <w:tcPr>
            <w:tcW w:w="5342" w:type="dxa"/>
            <w:shd w:val="clear" w:color="auto" w:fill="CCCCCC" w:themeFill="text1" w:themeFillTint="33"/>
          </w:tcPr>
          <w:p w14:paraId="72B631E9" w14:textId="77777777" w:rsidR="0063435B" w:rsidRDefault="0063435B">
            <w:pPr>
              <w:spacing w:before="156" w:after="156"/>
              <w:cnfStyle w:val="000000000000" w:firstRow="0" w:lastRow="0" w:firstColumn="0" w:lastColumn="0" w:oddVBand="0" w:evenVBand="0" w:oddHBand="0" w:evenHBand="0" w:firstRowFirstColumn="0" w:firstRowLastColumn="0" w:lastRowFirstColumn="0" w:lastRowLastColumn="0"/>
              <w:rPr>
                <w:rFonts w:eastAsia="宋体"/>
              </w:rPr>
            </w:pPr>
          </w:p>
        </w:tc>
      </w:tr>
      <w:tr w:rsidR="0063435B" w14:paraId="2F151944" w14:textId="77777777" w:rsidTr="004E4AD0">
        <w:tc>
          <w:tcPr>
            <w:cnfStyle w:val="001000000000" w:firstRow="0" w:lastRow="0" w:firstColumn="1" w:lastColumn="0" w:oddVBand="0" w:evenVBand="0" w:oddHBand="0" w:evenHBand="0" w:firstRowFirstColumn="0" w:firstRowLastColumn="0" w:lastRowFirstColumn="0" w:lastRowLastColumn="0"/>
            <w:tcW w:w="1830" w:type="dxa"/>
          </w:tcPr>
          <w:p w14:paraId="375A764F" w14:textId="77777777" w:rsidR="0063435B" w:rsidRDefault="00267045">
            <w:pPr>
              <w:spacing w:before="156" w:after="156"/>
              <w:rPr>
                <w:rFonts w:eastAsia="宋体"/>
                <w:b w:val="0"/>
                <w:bCs w:val="0"/>
              </w:rPr>
            </w:pPr>
            <w:r>
              <w:rPr>
                <w:rFonts w:eastAsia="宋体" w:hint="eastAsia"/>
              </w:rPr>
              <w:t>ZTE</w:t>
            </w:r>
          </w:p>
        </w:tc>
        <w:tc>
          <w:tcPr>
            <w:tcW w:w="2400" w:type="dxa"/>
          </w:tcPr>
          <w:p w14:paraId="2479822D" w14:textId="77777777" w:rsidR="0063435B" w:rsidRDefault="00267045">
            <w:pPr>
              <w:spacing w:before="156" w:after="156"/>
              <w:cnfStyle w:val="000000000000" w:firstRow="0" w:lastRow="0" w:firstColumn="0" w:lastColumn="0" w:oddVBand="0" w:evenVBand="0" w:oddHBand="0" w:evenHBand="0" w:firstRowFirstColumn="0" w:firstRowLastColumn="0" w:lastRowFirstColumn="0" w:lastRowLastColumn="0"/>
              <w:rPr>
                <w:rFonts w:eastAsia="宋体"/>
              </w:rPr>
            </w:pPr>
            <w:r>
              <w:rPr>
                <w:rFonts w:eastAsia="宋体" w:hint="eastAsia"/>
              </w:rPr>
              <w:t>Opt2 or Opt3</w:t>
            </w:r>
          </w:p>
        </w:tc>
        <w:tc>
          <w:tcPr>
            <w:tcW w:w="5342" w:type="dxa"/>
          </w:tcPr>
          <w:p w14:paraId="6483CB24" w14:textId="77777777" w:rsidR="0063435B" w:rsidRDefault="00267045">
            <w:pPr>
              <w:spacing w:before="156" w:after="156"/>
              <w:cnfStyle w:val="000000000000" w:firstRow="0" w:lastRow="0" w:firstColumn="0" w:lastColumn="0" w:oddVBand="0" w:evenVBand="0" w:oddHBand="0" w:evenHBand="0" w:firstRowFirstColumn="0" w:firstRowLastColumn="0" w:lastRowFirstColumn="0" w:lastRowLastColumn="0"/>
              <w:rPr>
                <w:rFonts w:eastAsia="宋体"/>
              </w:rPr>
            </w:pPr>
            <w:r>
              <w:rPr>
                <w:rFonts w:eastAsia="宋体" w:hint="eastAsia"/>
              </w:rPr>
              <w:t>From our understanding, all options can work. But to respect the only one MO per frequency principle, opt2 or opt3 is more preferred.</w:t>
            </w:r>
          </w:p>
        </w:tc>
      </w:tr>
      <w:tr w:rsidR="0063435B" w14:paraId="30D43A3D" w14:textId="77777777" w:rsidTr="004E4AD0">
        <w:tc>
          <w:tcPr>
            <w:cnfStyle w:val="001000000000" w:firstRow="0" w:lastRow="0" w:firstColumn="1" w:lastColumn="0" w:oddVBand="0" w:evenVBand="0" w:oddHBand="0" w:evenHBand="0" w:firstRowFirstColumn="0" w:firstRowLastColumn="0" w:lastRowFirstColumn="0" w:lastRowLastColumn="0"/>
            <w:tcW w:w="1830" w:type="dxa"/>
            <w:shd w:val="clear" w:color="auto" w:fill="CCCCCC" w:themeFill="text1" w:themeFillTint="33"/>
          </w:tcPr>
          <w:p w14:paraId="577722D6" w14:textId="77777777" w:rsidR="0063435B" w:rsidRDefault="00267045">
            <w:pPr>
              <w:spacing w:before="156" w:after="156"/>
              <w:rPr>
                <w:b w:val="0"/>
                <w:bCs w:val="0"/>
                <w:lang w:val="fr-FR"/>
              </w:rPr>
            </w:pPr>
            <w:r>
              <w:rPr>
                <w:lang w:val="fr-FR"/>
              </w:rPr>
              <w:lastRenderedPageBreak/>
              <w:t>Thales</w:t>
            </w:r>
          </w:p>
        </w:tc>
        <w:tc>
          <w:tcPr>
            <w:tcW w:w="2400" w:type="dxa"/>
            <w:shd w:val="clear" w:color="auto" w:fill="CCCCCC" w:themeFill="text1" w:themeFillTint="33"/>
          </w:tcPr>
          <w:p w14:paraId="1080637B" w14:textId="77777777" w:rsidR="0063435B" w:rsidRDefault="00267045">
            <w:pPr>
              <w:spacing w:before="156" w:after="156"/>
              <w:cnfStyle w:val="000000000000" w:firstRow="0" w:lastRow="0" w:firstColumn="0" w:lastColumn="0" w:oddVBand="0" w:evenVBand="0" w:oddHBand="0" w:evenHBand="0" w:firstRowFirstColumn="0" w:firstRowLastColumn="0" w:lastRowFirstColumn="0" w:lastRowLastColumn="0"/>
              <w:rPr>
                <w:lang w:val="fr-FR"/>
              </w:rPr>
            </w:pPr>
            <w:r>
              <w:rPr>
                <w:lang w:val="fr-FR"/>
              </w:rPr>
              <w:t>Opt1 (alternatively Opt2 if concern about the principle of 1 MO per SSB measurements)</w:t>
            </w:r>
          </w:p>
        </w:tc>
        <w:tc>
          <w:tcPr>
            <w:tcW w:w="5342" w:type="dxa"/>
            <w:shd w:val="clear" w:color="auto" w:fill="CCCCCC" w:themeFill="text1" w:themeFillTint="33"/>
          </w:tcPr>
          <w:p w14:paraId="28752334" w14:textId="77777777" w:rsidR="0063435B" w:rsidRDefault="00267045">
            <w:pPr>
              <w:spacing w:before="156" w:after="156"/>
              <w:cnfStyle w:val="000000000000" w:firstRow="0" w:lastRow="0" w:firstColumn="0" w:lastColumn="0" w:oddVBand="0" w:evenVBand="0" w:oddHBand="0" w:evenHBand="0" w:firstRowFirstColumn="0" w:firstRowLastColumn="0" w:lastRowFirstColumn="0" w:lastRowLastColumn="0"/>
              <w:rPr>
                <w:lang w:val="fr-FR"/>
              </w:rPr>
            </w:pPr>
            <w:r>
              <w:rPr>
                <w:lang w:val="fr-FR"/>
              </w:rPr>
              <w:t>We confirm that is a valid concern, but maybe we can solve this by NW configuration. We have a slight preference to option 1 but we understand that to not break the only one MO per frequency principle for SSB measurement, we can go for option 2.</w:t>
            </w:r>
          </w:p>
        </w:tc>
      </w:tr>
      <w:tr w:rsidR="0063435B" w14:paraId="38A36180" w14:textId="77777777" w:rsidTr="004E4AD0">
        <w:tc>
          <w:tcPr>
            <w:cnfStyle w:val="001000000000" w:firstRow="0" w:lastRow="0" w:firstColumn="1" w:lastColumn="0" w:oddVBand="0" w:evenVBand="0" w:oddHBand="0" w:evenHBand="0" w:firstRowFirstColumn="0" w:firstRowLastColumn="0" w:lastRowFirstColumn="0" w:lastRowLastColumn="0"/>
            <w:tcW w:w="1830" w:type="dxa"/>
          </w:tcPr>
          <w:p w14:paraId="58CB006A" w14:textId="6459AF42" w:rsidR="0063435B" w:rsidRDefault="006E7FAA">
            <w:pPr>
              <w:spacing w:before="156" w:after="156"/>
              <w:rPr>
                <w:b w:val="0"/>
                <w:bCs w:val="0"/>
              </w:rPr>
            </w:pPr>
            <w:r w:rsidRPr="006E7FAA">
              <w:rPr>
                <w:rFonts w:eastAsia="宋体" w:hint="eastAsia"/>
              </w:rPr>
              <w:t>Xiaomi</w:t>
            </w:r>
          </w:p>
        </w:tc>
        <w:tc>
          <w:tcPr>
            <w:tcW w:w="2400" w:type="dxa"/>
          </w:tcPr>
          <w:p w14:paraId="7EDBBC91" w14:textId="4C66BEEF" w:rsidR="0063435B" w:rsidRDefault="006E7FAA">
            <w:pPr>
              <w:spacing w:before="156" w:after="156"/>
              <w:cnfStyle w:val="000000000000" w:firstRow="0" w:lastRow="0" w:firstColumn="0" w:lastColumn="0" w:oddVBand="0" w:evenVBand="0" w:oddHBand="0" w:evenHBand="0" w:firstRowFirstColumn="0" w:firstRowLastColumn="0" w:lastRowFirstColumn="0" w:lastRowLastColumn="0"/>
            </w:pPr>
            <w:r>
              <w:t>Opt1</w:t>
            </w:r>
          </w:p>
        </w:tc>
        <w:tc>
          <w:tcPr>
            <w:tcW w:w="5342" w:type="dxa"/>
          </w:tcPr>
          <w:p w14:paraId="4EDE139E" w14:textId="7FE4D0A5" w:rsidR="0063435B" w:rsidRDefault="006E7FAA">
            <w:pPr>
              <w:spacing w:before="156" w:after="156"/>
              <w:cnfStyle w:val="000000000000" w:firstRow="0" w:lastRow="0" w:firstColumn="0" w:lastColumn="0" w:oddVBand="0" w:evenVBand="0" w:oddHBand="0" w:evenHBand="0" w:firstRowFirstColumn="0" w:firstRowLastColumn="0" w:lastRowFirstColumn="0" w:lastRowLastColumn="0"/>
            </w:pPr>
            <w:r>
              <w:t>Opt1 is the simplest change.</w:t>
            </w:r>
          </w:p>
        </w:tc>
      </w:tr>
      <w:tr w:rsidR="004E4AD0" w14:paraId="566FB4A4" w14:textId="77777777" w:rsidTr="004E4AD0">
        <w:tc>
          <w:tcPr>
            <w:cnfStyle w:val="001000000000" w:firstRow="0" w:lastRow="0" w:firstColumn="1" w:lastColumn="0" w:oddVBand="0" w:evenVBand="0" w:oddHBand="0" w:evenHBand="0" w:firstRowFirstColumn="0" w:firstRowLastColumn="0" w:lastRowFirstColumn="0" w:lastRowLastColumn="0"/>
            <w:tcW w:w="1830" w:type="dxa"/>
            <w:shd w:val="clear" w:color="auto" w:fill="CCCCCC" w:themeFill="text1" w:themeFillTint="33"/>
          </w:tcPr>
          <w:p w14:paraId="6EE041D1" w14:textId="31E7A146" w:rsidR="004E4AD0" w:rsidRDefault="004E4AD0" w:rsidP="004E4AD0">
            <w:pPr>
              <w:spacing w:before="156" w:after="156"/>
              <w:rPr>
                <w:b w:val="0"/>
                <w:bCs w:val="0"/>
              </w:rPr>
            </w:pPr>
            <w:r w:rsidRPr="00A57921">
              <w:rPr>
                <w:rFonts w:eastAsia="宋体"/>
              </w:rPr>
              <w:t>CATT</w:t>
            </w:r>
          </w:p>
        </w:tc>
        <w:tc>
          <w:tcPr>
            <w:tcW w:w="2400" w:type="dxa"/>
            <w:shd w:val="clear" w:color="auto" w:fill="CCCCCC" w:themeFill="text1" w:themeFillTint="33"/>
          </w:tcPr>
          <w:p w14:paraId="2C49D25B" w14:textId="1E22C104" w:rsidR="004E4AD0" w:rsidRDefault="004E4AD0">
            <w:pPr>
              <w:spacing w:before="156" w:after="156"/>
              <w:cnfStyle w:val="000000000000" w:firstRow="0" w:lastRow="0" w:firstColumn="0" w:lastColumn="0" w:oddVBand="0" w:evenVBand="0" w:oddHBand="0" w:evenHBand="0" w:firstRowFirstColumn="0" w:firstRowLastColumn="0" w:lastRowFirstColumn="0" w:lastRowLastColumn="0"/>
            </w:pPr>
            <w:r>
              <w:t>Option</w:t>
            </w:r>
            <w:r>
              <w:rPr>
                <w:rFonts w:eastAsiaTheme="minorEastAsia" w:hint="eastAsia"/>
              </w:rPr>
              <w:t xml:space="preserve"> 1 or O</w:t>
            </w:r>
            <w:bookmarkStart w:id="3" w:name="_GoBack"/>
            <w:bookmarkEnd w:id="3"/>
            <w:r>
              <w:rPr>
                <w:rFonts w:eastAsiaTheme="minorEastAsia" w:hint="eastAsia"/>
              </w:rPr>
              <w:t>ption 2</w:t>
            </w:r>
          </w:p>
        </w:tc>
        <w:tc>
          <w:tcPr>
            <w:tcW w:w="5342" w:type="dxa"/>
            <w:shd w:val="clear" w:color="auto" w:fill="CCCCCC" w:themeFill="text1" w:themeFillTint="33"/>
          </w:tcPr>
          <w:p w14:paraId="2717C866" w14:textId="36536DFA" w:rsidR="004E4AD0" w:rsidRDefault="004E4AD0">
            <w:pPr>
              <w:spacing w:before="156" w:after="156"/>
              <w:cnfStyle w:val="000000000000" w:firstRow="0" w:lastRow="0" w:firstColumn="0" w:lastColumn="0" w:oddVBand="0" w:evenVBand="0" w:oddHBand="0" w:evenHBand="0" w:firstRowFirstColumn="0" w:firstRowLastColumn="0" w:lastRowFirstColumn="0" w:lastRowLastColumn="0"/>
            </w:pPr>
            <w:r>
              <w:rPr>
                <w:rFonts w:eastAsiaTheme="minorEastAsia" w:hint="eastAsia"/>
              </w:rPr>
              <w:t xml:space="preserve">We think the issue is valid and we need to find the solutions. </w:t>
            </w:r>
            <w:r>
              <w:rPr>
                <w:rFonts w:eastAsiaTheme="minorEastAsia"/>
              </w:rPr>
              <w:t>A</w:t>
            </w:r>
            <w:r>
              <w:rPr>
                <w:rFonts w:eastAsiaTheme="minorEastAsia" w:hint="eastAsia"/>
              </w:rPr>
              <w:t>ll the options can work, but Option 3 is more complexity. Thus, we prefer Option1 or Option2.</w:t>
            </w:r>
          </w:p>
        </w:tc>
      </w:tr>
      <w:tr w:rsidR="0063435B" w14:paraId="42C13A10" w14:textId="77777777" w:rsidTr="004E4AD0">
        <w:tc>
          <w:tcPr>
            <w:cnfStyle w:val="001000000000" w:firstRow="0" w:lastRow="0" w:firstColumn="1" w:lastColumn="0" w:oddVBand="0" w:evenVBand="0" w:oddHBand="0" w:evenHBand="0" w:firstRowFirstColumn="0" w:firstRowLastColumn="0" w:lastRowFirstColumn="0" w:lastRowLastColumn="0"/>
            <w:tcW w:w="1830" w:type="dxa"/>
          </w:tcPr>
          <w:p w14:paraId="1671CB47" w14:textId="77777777" w:rsidR="0063435B" w:rsidRDefault="0063435B">
            <w:pPr>
              <w:spacing w:before="156" w:after="156"/>
              <w:rPr>
                <w:b w:val="0"/>
                <w:bCs w:val="0"/>
              </w:rPr>
            </w:pPr>
          </w:p>
        </w:tc>
        <w:tc>
          <w:tcPr>
            <w:tcW w:w="2400" w:type="dxa"/>
          </w:tcPr>
          <w:p w14:paraId="26901226" w14:textId="77777777" w:rsidR="0063435B" w:rsidRDefault="0063435B">
            <w:pPr>
              <w:spacing w:before="156" w:after="156"/>
              <w:cnfStyle w:val="000000000000" w:firstRow="0" w:lastRow="0" w:firstColumn="0" w:lastColumn="0" w:oddVBand="0" w:evenVBand="0" w:oddHBand="0" w:evenHBand="0" w:firstRowFirstColumn="0" w:firstRowLastColumn="0" w:lastRowFirstColumn="0" w:lastRowLastColumn="0"/>
            </w:pPr>
          </w:p>
        </w:tc>
        <w:tc>
          <w:tcPr>
            <w:tcW w:w="5342" w:type="dxa"/>
          </w:tcPr>
          <w:p w14:paraId="00150DDB" w14:textId="77777777" w:rsidR="0063435B" w:rsidRDefault="0063435B">
            <w:pPr>
              <w:spacing w:before="156" w:after="156"/>
              <w:cnfStyle w:val="000000000000" w:firstRow="0" w:lastRow="0" w:firstColumn="0" w:lastColumn="0" w:oddVBand="0" w:evenVBand="0" w:oddHBand="0" w:evenHBand="0" w:firstRowFirstColumn="0" w:firstRowLastColumn="0" w:lastRowFirstColumn="0" w:lastRowLastColumn="0"/>
            </w:pPr>
          </w:p>
        </w:tc>
      </w:tr>
      <w:tr w:rsidR="0063435B" w14:paraId="04704498" w14:textId="77777777" w:rsidTr="004E4AD0">
        <w:tc>
          <w:tcPr>
            <w:cnfStyle w:val="001000000000" w:firstRow="0" w:lastRow="0" w:firstColumn="1" w:lastColumn="0" w:oddVBand="0" w:evenVBand="0" w:oddHBand="0" w:evenHBand="0" w:firstRowFirstColumn="0" w:firstRowLastColumn="0" w:lastRowFirstColumn="0" w:lastRowLastColumn="0"/>
            <w:tcW w:w="1830" w:type="dxa"/>
            <w:shd w:val="clear" w:color="auto" w:fill="CCCCCC" w:themeFill="text1" w:themeFillTint="33"/>
          </w:tcPr>
          <w:p w14:paraId="09DD57CD" w14:textId="77777777" w:rsidR="0063435B" w:rsidRDefault="0063435B">
            <w:pPr>
              <w:spacing w:before="156" w:after="156"/>
              <w:rPr>
                <w:b w:val="0"/>
                <w:bCs w:val="0"/>
              </w:rPr>
            </w:pPr>
          </w:p>
        </w:tc>
        <w:tc>
          <w:tcPr>
            <w:tcW w:w="2400" w:type="dxa"/>
            <w:shd w:val="clear" w:color="auto" w:fill="CCCCCC" w:themeFill="text1" w:themeFillTint="33"/>
          </w:tcPr>
          <w:p w14:paraId="0B7E0860" w14:textId="77777777" w:rsidR="0063435B" w:rsidRDefault="0063435B">
            <w:pPr>
              <w:spacing w:before="156" w:after="156"/>
              <w:cnfStyle w:val="000000000000" w:firstRow="0" w:lastRow="0" w:firstColumn="0" w:lastColumn="0" w:oddVBand="0" w:evenVBand="0" w:oddHBand="0" w:evenHBand="0" w:firstRowFirstColumn="0" w:firstRowLastColumn="0" w:lastRowFirstColumn="0" w:lastRowLastColumn="0"/>
            </w:pPr>
          </w:p>
        </w:tc>
        <w:tc>
          <w:tcPr>
            <w:tcW w:w="5342" w:type="dxa"/>
            <w:shd w:val="clear" w:color="auto" w:fill="CCCCCC" w:themeFill="text1" w:themeFillTint="33"/>
          </w:tcPr>
          <w:p w14:paraId="7D14077D" w14:textId="77777777" w:rsidR="0063435B" w:rsidRDefault="0063435B">
            <w:pPr>
              <w:spacing w:before="156" w:after="156"/>
              <w:cnfStyle w:val="000000000000" w:firstRow="0" w:lastRow="0" w:firstColumn="0" w:lastColumn="0" w:oddVBand="0" w:evenVBand="0" w:oddHBand="0" w:evenHBand="0" w:firstRowFirstColumn="0" w:firstRowLastColumn="0" w:lastRowFirstColumn="0" w:lastRowLastColumn="0"/>
            </w:pPr>
          </w:p>
        </w:tc>
      </w:tr>
      <w:tr w:rsidR="0063435B" w14:paraId="139068EA" w14:textId="77777777" w:rsidTr="004E4AD0">
        <w:tc>
          <w:tcPr>
            <w:cnfStyle w:val="001000000000" w:firstRow="0" w:lastRow="0" w:firstColumn="1" w:lastColumn="0" w:oddVBand="0" w:evenVBand="0" w:oddHBand="0" w:evenHBand="0" w:firstRowFirstColumn="0" w:firstRowLastColumn="0" w:lastRowFirstColumn="0" w:lastRowLastColumn="0"/>
            <w:tcW w:w="1830" w:type="dxa"/>
          </w:tcPr>
          <w:p w14:paraId="62042A32" w14:textId="77777777" w:rsidR="0063435B" w:rsidRDefault="0063435B">
            <w:pPr>
              <w:spacing w:before="156" w:after="156"/>
              <w:rPr>
                <w:b w:val="0"/>
                <w:bCs w:val="0"/>
              </w:rPr>
            </w:pPr>
          </w:p>
        </w:tc>
        <w:tc>
          <w:tcPr>
            <w:tcW w:w="2400" w:type="dxa"/>
          </w:tcPr>
          <w:p w14:paraId="54D3BC18" w14:textId="77777777" w:rsidR="0063435B" w:rsidRDefault="0063435B">
            <w:pPr>
              <w:spacing w:before="156" w:after="156"/>
              <w:cnfStyle w:val="000000000000" w:firstRow="0" w:lastRow="0" w:firstColumn="0" w:lastColumn="0" w:oddVBand="0" w:evenVBand="0" w:oddHBand="0" w:evenHBand="0" w:firstRowFirstColumn="0" w:firstRowLastColumn="0" w:lastRowFirstColumn="0" w:lastRowLastColumn="0"/>
            </w:pPr>
          </w:p>
        </w:tc>
        <w:tc>
          <w:tcPr>
            <w:tcW w:w="5342" w:type="dxa"/>
          </w:tcPr>
          <w:p w14:paraId="59E3CF31" w14:textId="77777777" w:rsidR="0063435B" w:rsidRDefault="0063435B">
            <w:pPr>
              <w:spacing w:before="156" w:after="156"/>
              <w:cnfStyle w:val="000000000000" w:firstRow="0" w:lastRow="0" w:firstColumn="0" w:lastColumn="0" w:oddVBand="0" w:evenVBand="0" w:oddHBand="0" w:evenHBand="0" w:firstRowFirstColumn="0" w:firstRowLastColumn="0" w:lastRowFirstColumn="0" w:lastRowLastColumn="0"/>
            </w:pPr>
          </w:p>
        </w:tc>
      </w:tr>
      <w:tr w:rsidR="0063435B" w14:paraId="7204689E" w14:textId="77777777" w:rsidTr="004E4AD0">
        <w:tc>
          <w:tcPr>
            <w:cnfStyle w:val="001000000000" w:firstRow="0" w:lastRow="0" w:firstColumn="1" w:lastColumn="0" w:oddVBand="0" w:evenVBand="0" w:oddHBand="0" w:evenHBand="0" w:firstRowFirstColumn="0" w:firstRowLastColumn="0" w:lastRowFirstColumn="0" w:lastRowLastColumn="0"/>
            <w:tcW w:w="1830" w:type="dxa"/>
            <w:shd w:val="clear" w:color="auto" w:fill="CCCCCC" w:themeFill="text1" w:themeFillTint="33"/>
          </w:tcPr>
          <w:p w14:paraId="261591E1" w14:textId="77777777" w:rsidR="0063435B" w:rsidRDefault="0063435B">
            <w:pPr>
              <w:spacing w:before="156" w:after="156"/>
              <w:rPr>
                <w:b w:val="0"/>
                <w:bCs w:val="0"/>
              </w:rPr>
            </w:pPr>
          </w:p>
        </w:tc>
        <w:tc>
          <w:tcPr>
            <w:tcW w:w="2400" w:type="dxa"/>
            <w:shd w:val="clear" w:color="auto" w:fill="CCCCCC" w:themeFill="text1" w:themeFillTint="33"/>
          </w:tcPr>
          <w:p w14:paraId="248A3969" w14:textId="77777777" w:rsidR="0063435B" w:rsidRDefault="0063435B">
            <w:pPr>
              <w:spacing w:before="156" w:after="156"/>
              <w:cnfStyle w:val="000000000000" w:firstRow="0" w:lastRow="0" w:firstColumn="0" w:lastColumn="0" w:oddVBand="0" w:evenVBand="0" w:oddHBand="0" w:evenHBand="0" w:firstRowFirstColumn="0" w:firstRowLastColumn="0" w:lastRowFirstColumn="0" w:lastRowLastColumn="0"/>
            </w:pPr>
          </w:p>
        </w:tc>
        <w:tc>
          <w:tcPr>
            <w:tcW w:w="5342" w:type="dxa"/>
            <w:shd w:val="clear" w:color="auto" w:fill="CCCCCC" w:themeFill="text1" w:themeFillTint="33"/>
          </w:tcPr>
          <w:p w14:paraId="65C92E5C" w14:textId="77777777" w:rsidR="0063435B" w:rsidRDefault="0063435B">
            <w:pPr>
              <w:spacing w:before="156" w:after="156"/>
              <w:cnfStyle w:val="000000000000" w:firstRow="0" w:lastRow="0" w:firstColumn="0" w:lastColumn="0" w:oddVBand="0" w:evenVBand="0" w:oddHBand="0" w:evenHBand="0" w:firstRowFirstColumn="0" w:firstRowLastColumn="0" w:lastRowFirstColumn="0" w:lastRowLastColumn="0"/>
            </w:pPr>
          </w:p>
        </w:tc>
      </w:tr>
      <w:tr w:rsidR="0063435B" w14:paraId="44BE03EF" w14:textId="77777777" w:rsidTr="004E4AD0">
        <w:tc>
          <w:tcPr>
            <w:cnfStyle w:val="001000000000" w:firstRow="0" w:lastRow="0" w:firstColumn="1" w:lastColumn="0" w:oddVBand="0" w:evenVBand="0" w:oddHBand="0" w:evenHBand="0" w:firstRowFirstColumn="0" w:firstRowLastColumn="0" w:lastRowFirstColumn="0" w:lastRowLastColumn="0"/>
            <w:tcW w:w="1830" w:type="dxa"/>
          </w:tcPr>
          <w:p w14:paraId="2E2E7680" w14:textId="77777777" w:rsidR="0063435B" w:rsidRDefault="0063435B">
            <w:pPr>
              <w:spacing w:before="156" w:after="156"/>
              <w:rPr>
                <w:b w:val="0"/>
                <w:bCs w:val="0"/>
              </w:rPr>
            </w:pPr>
          </w:p>
        </w:tc>
        <w:tc>
          <w:tcPr>
            <w:tcW w:w="2400" w:type="dxa"/>
          </w:tcPr>
          <w:p w14:paraId="4784E524" w14:textId="77777777" w:rsidR="0063435B" w:rsidRDefault="0063435B">
            <w:pPr>
              <w:spacing w:before="156" w:after="156"/>
              <w:cnfStyle w:val="000000000000" w:firstRow="0" w:lastRow="0" w:firstColumn="0" w:lastColumn="0" w:oddVBand="0" w:evenVBand="0" w:oddHBand="0" w:evenHBand="0" w:firstRowFirstColumn="0" w:firstRowLastColumn="0" w:lastRowFirstColumn="0" w:lastRowLastColumn="0"/>
            </w:pPr>
          </w:p>
        </w:tc>
        <w:tc>
          <w:tcPr>
            <w:tcW w:w="5342" w:type="dxa"/>
          </w:tcPr>
          <w:p w14:paraId="50576B59" w14:textId="77777777" w:rsidR="0063435B" w:rsidRDefault="0063435B">
            <w:pPr>
              <w:spacing w:before="156" w:after="156"/>
              <w:cnfStyle w:val="000000000000" w:firstRow="0" w:lastRow="0" w:firstColumn="0" w:lastColumn="0" w:oddVBand="0" w:evenVBand="0" w:oddHBand="0" w:evenHBand="0" w:firstRowFirstColumn="0" w:firstRowLastColumn="0" w:lastRowFirstColumn="0" w:lastRowLastColumn="0"/>
            </w:pPr>
          </w:p>
        </w:tc>
      </w:tr>
      <w:tr w:rsidR="0063435B" w14:paraId="70DB3445" w14:textId="77777777" w:rsidTr="004E4AD0">
        <w:tc>
          <w:tcPr>
            <w:cnfStyle w:val="001000000000" w:firstRow="0" w:lastRow="0" w:firstColumn="1" w:lastColumn="0" w:oddVBand="0" w:evenVBand="0" w:oddHBand="0" w:evenHBand="0" w:firstRowFirstColumn="0" w:firstRowLastColumn="0" w:lastRowFirstColumn="0" w:lastRowLastColumn="0"/>
            <w:tcW w:w="1830" w:type="dxa"/>
            <w:shd w:val="clear" w:color="auto" w:fill="CCCCCC" w:themeFill="text1" w:themeFillTint="33"/>
          </w:tcPr>
          <w:p w14:paraId="48A9B00E" w14:textId="77777777" w:rsidR="0063435B" w:rsidRDefault="0063435B">
            <w:pPr>
              <w:spacing w:before="156" w:after="156"/>
              <w:rPr>
                <w:b w:val="0"/>
                <w:bCs w:val="0"/>
              </w:rPr>
            </w:pPr>
          </w:p>
        </w:tc>
        <w:tc>
          <w:tcPr>
            <w:tcW w:w="2400" w:type="dxa"/>
            <w:shd w:val="clear" w:color="auto" w:fill="CCCCCC" w:themeFill="text1" w:themeFillTint="33"/>
          </w:tcPr>
          <w:p w14:paraId="30D3E6D3" w14:textId="77777777" w:rsidR="0063435B" w:rsidRDefault="0063435B">
            <w:pPr>
              <w:spacing w:before="156" w:after="156"/>
              <w:cnfStyle w:val="000000000000" w:firstRow="0" w:lastRow="0" w:firstColumn="0" w:lastColumn="0" w:oddVBand="0" w:evenVBand="0" w:oddHBand="0" w:evenHBand="0" w:firstRowFirstColumn="0" w:firstRowLastColumn="0" w:lastRowFirstColumn="0" w:lastRowLastColumn="0"/>
            </w:pPr>
          </w:p>
        </w:tc>
        <w:tc>
          <w:tcPr>
            <w:tcW w:w="5342" w:type="dxa"/>
            <w:shd w:val="clear" w:color="auto" w:fill="CCCCCC" w:themeFill="text1" w:themeFillTint="33"/>
          </w:tcPr>
          <w:p w14:paraId="4C4AE90B" w14:textId="77777777" w:rsidR="0063435B" w:rsidRDefault="0063435B">
            <w:pPr>
              <w:spacing w:before="156" w:after="156"/>
              <w:cnfStyle w:val="000000000000" w:firstRow="0" w:lastRow="0" w:firstColumn="0" w:lastColumn="0" w:oddVBand="0" w:evenVBand="0" w:oddHBand="0" w:evenHBand="0" w:firstRowFirstColumn="0" w:firstRowLastColumn="0" w:lastRowFirstColumn="0" w:lastRowLastColumn="0"/>
            </w:pPr>
          </w:p>
        </w:tc>
      </w:tr>
      <w:tr w:rsidR="0063435B" w14:paraId="5A3CC96C" w14:textId="77777777" w:rsidTr="004E4AD0">
        <w:tc>
          <w:tcPr>
            <w:cnfStyle w:val="001000000000" w:firstRow="0" w:lastRow="0" w:firstColumn="1" w:lastColumn="0" w:oddVBand="0" w:evenVBand="0" w:oddHBand="0" w:evenHBand="0" w:firstRowFirstColumn="0" w:firstRowLastColumn="0" w:lastRowFirstColumn="0" w:lastRowLastColumn="0"/>
            <w:tcW w:w="1830" w:type="dxa"/>
          </w:tcPr>
          <w:p w14:paraId="24711CC6" w14:textId="77777777" w:rsidR="0063435B" w:rsidRDefault="0063435B">
            <w:pPr>
              <w:spacing w:before="156" w:after="156"/>
              <w:rPr>
                <w:b w:val="0"/>
                <w:bCs w:val="0"/>
              </w:rPr>
            </w:pPr>
          </w:p>
        </w:tc>
        <w:tc>
          <w:tcPr>
            <w:tcW w:w="2400" w:type="dxa"/>
          </w:tcPr>
          <w:p w14:paraId="2269AC60" w14:textId="77777777" w:rsidR="0063435B" w:rsidRDefault="0063435B">
            <w:pPr>
              <w:spacing w:before="156" w:after="156"/>
              <w:cnfStyle w:val="000000000000" w:firstRow="0" w:lastRow="0" w:firstColumn="0" w:lastColumn="0" w:oddVBand="0" w:evenVBand="0" w:oddHBand="0" w:evenHBand="0" w:firstRowFirstColumn="0" w:firstRowLastColumn="0" w:lastRowFirstColumn="0" w:lastRowLastColumn="0"/>
            </w:pPr>
          </w:p>
        </w:tc>
        <w:tc>
          <w:tcPr>
            <w:tcW w:w="5342" w:type="dxa"/>
          </w:tcPr>
          <w:p w14:paraId="4B06AD8D" w14:textId="77777777" w:rsidR="0063435B" w:rsidRDefault="0063435B">
            <w:pPr>
              <w:spacing w:before="156" w:after="156"/>
              <w:cnfStyle w:val="000000000000" w:firstRow="0" w:lastRow="0" w:firstColumn="0" w:lastColumn="0" w:oddVBand="0" w:evenVBand="0" w:oddHBand="0" w:evenHBand="0" w:firstRowFirstColumn="0" w:firstRowLastColumn="0" w:lastRowFirstColumn="0" w:lastRowLastColumn="0"/>
            </w:pPr>
          </w:p>
        </w:tc>
      </w:tr>
    </w:tbl>
    <w:p w14:paraId="69080DD9" w14:textId="77777777" w:rsidR="0063435B" w:rsidRDefault="0063435B">
      <w:pPr>
        <w:spacing w:before="156" w:after="156"/>
      </w:pPr>
    </w:p>
    <w:p w14:paraId="750820F6" w14:textId="77777777" w:rsidR="0063435B" w:rsidRDefault="00267045">
      <w:pPr>
        <w:pStyle w:val="a4"/>
        <w:spacing w:before="156" w:after="156"/>
        <w:rPr>
          <w:b/>
          <w:bCs/>
        </w:rPr>
      </w:pPr>
      <w:r>
        <w:rPr>
          <w:b/>
          <w:bCs/>
        </w:rPr>
        <w:t>Proposal 1:</w:t>
      </w:r>
      <w:r>
        <w:rPr>
          <w:rFonts w:eastAsia="宋体" w:hint="eastAsia"/>
          <w:b/>
          <w:bCs/>
        </w:rPr>
        <w:t xml:space="preserve"> </w:t>
      </w:r>
      <w:proofErr w:type="spellStart"/>
      <w:r>
        <w:rPr>
          <w:rFonts w:eastAsia="宋体" w:hint="eastAsia"/>
          <w:b/>
          <w:bCs/>
        </w:rPr>
        <w:t>xxxxxx</w:t>
      </w:r>
      <w:proofErr w:type="spellEnd"/>
      <w:r>
        <w:rPr>
          <w:b/>
          <w:bCs/>
          <w:lang w:eastAsia="ko-KR"/>
        </w:rPr>
        <w:t>.</w:t>
      </w:r>
    </w:p>
    <w:p w14:paraId="53E5631E" w14:textId="77777777" w:rsidR="0063435B" w:rsidRDefault="0063435B">
      <w:pPr>
        <w:pBdr>
          <w:bottom w:val="single" w:sz="12" w:space="1" w:color="auto"/>
        </w:pBdr>
        <w:spacing w:before="156" w:after="156"/>
        <w:rPr>
          <w:rFonts w:eastAsiaTheme="minorEastAsia"/>
        </w:rPr>
      </w:pPr>
    </w:p>
    <w:p w14:paraId="22186984" w14:textId="77777777" w:rsidR="0063435B" w:rsidRDefault="00267045">
      <w:pPr>
        <w:pStyle w:val="1"/>
        <w:numPr>
          <w:ilvl w:val="0"/>
          <w:numId w:val="4"/>
        </w:numPr>
        <w:spacing w:beforeLines="0" w:before="0" w:after="156"/>
        <w:rPr>
          <w:rFonts w:eastAsia="宋体"/>
          <w:sz w:val="28"/>
          <w:szCs w:val="28"/>
        </w:rPr>
      </w:pPr>
      <w:r>
        <w:rPr>
          <w:rFonts w:eastAsia="宋体" w:hint="eastAsia"/>
          <w:sz w:val="28"/>
          <w:szCs w:val="28"/>
        </w:rPr>
        <w:t>Conclusion</w:t>
      </w:r>
    </w:p>
    <w:p w14:paraId="1D94AAD9" w14:textId="77777777" w:rsidR="0063435B" w:rsidRDefault="0063435B">
      <w:pPr>
        <w:spacing w:before="156" w:after="156"/>
        <w:rPr>
          <w:rFonts w:eastAsiaTheme="minorEastAsia"/>
        </w:rPr>
      </w:pPr>
    </w:p>
    <w:p w14:paraId="6B6AFBA7" w14:textId="77777777" w:rsidR="0063435B" w:rsidRDefault="0063435B">
      <w:pPr>
        <w:pBdr>
          <w:bottom w:val="single" w:sz="12" w:space="1" w:color="auto"/>
        </w:pBdr>
        <w:spacing w:before="156" w:after="156"/>
        <w:rPr>
          <w:rFonts w:eastAsiaTheme="minorEastAsia"/>
        </w:rPr>
      </w:pPr>
    </w:p>
    <w:p w14:paraId="0245380C" w14:textId="77777777" w:rsidR="0063435B" w:rsidRDefault="00267045">
      <w:pPr>
        <w:pStyle w:val="1"/>
        <w:numPr>
          <w:ilvl w:val="0"/>
          <w:numId w:val="4"/>
        </w:numPr>
        <w:spacing w:before="156" w:after="156"/>
        <w:rPr>
          <w:rFonts w:eastAsia="宋体"/>
          <w:sz w:val="28"/>
          <w:szCs w:val="28"/>
        </w:rPr>
      </w:pPr>
      <w:r>
        <w:rPr>
          <w:rFonts w:eastAsia="宋体"/>
          <w:sz w:val="28"/>
          <w:szCs w:val="28"/>
        </w:rPr>
        <w:t xml:space="preserve">Reference </w:t>
      </w:r>
    </w:p>
    <w:p w14:paraId="3483D9EF" w14:textId="77777777" w:rsidR="0063435B" w:rsidRDefault="00267045">
      <w:pPr>
        <w:pStyle w:val="aa"/>
        <w:numPr>
          <w:ilvl w:val="0"/>
          <w:numId w:val="6"/>
        </w:numPr>
        <w:ind w:firstLineChars="0"/>
        <w:rPr>
          <w:rFonts w:eastAsiaTheme="minorEastAsia"/>
        </w:rPr>
      </w:pPr>
      <w:r>
        <w:rPr>
          <w:rFonts w:eastAsiaTheme="minorEastAsia" w:hint="eastAsia"/>
        </w:rPr>
        <w:t>TS 38.331, Radio Resource Control (RRC); Protocol specification, v18.6.0</w:t>
      </w:r>
    </w:p>
    <w:sectPr w:rsidR="0063435B">
      <w:headerReference w:type="even" r:id="rId9"/>
      <w:headerReference w:type="default" r:id="rId10"/>
      <w:footerReference w:type="even" r:id="rId11"/>
      <w:footerReference w:type="default" r:id="rId12"/>
      <w:headerReference w:type="first" r:id="rId13"/>
      <w:footerReference w:type="first" r:id="rId14"/>
      <w:pgSz w:w="11906" w:h="16838"/>
      <w:pgMar w:top="1440" w:right="1274" w:bottom="1440" w:left="1276"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45FDC5" w14:textId="77777777" w:rsidR="00B91DB5" w:rsidRDefault="00B91DB5">
      <w:pPr>
        <w:spacing w:before="120" w:after="120"/>
      </w:pPr>
      <w:r>
        <w:separator/>
      </w:r>
    </w:p>
  </w:endnote>
  <w:endnote w:type="continuationSeparator" w:id="0">
    <w:p w14:paraId="615F8106" w14:textId="77777777" w:rsidR="00B91DB5" w:rsidRDefault="00B91DB5">
      <w:pPr>
        <w:spacing w:before="120"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8550FA" w14:textId="77777777" w:rsidR="0063435B" w:rsidRDefault="0063435B">
    <w:pPr>
      <w:pStyle w:val="a5"/>
      <w:spacing w:before="120" w:after="120"/>
    </w:pPr>
  </w:p>
  <w:p w14:paraId="308060BC" w14:textId="77777777" w:rsidR="0063435B" w:rsidRDefault="0063435B">
    <w:pPr>
      <w:spacing w:before="120" w:after="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7715629"/>
    </w:sdtPr>
    <w:sdtEndPr>
      <w:rPr>
        <w:sz w:val="20"/>
        <w:szCs w:val="20"/>
      </w:rPr>
    </w:sdtEndPr>
    <w:sdtContent>
      <w:p w14:paraId="0B5AA076" w14:textId="77777777" w:rsidR="0063435B" w:rsidRDefault="00267045">
        <w:pPr>
          <w:pStyle w:val="a5"/>
          <w:spacing w:before="120" w:after="120"/>
          <w:jc w:val="center"/>
          <w:rPr>
            <w:sz w:val="20"/>
            <w:szCs w:val="20"/>
          </w:rPr>
        </w:pPr>
        <w:r>
          <w:rPr>
            <w:sz w:val="20"/>
            <w:szCs w:val="20"/>
          </w:rPr>
          <w:fldChar w:fldCharType="begin"/>
        </w:r>
        <w:r>
          <w:rPr>
            <w:sz w:val="20"/>
            <w:szCs w:val="20"/>
          </w:rPr>
          <w:instrText>PAGE   \* MERGEFORMAT</w:instrText>
        </w:r>
        <w:r>
          <w:rPr>
            <w:sz w:val="20"/>
            <w:szCs w:val="20"/>
          </w:rPr>
          <w:fldChar w:fldCharType="separate"/>
        </w:r>
        <w:r w:rsidR="004E4AD0" w:rsidRPr="004E4AD0">
          <w:rPr>
            <w:noProof/>
            <w:sz w:val="20"/>
            <w:szCs w:val="20"/>
            <w:lang w:val="zh-CN"/>
          </w:rPr>
          <w:t>4</w:t>
        </w:r>
        <w:r>
          <w:rPr>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C788E8" w14:textId="77777777" w:rsidR="0063435B" w:rsidRDefault="0063435B">
    <w:pPr>
      <w:pStyle w:val="a5"/>
      <w:spacing w:before="120" w:after="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C6C9C6" w14:textId="77777777" w:rsidR="00B91DB5" w:rsidRDefault="00B91DB5">
      <w:pPr>
        <w:spacing w:before="120" w:after="120"/>
      </w:pPr>
      <w:r>
        <w:separator/>
      </w:r>
    </w:p>
  </w:footnote>
  <w:footnote w:type="continuationSeparator" w:id="0">
    <w:p w14:paraId="49D57FA2" w14:textId="77777777" w:rsidR="00B91DB5" w:rsidRDefault="00B91DB5">
      <w:pPr>
        <w:spacing w:before="120" w:after="1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7AD513" w14:textId="77777777" w:rsidR="0063435B" w:rsidRDefault="0063435B">
    <w:pPr>
      <w:pStyle w:val="a6"/>
      <w:spacing w:before="120" w:after="120"/>
    </w:pPr>
  </w:p>
  <w:p w14:paraId="354D1B16" w14:textId="77777777" w:rsidR="0063435B" w:rsidRDefault="0063435B">
    <w:pPr>
      <w:spacing w:before="120"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2DC57" w14:textId="77777777" w:rsidR="0063435B" w:rsidRDefault="0063435B">
    <w:pPr>
      <w:spacing w:before="120" w:after="120"/>
      <w:rPr>
        <w:rFonts w:eastAsiaTheme="minor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480F0B" w14:textId="77777777" w:rsidR="0063435B" w:rsidRDefault="0063435B">
    <w:pPr>
      <w:pStyle w:val="a6"/>
      <w:spacing w:before="120"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B6A55"/>
    <w:multiLevelType w:val="multilevel"/>
    <w:tmpl w:val="075B6A55"/>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0082BA0"/>
    <w:multiLevelType w:val="multilevel"/>
    <w:tmpl w:val="10082BA0"/>
    <w:lvl w:ilvl="0">
      <w:start w:val="1"/>
      <w:numFmt w:val="decimal"/>
      <w:pStyle w:val="1st-ob-YJ"/>
      <w:lvlText w:val="Observation %1: "/>
      <w:lvlJc w:val="left"/>
      <w:pPr>
        <w:tabs>
          <w:tab w:val="left" w:pos="0"/>
        </w:tabs>
        <w:ind w:left="0" w:firstLine="0"/>
      </w:pPr>
      <w:rPr>
        <w:rFonts w:ascii="Times New Roman" w:eastAsia="宋体" w:hAnsi="Times New Roman" w:hint="default"/>
        <w:b/>
        <w:i w:val="0"/>
        <w:caps w:val="0"/>
        <w:strike w:val="0"/>
        <w:dstrike w:val="0"/>
        <w:vanish w:val="0"/>
        <w:color w:val="auto"/>
        <w:sz w:val="20"/>
        <w:vertAlign w:val="baseline"/>
      </w:rPr>
    </w:lvl>
    <w:lvl w:ilvl="1">
      <w:start w:val="1"/>
      <w:numFmt w:val="bullet"/>
      <w:lvlText w:val="−"/>
      <w:lvlJc w:val="left"/>
      <w:pPr>
        <w:tabs>
          <w:tab w:val="left" w:pos="851"/>
        </w:tabs>
        <w:ind w:left="851" w:firstLine="0"/>
      </w:pPr>
      <w:rPr>
        <w:rFonts w:ascii="Verdana" w:hAnsi="Verdana" w:hint="default"/>
        <w:sz w:val="20"/>
      </w:rPr>
    </w:lvl>
    <w:lvl w:ilvl="2">
      <w:start w:val="1"/>
      <w:numFmt w:val="bullet"/>
      <w:lvlText w:val=""/>
      <w:lvlJc w:val="left"/>
      <w:pPr>
        <w:tabs>
          <w:tab w:val="left"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2">
    <w:nsid w:val="3433525C"/>
    <w:multiLevelType w:val="multilevel"/>
    <w:tmpl w:val="3433525C"/>
    <w:lvl w:ilvl="0">
      <w:start w:val="1"/>
      <w:numFmt w:val="decimal"/>
      <w:pStyle w:val="1st-Proposal-YJ"/>
      <w:lvlText w:val="Proposal %1:"/>
      <w:lvlJc w:val="left"/>
      <w:pPr>
        <w:tabs>
          <w:tab w:val="left" w:pos="0"/>
        </w:tabs>
        <w:ind w:left="0" w:firstLine="0"/>
      </w:pPr>
      <w:rPr>
        <w:rFonts w:ascii="Times New Roman" w:eastAsia="宋体" w:hAnsi="Times New Roman" w:hint="default"/>
        <w:b/>
        <w:i w:val="0"/>
        <w:sz w:val="20"/>
      </w:rPr>
    </w:lvl>
    <w:lvl w:ilvl="1">
      <w:start w:val="1"/>
      <w:numFmt w:val="bullet"/>
      <w:pStyle w:val="2nd-proposal-YJ"/>
      <w:lvlText w:val="−"/>
      <w:lvlJc w:val="left"/>
      <w:pPr>
        <w:tabs>
          <w:tab w:val="left" w:pos="851"/>
        </w:tabs>
        <w:ind w:left="851" w:firstLine="0"/>
      </w:pPr>
      <w:rPr>
        <w:rFonts w:ascii="Verdana" w:hAnsi="Verdana" w:hint="default"/>
        <w:sz w:val="20"/>
      </w:rPr>
    </w:lvl>
    <w:lvl w:ilvl="2">
      <w:start w:val="1"/>
      <w:numFmt w:val="bullet"/>
      <w:lvlText w:val=""/>
      <w:lvlJc w:val="left"/>
      <w:pPr>
        <w:tabs>
          <w:tab w:val="left"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3">
    <w:nsid w:val="37950C99"/>
    <w:multiLevelType w:val="multilevel"/>
    <w:tmpl w:val="37950C99"/>
    <w:lvl w:ilvl="0">
      <w:start w:val="8"/>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4">
    <w:nsid w:val="4D7D0BD3"/>
    <w:multiLevelType w:val="multilevel"/>
    <w:tmpl w:val="4D7D0BD3"/>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2"/>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yMjdkMTU4YjMxYzdmNzU0Mzc3ZGIxMjhjNzE2YmIifQ=="/>
  </w:docVars>
  <w:rsids>
    <w:rsidRoot w:val="1A3A04FD"/>
    <w:rsid w:val="00267045"/>
    <w:rsid w:val="00472672"/>
    <w:rsid w:val="00490B57"/>
    <w:rsid w:val="004E4AD0"/>
    <w:rsid w:val="0063435B"/>
    <w:rsid w:val="006E7FAA"/>
    <w:rsid w:val="00824069"/>
    <w:rsid w:val="00B91DB5"/>
    <w:rsid w:val="00E46AD2"/>
    <w:rsid w:val="015B3238"/>
    <w:rsid w:val="025F28B4"/>
    <w:rsid w:val="05301425"/>
    <w:rsid w:val="05351CA6"/>
    <w:rsid w:val="053A4F12"/>
    <w:rsid w:val="056E66D7"/>
    <w:rsid w:val="07140111"/>
    <w:rsid w:val="079A1102"/>
    <w:rsid w:val="094654D0"/>
    <w:rsid w:val="0BC438C4"/>
    <w:rsid w:val="0C0444C5"/>
    <w:rsid w:val="0F3E448E"/>
    <w:rsid w:val="0F96338A"/>
    <w:rsid w:val="124E1305"/>
    <w:rsid w:val="13E1581F"/>
    <w:rsid w:val="14B35174"/>
    <w:rsid w:val="158E72E0"/>
    <w:rsid w:val="16501C65"/>
    <w:rsid w:val="169D5510"/>
    <w:rsid w:val="17354AD5"/>
    <w:rsid w:val="192341E3"/>
    <w:rsid w:val="1A3A04FD"/>
    <w:rsid w:val="1B234D87"/>
    <w:rsid w:val="1B4A72CB"/>
    <w:rsid w:val="1C586B2A"/>
    <w:rsid w:val="1CB7673A"/>
    <w:rsid w:val="1DF510EF"/>
    <w:rsid w:val="21A0525C"/>
    <w:rsid w:val="229D4A1D"/>
    <w:rsid w:val="24183AA4"/>
    <w:rsid w:val="29D56556"/>
    <w:rsid w:val="2B9317D5"/>
    <w:rsid w:val="2DD05428"/>
    <w:rsid w:val="322D33C3"/>
    <w:rsid w:val="336E7B25"/>
    <w:rsid w:val="33DA2253"/>
    <w:rsid w:val="363C41FB"/>
    <w:rsid w:val="377952F7"/>
    <w:rsid w:val="37E574E5"/>
    <w:rsid w:val="385B18A6"/>
    <w:rsid w:val="39D07618"/>
    <w:rsid w:val="3C3814A4"/>
    <w:rsid w:val="3C687FDC"/>
    <w:rsid w:val="3CC75FEC"/>
    <w:rsid w:val="3F441554"/>
    <w:rsid w:val="3F697AAB"/>
    <w:rsid w:val="3FAA090B"/>
    <w:rsid w:val="4243581E"/>
    <w:rsid w:val="46FA4A8D"/>
    <w:rsid w:val="493600D4"/>
    <w:rsid w:val="49A8601F"/>
    <w:rsid w:val="49DD6966"/>
    <w:rsid w:val="4AE20F59"/>
    <w:rsid w:val="51407A52"/>
    <w:rsid w:val="52EA12F3"/>
    <w:rsid w:val="53EE7FBB"/>
    <w:rsid w:val="5564083C"/>
    <w:rsid w:val="58D00680"/>
    <w:rsid w:val="5AB96865"/>
    <w:rsid w:val="5CE2128D"/>
    <w:rsid w:val="603935D0"/>
    <w:rsid w:val="60BB42CE"/>
    <w:rsid w:val="63126DAB"/>
    <w:rsid w:val="67E34AD7"/>
    <w:rsid w:val="690600B1"/>
    <w:rsid w:val="69926FF3"/>
    <w:rsid w:val="6ACD3AD6"/>
    <w:rsid w:val="6B3E31FF"/>
    <w:rsid w:val="6CE40709"/>
    <w:rsid w:val="6DD644F6"/>
    <w:rsid w:val="71471FF7"/>
    <w:rsid w:val="72BF553A"/>
    <w:rsid w:val="75CB7846"/>
    <w:rsid w:val="795D3D1D"/>
    <w:rsid w:val="7AD36AEC"/>
    <w:rsid w:val="7D7D2BE0"/>
    <w:rsid w:val="7EFE59CF"/>
    <w:rsid w:val="7F430EB0"/>
    <w:rsid w:val="7FA74F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2F5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annotation text" w:qFormat="1"/>
    <w:lsdException w:name="header" w:uiPriority="99" w:unhideWhenUsed="1" w:qFormat="1"/>
    <w:lsdException w:name="footer" w:uiPriority="99" w:unhideWhenUsed="1" w:qFormat="1"/>
    <w:lsdException w:name="caption" w:semiHidden="1" w:unhideWhenUsed="1" w:qFormat="1"/>
    <w:lsdException w:name="List" w:qFormat="1"/>
    <w:lsdException w:name="List 2" w:qFormat="1"/>
    <w:lsdException w:name="List 3" w:qFormat="1"/>
    <w:lsdException w:name="List 4" w:qFormat="1"/>
    <w:lsdException w:name="List 5" w:qFormat="1"/>
    <w:lsdException w:name="Title" w:qFormat="1"/>
    <w:lsdException w:name="Default Paragraph Font" w:semiHidden="1" w:qFormat="1"/>
    <w:lsdException w:name="Body Text"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beforeLines="50" w:before="50" w:afterLines="50" w:after="50"/>
      <w:jc w:val="both"/>
    </w:pPr>
    <w:rPr>
      <w:rFonts w:eastAsia="Times New Roman" w:cstheme="minorBidi"/>
      <w:kern w:val="2"/>
      <w:szCs w:val="21"/>
    </w:rPr>
  </w:style>
  <w:style w:type="paragraph" w:styleId="1">
    <w:name w:val="heading 1"/>
    <w:basedOn w:val="a"/>
    <w:next w:val="a"/>
    <w:qFormat/>
    <w:pPr>
      <w:keepNext/>
      <w:keepLines/>
      <w:spacing w:before="340" w:after="330" w:line="578" w:lineRule="auto"/>
      <w:outlineLvl w:val="0"/>
    </w:pPr>
    <w:rPr>
      <w:rFonts w:cs="Times New Roman"/>
      <w:b/>
      <w:bCs/>
      <w:kern w:val="44"/>
      <w:sz w:val="44"/>
      <w:szCs w:val="44"/>
    </w:rPr>
  </w:style>
  <w:style w:type="paragraph" w:styleId="2">
    <w:name w:val="heading 2"/>
    <w:basedOn w:val="1"/>
    <w:next w:val="a"/>
    <w:qFormat/>
    <w:pP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style>
  <w:style w:type="paragraph" w:styleId="a4">
    <w:name w:val="annotation text"/>
    <w:basedOn w:val="a"/>
    <w:qFormat/>
  </w:style>
  <w:style w:type="paragraph" w:styleId="a5">
    <w:name w:val="footer"/>
    <w:basedOn w:val="a"/>
    <w:uiPriority w:val="99"/>
    <w:unhideWhenUsed/>
    <w:qFormat/>
    <w:pPr>
      <w:tabs>
        <w:tab w:val="center" w:pos="4153"/>
        <w:tab w:val="right" w:pos="8306"/>
      </w:tabs>
      <w:snapToGrid w:val="0"/>
      <w:jc w:val="left"/>
    </w:pPr>
    <w:rPr>
      <w:sz w:val="18"/>
      <w:szCs w:val="18"/>
    </w:rPr>
  </w:style>
  <w:style w:type="paragraph" w:styleId="a6">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uiPriority w:val="99"/>
    <w:qFormat/>
    <w:rPr>
      <w:color w:val="0000FF"/>
      <w:u w:val="single"/>
    </w:rPr>
  </w:style>
  <w:style w:type="paragraph" w:styleId="a8">
    <w:name w:val="List"/>
    <w:basedOn w:val="a"/>
    <w:qFormat/>
    <w:pPr>
      <w:ind w:left="568" w:hanging="284"/>
    </w:pPr>
  </w:style>
  <w:style w:type="paragraph" w:styleId="20">
    <w:name w:val="List 2"/>
    <w:basedOn w:val="a8"/>
    <w:qFormat/>
    <w:pPr>
      <w:ind w:left="851"/>
    </w:pPr>
  </w:style>
  <w:style w:type="paragraph" w:styleId="30">
    <w:name w:val="List 3"/>
    <w:basedOn w:val="20"/>
    <w:qFormat/>
    <w:pPr>
      <w:ind w:left="1135"/>
    </w:pPr>
  </w:style>
  <w:style w:type="paragraph" w:styleId="40">
    <w:name w:val="List 4"/>
    <w:basedOn w:val="30"/>
    <w:qFormat/>
    <w:pPr>
      <w:ind w:left="1418"/>
    </w:pPr>
  </w:style>
  <w:style w:type="paragraph" w:styleId="5">
    <w:name w:val="List 5"/>
    <w:basedOn w:val="40"/>
    <w:qFormat/>
    <w:pPr>
      <w:ind w:left="1702"/>
    </w:p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0">
    <w:name w:val="toc 1"/>
    <w:basedOn w:val="a"/>
    <w:next w:val="a"/>
    <w:uiPriority w:val="39"/>
    <w:unhideWhenUsed/>
    <w:qFormat/>
    <w:pPr>
      <w:tabs>
        <w:tab w:val="left" w:pos="1260"/>
        <w:tab w:val="right" w:leader="dot" w:pos="9346"/>
      </w:tabs>
      <w:spacing w:before="156" w:after="156"/>
    </w:pPr>
    <w:rPr>
      <w:rFonts w:cs="Times New Roman"/>
      <w:b/>
      <w:i/>
      <w:szCs w:val="20"/>
    </w:rPr>
  </w:style>
  <w:style w:type="paragraph" w:styleId="21">
    <w:name w:val="toc 2"/>
    <w:basedOn w:val="a"/>
    <w:next w:val="a"/>
    <w:uiPriority w:val="39"/>
    <w:unhideWhenUsed/>
    <w:qFormat/>
    <w:pPr>
      <w:ind w:leftChars="200" w:left="400" w:hangingChars="200" w:hanging="200"/>
    </w:pPr>
    <w:rPr>
      <w:rFonts w:cs="Times New Roman"/>
      <w:b/>
      <w:i/>
      <w:szCs w:val="20"/>
    </w:rPr>
  </w:style>
  <w:style w:type="paragraph" w:customStyle="1" w:styleId="B2">
    <w:name w:val="B2"/>
    <w:basedOn w:val="20"/>
    <w:qFormat/>
  </w:style>
  <w:style w:type="paragraph" w:customStyle="1" w:styleId="B3">
    <w:name w:val="B3"/>
    <w:basedOn w:val="30"/>
    <w:qFormat/>
  </w:style>
  <w:style w:type="paragraph" w:customStyle="1" w:styleId="B4">
    <w:name w:val="B4"/>
    <w:basedOn w:val="40"/>
    <w:qFormat/>
  </w:style>
  <w:style w:type="paragraph" w:customStyle="1" w:styleId="1st-ob-YJ">
    <w:name w:val="1st-ob-YJ"/>
    <w:basedOn w:val="1st-Proposal-YJ"/>
    <w:qFormat/>
    <w:pPr>
      <w:numPr>
        <w:numId w:val="1"/>
      </w:numPr>
    </w:pPr>
  </w:style>
  <w:style w:type="paragraph" w:customStyle="1" w:styleId="1st-Proposal-YJ">
    <w:name w:val="1st-Proposal-YJ"/>
    <w:basedOn w:val="a"/>
    <w:qFormat/>
    <w:pPr>
      <w:numPr>
        <w:numId w:val="2"/>
      </w:numPr>
      <w:snapToGrid w:val="0"/>
    </w:pPr>
    <w:rPr>
      <w:rFonts w:cs="Times New Roman"/>
      <w:b/>
      <w:i/>
      <w:szCs w:val="20"/>
    </w:rPr>
  </w:style>
  <w:style w:type="paragraph" w:styleId="aa">
    <w:name w:val="List Paragraph"/>
    <w:basedOn w:val="a"/>
    <w:uiPriority w:val="34"/>
    <w:qFormat/>
    <w:pPr>
      <w:spacing w:beforeLines="0" w:before="0" w:afterLines="0" w:after="0"/>
      <w:ind w:firstLineChars="200" w:firstLine="200"/>
    </w:pPr>
  </w:style>
  <w:style w:type="paragraph" w:customStyle="1" w:styleId="2nd-proposal-YJ">
    <w:name w:val="2nd-proposal-YJ"/>
    <w:basedOn w:val="1st-Proposal-YJ"/>
    <w:qFormat/>
    <w:pPr>
      <w:numPr>
        <w:ilvl w:val="1"/>
      </w:numPr>
      <w:adjustRightInd w:val="0"/>
    </w:pPr>
  </w:style>
  <w:style w:type="paragraph" w:customStyle="1" w:styleId="NO">
    <w:name w:val="NO"/>
    <w:basedOn w:val="a"/>
    <w:qFormat/>
    <w:pPr>
      <w:keepLines/>
      <w:ind w:left="1135" w:hanging="851"/>
      <w:textAlignment w:val="baseline"/>
    </w:pPr>
  </w:style>
  <w:style w:type="paragraph" w:customStyle="1" w:styleId="Comments">
    <w:name w:val="Comments"/>
    <w:basedOn w:val="a"/>
    <w:qFormat/>
    <w:pPr>
      <w:spacing w:before="40" w:after="0"/>
    </w:pPr>
    <w:rPr>
      <w:rFonts w:ascii="Arial" w:eastAsia="MS Mincho" w:hAnsi="Arial"/>
      <w:i/>
      <w:sz w:val="18"/>
      <w:szCs w:val="24"/>
      <w:lang w:val="en-GB" w:eastAsia="en-GB"/>
    </w:rPr>
  </w:style>
  <w:style w:type="paragraph" w:customStyle="1" w:styleId="EmailDiscussion">
    <w:name w:val="EmailDiscussion"/>
    <w:basedOn w:val="a"/>
    <w:next w:val="a"/>
    <w:qFormat/>
    <w:pPr>
      <w:numPr>
        <w:numId w:val="3"/>
      </w:numPr>
      <w:spacing w:before="40" w:after="0"/>
    </w:pPr>
    <w:rPr>
      <w:rFonts w:ascii="Arial" w:eastAsia="MS Mincho" w:hAnsi="Arial"/>
      <w:b/>
      <w:szCs w:val="24"/>
      <w:lang w:val="en-GB" w:eastAsia="en-GB"/>
    </w:rPr>
  </w:style>
  <w:style w:type="paragraph" w:customStyle="1" w:styleId="EmailDiscussion2">
    <w:name w:val="EmailDiscussion2"/>
    <w:basedOn w:val="Doc-text2"/>
    <w:qFormat/>
  </w:style>
  <w:style w:type="paragraph" w:customStyle="1" w:styleId="Doc-text2">
    <w:name w:val="Doc-text2"/>
    <w:basedOn w:val="a"/>
    <w:qFormat/>
    <w:pPr>
      <w:tabs>
        <w:tab w:val="left" w:pos="1622"/>
      </w:tabs>
      <w:spacing w:after="0"/>
      <w:ind w:left="1622" w:hanging="363"/>
    </w:pPr>
    <w:rPr>
      <w:rFonts w:ascii="Arial" w:eastAsia="MS Mincho" w:hAnsi="Arial"/>
      <w:szCs w:val="24"/>
      <w:lang w:eastAsia="en-GB"/>
    </w:rPr>
  </w:style>
  <w:style w:type="paragraph" w:customStyle="1" w:styleId="CRCoverPage">
    <w:name w:val="CR Cover Page"/>
    <w:qFormat/>
    <w:pPr>
      <w:spacing w:after="120"/>
    </w:pPr>
    <w:rPr>
      <w:rFonts w:ascii="Arial" w:eastAsia="Times New Roman" w:hAnsi="Arial"/>
      <w:lang w:val="en-GB" w:eastAsia="en-US"/>
    </w:rPr>
  </w:style>
  <w:style w:type="paragraph" w:customStyle="1" w:styleId="B1">
    <w:name w:val="B1"/>
    <w:basedOn w:val="a8"/>
    <w:qFormat/>
  </w:style>
  <w:style w:type="paragraph" w:customStyle="1" w:styleId="B5">
    <w:name w:val="B5"/>
    <w:basedOn w:val="5"/>
    <w:qFormat/>
  </w:style>
  <w:style w:type="paragraph" w:customStyle="1" w:styleId="B6">
    <w:name w:val="B6"/>
    <w:basedOn w:val="B5"/>
    <w:qFormat/>
    <w:pPr>
      <w:overflowPunct w:val="0"/>
      <w:autoSpaceDE w:val="0"/>
      <w:autoSpaceDN w:val="0"/>
      <w:adjustRightInd w:val="0"/>
      <w:ind w:left="1985"/>
      <w:textAlignment w:val="baseline"/>
    </w:pPr>
  </w:style>
  <w:style w:type="paragraph" w:customStyle="1" w:styleId="TH">
    <w:name w:val="TH"/>
    <w:basedOn w:val="a"/>
    <w:qFormat/>
    <w:pPr>
      <w:keepNext/>
      <w:keepLines/>
      <w:spacing w:before="60"/>
      <w:jc w:val="center"/>
    </w:pPr>
    <w:rPr>
      <w:rFonts w:ascii="Arial" w:hAnsi="Arial"/>
      <w:b/>
    </w:rPr>
  </w:style>
  <w:style w:type="paragraph" w:customStyle="1" w:styleId="TF">
    <w:name w:val="TF"/>
    <w:basedOn w:val="TH"/>
    <w:qFormat/>
    <w:pPr>
      <w:keepNext w:val="0"/>
      <w:spacing w:before="0" w:after="240"/>
    </w:pPr>
  </w:style>
  <w:style w:type="paragraph" w:customStyle="1" w:styleId="B7">
    <w:name w:val="B7"/>
    <w:basedOn w:val="B6"/>
    <w:qFormat/>
    <w:pPr>
      <w:ind w:left="2269"/>
    </w:p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3GPPHeader">
    <w:name w:val="3GPP_Header"/>
    <w:basedOn w:val="a3"/>
    <w:qFormat/>
    <w:pPr>
      <w:tabs>
        <w:tab w:val="left" w:pos="1701"/>
        <w:tab w:val="right" w:pos="9639"/>
      </w:tabs>
      <w:spacing w:after="240"/>
    </w:pPr>
    <w:rPr>
      <w:rFonts w:eastAsia="宋体"/>
      <w:b/>
      <w:sz w:val="24"/>
    </w:rPr>
  </w:style>
  <w:style w:type="paragraph" w:customStyle="1" w:styleId="Doc-title">
    <w:name w:val="Doc-title"/>
    <w:basedOn w:val="a"/>
    <w:next w:val="Doc-text2"/>
    <w:qFormat/>
    <w:pPr>
      <w:spacing w:before="60"/>
      <w:ind w:left="1259" w:hanging="1259"/>
    </w:pPr>
  </w:style>
  <w:style w:type="table" w:customStyle="1" w:styleId="41">
    <w:name w:val="网格表 41"/>
    <w:basedOn w:val="a1"/>
    <w:uiPriority w:val="49"/>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b">
    <w:name w:val="Balloon Text"/>
    <w:basedOn w:val="a"/>
    <w:link w:val="Char"/>
    <w:rsid w:val="004E4AD0"/>
    <w:pPr>
      <w:spacing w:before="0" w:after="0"/>
    </w:pPr>
    <w:rPr>
      <w:sz w:val="18"/>
      <w:szCs w:val="18"/>
    </w:rPr>
  </w:style>
  <w:style w:type="character" w:customStyle="1" w:styleId="Char">
    <w:name w:val="批注框文本 Char"/>
    <w:basedOn w:val="a0"/>
    <w:link w:val="ab"/>
    <w:rsid w:val="004E4AD0"/>
    <w:rPr>
      <w:rFonts w:eastAsia="Times New Roman"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annotation text" w:qFormat="1"/>
    <w:lsdException w:name="header" w:uiPriority="99" w:unhideWhenUsed="1" w:qFormat="1"/>
    <w:lsdException w:name="footer" w:uiPriority="99" w:unhideWhenUsed="1" w:qFormat="1"/>
    <w:lsdException w:name="caption" w:semiHidden="1" w:unhideWhenUsed="1" w:qFormat="1"/>
    <w:lsdException w:name="List" w:qFormat="1"/>
    <w:lsdException w:name="List 2" w:qFormat="1"/>
    <w:lsdException w:name="List 3" w:qFormat="1"/>
    <w:lsdException w:name="List 4" w:qFormat="1"/>
    <w:lsdException w:name="List 5" w:qFormat="1"/>
    <w:lsdException w:name="Title" w:qFormat="1"/>
    <w:lsdException w:name="Default Paragraph Font" w:semiHidden="1" w:qFormat="1"/>
    <w:lsdException w:name="Body Text"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beforeLines="50" w:before="50" w:afterLines="50" w:after="50"/>
      <w:jc w:val="both"/>
    </w:pPr>
    <w:rPr>
      <w:rFonts w:eastAsia="Times New Roman" w:cstheme="minorBidi"/>
      <w:kern w:val="2"/>
      <w:szCs w:val="21"/>
    </w:rPr>
  </w:style>
  <w:style w:type="paragraph" w:styleId="1">
    <w:name w:val="heading 1"/>
    <w:basedOn w:val="a"/>
    <w:next w:val="a"/>
    <w:qFormat/>
    <w:pPr>
      <w:keepNext/>
      <w:keepLines/>
      <w:spacing w:before="340" w:after="330" w:line="578" w:lineRule="auto"/>
      <w:outlineLvl w:val="0"/>
    </w:pPr>
    <w:rPr>
      <w:rFonts w:cs="Times New Roman"/>
      <w:b/>
      <w:bCs/>
      <w:kern w:val="44"/>
      <w:sz w:val="44"/>
      <w:szCs w:val="44"/>
    </w:rPr>
  </w:style>
  <w:style w:type="paragraph" w:styleId="2">
    <w:name w:val="heading 2"/>
    <w:basedOn w:val="1"/>
    <w:next w:val="a"/>
    <w:qFormat/>
    <w:pP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style>
  <w:style w:type="paragraph" w:styleId="a4">
    <w:name w:val="annotation text"/>
    <w:basedOn w:val="a"/>
    <w:qFormat/>
  </w:style>
  <w:style w:type="paragraph" w:styleId="a5">
    <w:name w:val="footer"/>
    <w:basedOn w:val="a"/>
    <w:uiPriority w:val="99"/>
    <w:unhideWhenUsed/>
    <w:qFormat/>
    <w:pPr>
      <w:tabs>
        <w:tab w:val="center" w:pos="4153"/>
        <w:tab w:val="right" w:pos="8306"/>
      </w:tabs>
      <w:snapToGrid w:val="0"/>
      <w:jc w:val="left"/>
    </w:pPr>
    <w:rPr>
      <w:sz w:val="18"/>
      <w:szCs w:val="18"/>
    </w:rPr>
  </w:style>
  <w:style w:type="paragraph" w:styleId="a6">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uiPriority w:val="99"/>
    <w:qFormat/>
    <w:rPr>
      <w:color w:val="0000FF"/>
      <w:u w:val="single"/>
    </w:rPr>
  </w:style>
  <w:style w:type="paragraph" w:styleId="a8">
    <w:name w:val="List"/>
    <w:basedOn w:val="a"/>
    <w:qFormat/>
    <w:pPr>
      <w:ind w:left="568" w:hanging="284"/>
    </w:pPr>
  </w:style>
  <w:style w:type="paragraph" w:styleId="20">
    <w:name w:val="List 2"/>
    <w:basedOn w:val="a8"/>
    <w:qFormat/>
    <w:pPr>
      <w:ind w:left="851"/>
    </w:pPr>
  </w:style>
  <w:style w:type="paragraph" w:styleId="30">
    <w:name w:val="List 3"/>
    <w:basedOn w:val="20"/>
    <w:qFormat/>
    <w:pPr>
      <w:ind w:left="1135"/>
    </w:pPr>
  </w:style>
  <w:style w:type="paragraph" w:styleId="40">
    <w:name w:val="List 4"/>
    <w:basedOn w:val="30"/>
    <w:qFormat/>
    <w:pPr>
      <w:ind w:left="1418"/>
    </w:pPr>
  </w:style>
  <w:style w:type="paragraph" w:styleId="5">
    <w:name w:val="List 5"/>
    <w:basedOn w:val="40"/>
    <w:qFormat/>
    <w:pPr>
      <w:ind w:left="1702"/>
    </w:p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0">
    <w:name w:val="toc 1"/>
    <w:basedOn w:val="a"/>
    <w:next w:val="a"/>
    <w:uiPriority w:val="39"/>
    <w:unhideWhenUsed/>
    <w:qFormat/>
    <w:pPr>
      <w:tabs>
        <w:tab w:val="left" w:pos="1260"/>
        <w:tab w:val="right" w:leader="dot" w:pos="9346"/>
      </w:tabs>
      <w:spacing w:before="156" w:after="156"/>
    </w:pPr>
    <w:rPr>
      <w:rFonts w:cs="Times New Roman"/>
      <w:b/>
      <w:i/>
      <w:szCs w:val="20"/>
    </w:rPr>
  </w:style>
  <w:style w:type="paragraph" w:styleId="21">
    <w:name w:val="toc 2"/>
    <w:basedOn w:val="a"/>
    <w:next w:val="a"/>
    <w:uiPriority w:val="39"/>
    <w:unhideWhenUsed/>
    <w:qFormat/>
    <w:pPr>
      <w:ind w:leftChars="200" w:left="400" w:hangingChars="200" w:hanging="200"/>
    </w:pPr>
    <w:rPr>
      <w:rFonts w:cs="Times New Roman"/>
      <w:b/>
      <w:i/>
      <w:szCs w:val="20"/>
    </w:rPr>
  </w:style>
  <w:style w:type="paragraph" w:customStyle="1" w:styleId="B2">
    <w:name w:val="B2"/>
    <w:basedOn w:val="20"/>
    <w:qFormat/>
  </w:style>
  <w:style w:type="paragraph" w:customStyle="1" w:styleId="B3">
    <w:name w:val="B3"/>
    <w:basedOn w:val="30"/>
    <w:qFormat/>
  </w:style>
  <w:style w:type="paragraph" w:customStyle="1" w:styleId="B4">
    <w:name w:val="B4"/>
    <w:basedOn w:val="40"/>
    <w:qFormat/>
  </w:style>
  <w:style w:type="paragraph" w:customStyle="1" w:styleId="1st-ob-YJ">
    <w:name w:val="1st-ob-YJ"/>
    <w:basedOn w:val="1st-Proposal-YJ"/>
    <w:qFormat/>
    <w:pPr>
      <w:numPr>
        <w:numId w:val="1"/>
      </w:numPr>
    </w:pPr>
  </w:style>
  <w:style w:type="paragraph" w:customStyle="1" w:styleId="1st-Proposal-YJ">
    <w:name w:val="1st-Proposal-YJ"/>
    <w:basedOn w:val="a"/>
    <w:qFormat/>
    <w:pPr>
      <w:numPr>
        <w:numId w:val="2"/>
      </w:numPr>
      <w:snapToGrid w:val="0"/>
    </w:pPr>
    <w:rPr>
      <w:rFonts w:cs="Times New Roman"/>
      <w:b/>
      <w:i/>
      <w:szCs w:val="20"/>
    </w:rPr>
  </w:style>
  <w:style w:type="paragraph" w:styleId="aa">
    <w:name w:val="List Paragraph"/>
    <w:basedOn w:val="a"/>
    <w:uiPriority w:val="34"/>
    <w:qFormat/>
    <w:pPr>
      <w:spacing w:beforeLines="0" w:before="0" w:afterLines="0" w:after="0"/>
      <w:ind w:firstLineChars="200" w:firstLine="200"/>
    </w:pPr>
  </w:style>
  <w:style w:type="paragraph" w:customStyle="1" w:styleId="2nd-proposal-YJ">
    <w:name w:val="2nd-proposal-YJ"/>
    <w:basedOn w:val="1st-Proposal-YJ"/>
    <w:qFormat/>
    <w:pPr>
      <w:numPr>
        <w:ilvl w:val="1"/>
      </w:numPr>
      <w:adjustRightInd w:val="0"/>
    </w:pPr>
  </w:style>
  <w:style w:type="paragraph" w:customStyle="1" w:styleId="NO">
    <w:name w:val="NO"/>
    <w:basedOn w:val="a"/>
    <w:qFormat/>
    <w:pPr>
      <w:keepLines/>
      <w:ind w:left="1135" w:hanging="851"/>
      <w:textAlignment w:val="baseline"/>
    </w:pPr>
  </w:style>
  <w:style w:type="paragraph" w:customStyle="1" w:styleId="Comments">
    <w:name w:val="Comments"/>
    <w:basedOn w:val="a"/>
    <w:qFormat/>
    <w:pPr>
      <w:spacing w:before="40" w:after="0"/>
    </w:pPr>
    <w:rPr>
      <w:rFonts w:ascii="Arial" w:eastAsia="MS Mincho" w:hAnsi="Arial"/>
      <w:i/>
      <w:sz w:val="18"/>
      <w:szCs w:val="24"/>
      <w:lang w:val="en-GB" w:eastAsia="en-GB"/>
    </w:rPr>
  </w:style>
  <w:style w:type="paragraph" w:customStyle="1" w:styleId="EmailDiscussion">
    <w:name w:val="EmailDiscussion"/>
    <w:basedOn w:val="a"/>
    <w:next w:val="a"/>
    <w:qFormat/>
    <w:pPr>
      <w:numPr>
        <w:numId w:val="3"/>
      </w:numPr>
      <w:spacing w:before="40" w:after="0"/>
    </w:pPr>
    <w:rPr>
      <w:rFonts w:ascii="Arial" w:eastAsia="MS Mincho" w:hAnsi="Arial"/>
      <w:b/>
      <w:szCs w:val="24"/>
      <w:lang w:val="en-GB" w:eastAsia="en-GB"/>
    </w:rPr>
  </w:style>
  <w:style w:type="paragraph" w:customStyle="1" w:styleId="EmailDiscussion2">
    <w:name w:val="EmailDiscussion2"/>
    <w:basedOn w:val="Doc-text2"/>
    <w:qFormat/>
  </w:style>
  <w:style w:type="paragraph" w:customStyle="1" w:styleId="Doc-text2">
    <w:name w:val="Doc-text2"/>
    <w:basedOn w:val="a"/>
    <w:qFormat/>
    <w:pPr>
      <w:tabs>
        <w:tab w:val="left" w:pos="1622"/>
      </w:tabs>
      <w:spacing w:after="0"/>
      <w:ind w:left="1622" w:hanging="363"/>
    </w:pPr>
    <w:rPr>
      <w:rFonts w:ascii="Arial" w:eastAsia="MS Mincho" w:hAnsi="Arial"/>
      <w:szCs w:val="24"/>
      <w:lang w:eastAsia="en-GB"/>
    </w:rPr>
  </w:style>
  <w:style w:type="paragraph" w:customStyle="1" w:styleId="CRCoverPage">
    <w:name w:val="CR Cover Page"/>
    <w:qFormat/>
    <w:pPr>
      <w:spacing w:after="120"/>
    </w:pPr>
    <w:rPr>
      <w:rFonts w:ascii="Arial" w:eastAsia="Times New Roman" w:hAnsi="Arial"/>
      <w:lang w:val="en-GB" w:eastAsia="en-US"/>
    </w:rPr>
  </w:style>
  <w:style w:type="paragraph" w:customStyle="1" w:styleId="B1">
    <w:name w:val="B1"/>
    <w:basedOn w:val="a8"/>
    <w:qFormat/>
  </w:style>
  <w:style w:type="paragraph" w:customStyle="1" w:styleId="B5">
    <w:name w:val="B5"/>
    <w:basedOn w:val="5"/>
    <w:qFormat/>
  </w:style>
  <w:style w:type="paragraph" w:customStyle="1" w:styleId="B6">
    <w:name w:val="B6"/>
    <w:basedOn w:val="B5"/>
    <w:qFormat/>
    <w:pPr>
      <w:overflowPunct w:val="0"/>
      <w:autoSpaceDE w:val="0"/>
      <w:autoSpaceDN w:val="0"/>
      <w:adjustRightInd w:val="0"/>
      <w:ind w:left="1985"/>
      <w:textAlignment w:val="baseline"/>
    </w:pPr>
  </w:style>
  <w:style w:type="paragraph" w:customStyle="1" w:styleId="TH">
    <w:name w:val="TH"/>
    <w:basedOn w:val="a"/>
    <w:qFormat/>
    <w:pPr>
      <w:keepNext/>
      <w:keepLines/>
      <w:spacing w:before="60"/>
      <w:jc w:val="center"/>
    </w:pPr>
    <w:rPr>
      <w:rFonts w:ascii="Arial" w:hAnsi="Arial"/>
      <w:b/>
    </w:rPr>
  </w:style>
  <w:style w:type="paragraph" w:customStyle="1" w:styleId="TF">
    <w:name w:val="TF"/>
    <w:basedOn w:val="TH"/>
    <w:qFormat/>
    <w:pPr>
      <w:keepNext w:val="0"/>
      <w:spacing w:before="0" w:after="240"/>
    </w:pPr>
  </w:style>
  <w:style w:type="paragraph" w:customStyle="1" w:styleId="B7">
    <w:name w:val="B7"/>
    <w:basedOn w:val="B6"/>
    <w:qFormat/>
    <w:pPr>
      <w:ind w:left="2269"/>
    </w:p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3GPPHeader">
    <w:name w:val="3GPP_Header"/>
    <w:basedOn w:val="a3"/>
    <w:qFormat/>
    <w:pPr>
      <w:tabs>
        <w:tab w:val="left" w:pos="1701"/>
        <w:tab w:val="right" w:pos="9639"/>
      </w:tabs>
      <w:spacing w:after="240"/>
    </w:pPr>
    <w:rPr>
      <w:rFonts w:eastAsia="宋体"/>
      <w:b/>
      <w:sz w:val="24"/>
    </w:rPr>
  </w:style>
  <w:style w:type="paragraph" w:customStyle="1" w:styleId="Doc-title">
    <w:name w:val="Doc-title"/>
    <w:basedOn w:val="a"/>
    <w:next w:val="Doc-text2"/>
    <w:qFormat/>
    <w:pPr>
      <w:spacing w:before="60"/>
      <w:ind w:left="1259" w:hanging="1259"/>
    </w:pPr>
  </w:style>
  <w:style w:type="table" w:customStyle="1" w:styleId="41">
    <w:name w:val="网格表 41"/>
    <w:basedOn w:val="a1"/>
    <w:uiPriority w:val="49"/>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b">
    <w:name w:val="Balloon Text"/>
    <w:basedOn w:val="a"/>
    <w:link w:val="Char"/>
    <w:rsid w:val="004E4AD0"/>
    <w:pPr>
      <w:spacing w:before="0" w:after="0"/>
    </w:pPr>
    <w:rPr>
      <w:sz w:val="18"/>
      <w:szCs w:val="18"/>
    </w:rPr>
  </w:style>
  <w:style w:type="character" w:customStyle="1" w:styleId="Char">
    <w:name w:val="批注框文本 Char"/>
    <w:basedOn w:val="a0"/>
    <w:link w:val="ab"/>
    <w:rsid w:val="004E4AD0"/>
    <w:rPr>
      <w:rFonts w:eastAsia="Times New Roman"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file:///C:\Data\3GPP\Extracts\R2-2506990%20Correction%20on%20eventD2%20with%20multiple%20moving%20reference%20locations_CSCN.docx"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1081</Words>
  <Characters>6166</Characters>
  <Application>Microsoft Office Word</Application>
  <DocSecurity>0</DocSecurity>
  <Lines>51</Lines>
  <Paragraphs>14</Paragraphs>
  <ScaleCrop>false</ScaleCrop>
  <Company/>
  <LinksUpToDate>false</LinksUpToDate>
  <CharactersWithSpaces>7233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wangyingying (CSCN)</dc:creator>
  <cp:lastModifiedBy>王达</cp:lastModifiedBy>
  <cp:revision>3</cp:revision>
  <dcterms:created xsi:type="dcterms:W3CDTF">2025-10-16T07:59:00Z</dcterms:created>
  <dcterms:modified xsi:type="dcterms:W3CDTF">2025-10-16T08:13:00Z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1033-12.1.22226.22226</vt:lpwstr>
  </property>
  <property fmtid="{D5CDD505-2E9C-101B-9397-08002B2CF9AE}" pid="3" name="ICV">
    <vt:lpwstr>EF39373F8441488C867100C420B44B18_11</vt:lpwstr>
  </property>
  <property fmtid="{D5CDD505-2E9C-101B-9397-08002B2CF9AE}" pid="4" name="CWMe16448b0aa6511f080001b2800001b28">
    <vt:lpwstr>CWMXDA+uA3FgKPHqOzRnMHV9rPBzj3zdHBxJE36yQ2Gs6yjU8JvVkFlp5GRRbeCNbi1z1EAYOHf8AMFVpMG5yxzwg==</vt:lpwstr>
  </property>
</Properties>
</file>