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sidRPr="001015A6">
        <w:rPr>
          <w:rFonts w:ascii="Arial" w:hAnsi="Arial" w:cs="Arial"/>
          <w:b/>
          <w:bCs/>
        </w:rPr>
        <w:t>Bengaluru, India, Aug 25</w:t>
      </w:r>
      <w:r w:rsidRPr="001015A6">
        <w:rPr>
          <w:rFonts w:ascii="Arial" w:hAnsi="Arial" w:cs="Arial" w:hint="eastAsia"/>
          <w:b/>
          <w:bCs/>
          <w:vertAlign w:val="superscript"/>
        </w:rPr>
        <w:t>th</w:t>
      </w:r>
      <w:r w:rsidRPr="001015A6">
        <w:rPr>
          <w:rFonts w:ascii="Arial" w:hAnsi="Arial" w:cs="Arial"/>
          <w:b/>
          <w:bCs/>
        </w:rPr>
        <w:t xml:space="preserve"> – 29</w:t>
      </w:r>
      <w:r w:rsidRPr="001015A6">
        <w:rPr>
          <w:rFonts w:ascii="Arial" w:hAnsi="Arial" w:cs="Arial"/>
          <w:b/>
          <w:bCs/>
          <w:vertAlign w:val="superscript"/>
        </w:rPr>
        <w:t>th</w:t>
      </w:r>
      <w:r w:rsidRPr="001015A6">
        <w:rPr>
          <w:rFonts w:ascii="Arial" w:hAnsi="Arial" w:cs="Arial"/>
          <w:b/>
          <w:bCs/>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Heading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BodyText"/>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Heading2"/>
        <w:rPr>
          <w:rFonts w:eastAsiaTheme="minorEastAsia"/>
          <w:lang w:eastAsia="zh-CN"/>
        </w:rPr>
      </w:pPr>
      <w:r>
        <w:t>Companies’ inputs</w:t>
      </w:r>
    </w:p>
    <w:p w14:paraId="513FA918" w14:textId="77777777" w:rsidR="00EB2A3C" w:rsidRDefault="00000000">
      <w:pPr>
        <w:rPr>
          <w:sz w:val="20"/>
          <w:szCs w:val="20"/>
        </w:rPr>
      </w:pPr>
      <w:hyperlink r:id="rId11" w:history="1">
        <w:r w:rsidR="00730C6A">
          <w:rPr>
            <w:rStyle w:val="Hyperlink"/>
            <w:sz w:val="20"/>
            <w:szCs w:val="20"/>
          </w:rPr>
          <w:t>R1-2505440</w:t>
        </w:r>
      </w:hyperlink>
      <w:r w:rsidR="00730C6A">
        <w:rPr>
          <w:sz w:val="20"/>
          <w:szCs w:val="20"/>
        </w:rPr>
        <w:tab/>
        <w:t>Text proposals for Rel-19 Multi-carrier enhancements</w:t>
      </w:r>
      <w:r w:rsidR="00730C6A">
        <w:rPr>
          <w:sz w:val="20"/>
          <w:szCs w:val="20"/>
        </w:rPr>
        <w:tab/>
        <w:t>Xiaomi</w:t>
      </w:r>
    </w:p>
    <w:p w14:paraId="1246D683" w14:textId="77777777" w:rsidR="00EB2A3C" w:rsidRDefault="00EB2A3C">
      <w:pPr>
        <w:rPr>
          <w:rFonts w:eastAsiaTheme="minorEastAsia"/>
        </w:rPr>
      </w:pPr>
    </w:p>
    <w:tbl>
      <w:tblPr>
        <w:tblStyle w:val="TableGrid"/>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22.7pt" o:ole="">
            <v:imagedata r:id="rId12" o:title=""/>
          </v:shape>
          <o:OLEObject Type="Embed" ProgID="Equation.DSMT4" ShapeID="_x0000_i1025" DrawAspect="Content" ObjectID="_1817645219"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85pt;height:13.85pt" o:ole="">
            <v:imagedata r:id="rId14" o:title=""/>
          </v:shape>
          <o:OLEObject Type="Embed" ProgID="Equation.3" ShapeID="_x0000_i1026" DrawAspect="Content" ObjectID="_1817645220" r:id="rId15"/>
        </w:object>
      </w:r>
      <w:r>
        <w:rPr>
          <w:sz w:val="20"/>
          <w:szCs w:val="20"/>
          <w:lang w:val="en-GB" w:eastAsia="en-US"/>
        </w:rPr>
        <w:t xml:space="preserve"> are the corresponding list entries of the higher layer parameter</w:t>
      </w:r>
    </w:p>
    <w:p w14:paraId="3F8EB5A7" w14:textId="77777777" w:rsidR="00EB2A3C" w:rsidRDefault="00730C6A">
      <w:pPr>
        <w:pStyle w:val="BodyText"/>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BodyText"/>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000000">
      <w:pPr>
        <w:rPr>
          <w:sz w:val="20"/>
          <w:szCs w:val="20"/>
        </w:rPr>
      </w:pPr>
      <w:hyperlink r:id="rId16" w:history="1">
        <w:r w:rsidR="00730C6A">
          <w:rPr>
            <w:rStyle w:val="Hyperlink"/>
            <w:sz w:val="20"/>
            <w:szCs w:val="20"/>
          </w:rPr>
          <w:t>R1-2505724</w:t>
        </w:r>
      </w:hyperlink>
      <w:r w:rsidR="00730C6A">
        <w:rPr>
          <w:sz w:val="20"/>
          <w:szCs w:val="20"/>
        </w:rPr>
        <w:tab/>
        <w:t>Maintenance on multi-cell scheduling with a single DCI</w:t>
      </w:r>
      <w:r w:rsidR="00730C6A">
        <w:rPr>
          <w:sz w:val="20"/>
          <w:szCs w:val="20"/>
        </w:rPr>
        <w:tab/>
        <w:t>OPPO</w:t>
      </w:r>
    </w:p>
    <w:tbl>
      <w:tblPr>
        <w:tblStyle w:val="TableGrid"/>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BodyText"/>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BodyText"/>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BodyText"/>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BodyText"/>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Heading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Heading2"/>
      </w:pPr>
      <w:r>
        <w:t>1</w:t>
      </w:r>
      <w:r>
        <w:rPr>
          <w:vertAlign w:val="superscript"/>
        </w:rPr>
        <w:t>st</w:t>
      </w:r>
      <w:r>
        <w:t xml:space="preserve"> round of discussions</w:t>
      </w:r>
    </w:p>
    <w:p w14:paraId="3B03B22F" w14:textId="77777777" w:rsidR="00EB2A3C" w:rsidRDefault="00730C6A">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TableGrid"/>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BodyText"/>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Spreadtrum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already capture this agreement in the LS sent to RAN2. So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TableGrid"/>
              <w:tblW w:w="7325" w:type="dxa"/>
              <w:tblInd w:w="3" w:type="dxa"/>
              <w:tblLayout w:type="fixed"/>
              <w:tblLook w:val="04A0" w:firstRow="1" w:lastRow="0" w:firstColumn="1" w:lastColumn="0" w:noHBand="0" w:noVBand="1"/>
            </w:tblPr>
            <w:tblGrid>
              <w:gridCol w:w="7325"/>
            </w:tblGrid>
            <w:tr w:rsidR="00A73D96" w:rsidRPr="003941B6" w14:paraId="23FD032D" w14:textId="77777777" w:rsidTr="005957D1">
              <w:trPr>
                <w:trHeight w:val="4652"/>
              </w:trPr>
              <w:tc>
                <w:tcPr>
                  <w:tcW w:w="7325" w:type="dxa"/>
                </w:tcPr>
                <w:p w14:paraId="09F72CCC"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6.1.2.1</w:t>
                  </w:r>
                  <w:r w:rsidRPr="003941B6">
                    <w:rPr>
                      <w:rFonts w:eastAsiaTheme="minorEastAsia"/>
                      <w:sz w:val="18"/>
                      <w:szCs w:val="15"/>
                    </w:rPr>
                    <w:tab/>
                    <w:t>Resource allocation in time domain</w:t>
                  </w:r>
                </w:p>
                <w:p w14:paraId="6A7E4122" w14:textId="77777777" w:rsidR="00A73D96" w:rsidRPr="003941B6" w:rsidRDefault="00A73D96" w:rsidP="003941B6">
                  <w:pPr>
                    <w:pStyle w:val="BodyText"/>
                    <w:wordWrap/>
                    <w:jc w:val="center"/>
                    <w:rPr>
                      <w:rFonts w:eastAsiaTheme="minorEastAsia"/>
                      <w:sz w:val="18"/>
                      <w:szCs w:val="15"/>
                    </w:rPr>
                  </w:pPr>
                  <w:r w:rsidRPr="003941B6">
                    <w:rPr>
                      <w:b/>
                      <w:iCs/>
                      <w:color w:val="FF0000"/>
                      <w:sz w:val="18"/>
                      <w:szCs w:val="15"/>
                    </w:rPr>
                    <w:t>&lt;Unchanged parts are omitted&gt;</w:t>
                  </w:r>
                </w:p>
                <w:p w14:paraId="0895A9F2"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in which one or more rows contain multiple SLIVs for PUSCH on a UL BWP of a serving cell, the UE does not apply </w:t>
                  </w:r>
                  <w:r w:rsidRPr="003941B6">
                    <w:rPr>
                      <w:rFonts w:eastAsiaTheme="minorEastAsia"/>
                      <w:i/>
                      <w:sz w:val="18"/>
                      <w:szCs w:val="15"/>
                    </w:rPr>
                    <w:t>pusch-AggregationFactor</w:t>
                  </w:r>
                  <w:r w:rsidRPr="003941B6">
                    <w:rPr>
                      <w:rFonts w:eastAsiaTheme="minorEastAsia"/>
                      <w:sz w:val="18"/>
                      <w:szCs w:val="15"/>
                    </w:rPr>
                    <w:t xml:space="preserve">, if configured, to DCI format 0_1 on the UL BWP of the serving cell and the UE does not expect to be configured with </w:t>
                  </w:r>
                  <w:r w:rsidRPr="003941B6">
                    <w:rPr>
                      <w:rFonts w:eastAsiaTheme="minorEastAsia"/>
                      <w:i/>
                      <w:sz w:val="18"/>
                      <w:szCs w:val="15"/>
                    </w:rPr>
                    <w:t>numberOfRepetitions</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the UE does not apply </w:t>
                  </w:r>
                  <w:r w:rsidRPr="003941B6">
                    <w:rPr>
                      <w:rFonts w:eastAsiaTheme="minorEastAsia"/>
                      <w:i/>
                      <w:sz w:val="18"/>
                      <w:szCs w:val="15"/>
                    </w:rPr>
                    <w:t>pusch-AggregationFactor</w:t>
                  </w:r>
                  <w:r w:rsidRPr="003941B6">
                    <w:rPr>
                      <w:rFonts w:eastAsiaTheme="minorEastAsia"/>
                      <w:sz w:val="18"/>
                      <w:szCs w:val="15"/>
                    </w:rPr>
                    <w:t xml:space="preserve">, if configured, to DCI format 0_3 on the UL BWP of the serving cell and the UE does not expect to be configured with </w:t>
                  </w:r>
                  <w:r w:rsidRPr="003941B6">
                    <w:rPr>
                      <w:rFonts w:eastAsiaTheme="minorEastAsia"/>
                      <w:i/>
                      <w:sz w:val="18"/>
                      <w:szCs w:val="15"/>
                    </w:rPr>
                    <w:t>numberOfRepetitions</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w:t>
                  </w:r>
                </w:p>
                <w:p w14:paraId="70A54E4D"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or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3941B6" w:rsidRDefault="00A73D96" w:rsidP="003941B6">
                  <w:pPr>
                    <w:pStyle w:val="BodyText"/>
                    <w:wordWrap/>
                    <w:rPr>
                      <w:rFonts w:eastAsia="等线"/>
                      <w:color w:val="C00000"/>
                      <w:sz w:val="18"/>
                      <w:szCs w:val="15"/>
                      <w:u w:val="single"/>
                      <w:lang w:eastAsia="en-GB"/>
                    </w:rPr>
                  </w:pPr>
                  <w:r w:rsidRPr="003941B6">
                    <w:rPr>
                      <w:rFonts w:eastAsiaTheme="minorEastAsia"/>
                      <w:color w:val="C00000"/>
                      <w:sz w:val="18"/>
                      <w:szCs w:val="15"/>
                      <w:u w:val="single"/>
                    </w:rPr>
                    <w:t xml:space="preserve">If a UE is configured with </w:t>
                  </w:r>
                  <w:r w:rsidRPr="003941B6">
                    <w:rPr>
                      <w:rFonts w:eastAsiaTheme="minorEastAsia"/>
                      <w:i/>
                      <w:color w:val="C00000"/>
                      <w:sz w:val="18"/>
                      <w:szCs w:val="15"/>
                      <w:u w:val="single"/>
                    </w:rPr>
                    <w:t>pusch-TimeDomainAllocationListForMultiPUSCH</w:t>
                  </w:r>
                  <w:r w:rsidRPr="003941B6">
                    <w:rPr>
                      <w:rFonts w:eastAsiaTheme="minorEastAsia"/>
                      <w:color w:val="C00000"/>
                      <w:sz w:val="18"/>
                      <w:szCs w:val="15"/>
                      <w:u w:val="single"/>
                    </w:rPr>
                    <w:t xml:space="preserve"> in which one or more rows contain multiple SLIVs for PUSCH on a UL BWP of a serving cell within a PUCCH group, the UE does not expect to be configured with </w:t>
                  </w:r>
                  <w:r w:rsidRPr="003941B6">
                    <w:rPr>
                      <w:rFonts w:eastAsiaTheme="minorEastAsia" w:hint="eastAsia"/>
                      <w:color w:val="C00000"/>
                      <w:sz w:val="18"/>
                      <w:szCs w:val="15"/>
                      <w:u w:val="single"/>
                    </w:rPr>
                    <w:t>higher</w:t>
                  </w:r>
                  <w:r w:rsidRPr="003941B6">
                    <w:rPr>
                      <w:rFonts w:eastAsiaTheme="minorEastAsia"/>
                      <w:color w:val="C00000"/>
                      <w:sz w:val="18"/>
                      <w:szCs w:val="15"/>
                      <w:u w:val="single"/>
                    </w:rPr>
                    <w:t xml:space="preserve"> </w:t>
                  </w:r>
                  <w:r w:rsidRPr="003941B6">
                    <w:rPr>
                      <w:rFonts w:eastAsia="等线"/>
                      <w:color w:val="C00000"/>
                      <w:sz w:val="18"/>
                      <w:szCs w:val="15"/>
                      <w:u w:val="single"/>
                      <w:lang w:val="x-none" w:eastAsia="en-GB"/>
                    </w:rPr>
                    <w:t>layer parameter</w:t>
                  </w:r>
                  <w:r w:rsidRPr="003941B6">
                    <w:rPr>
                      <w:rFonts w:eastAsia="等线"/>
                      <w:color w:val="C00000"/>
                      <w:sz w:val="18"/>
                      <w:szCs w:val="15"/>
                      <w:u w:val="single"/>
                      <w:lang w:eastAsia="en-GB"/>
                    </w:rPr>
                    <w:t xml:space="preserve"> </w:t>
                  </w:r>
                  <w:r w:rsidRPr="003941B6">
                    <w:rPr>
                      <w:rFonts w:eastAsia="等线"/>
                      <w:i/>
                      <w:color w:val="C00000"/>
                      <w:sz w:val="18"/>
                      <w:szCs w:val="15"/>
                      <w:u w:val="single"/>
                    </w:rPr>
                    <w:t>ScheduledCellListDCI-0-3</w:t>
                  </w:r>
                  <w:r w:rsidRPr="003941B6">
                    <w:rPr>
                      <w:rFonts w:eastAsia="等线"/>
                      <w:color w:val="C00000"/>
                      <w:sz w:val="18"/>
                      <w:szCs w:val="15"/>
                      <w:u w:val="single"/>
                      <w:lang w:val="x-none" w:eastAsia="en-GB"/>
                    </w:rPr>
                    <w:t xml:space="preserve"> including any serving cell</w:t>
                  </w:r>
                  <w:r w:rsidRPr="003941B6">
                    <w:rPr>
                      <w:rFonts w:eastAsia="等线"/>
                      <w:color w:val="C00000"/>
                      <w:sz w:val="18"/>
                      <w:szCs w:val="15"/>
                      <w:u w:val="single"/>
                      <w:lang w:eastAsia="en-GB"/>
                    </w:rPr>
                    <w:t xml:space="preserve"> configured with </w:t>
                  </w:r>
                  <w:r w:rsidRPr="003941B6">
                    <w:rPr>
                      <w:rFonts w:eastAsiaTheme="minorEastAsia"/>
                      <w:i/>
                      <w:color w:val="C00000"/>
                      <w:sz w:val="18"/>
                      <w:szCs w:val="15"/>
                      <w:u w:val="single"/>
                    </w:rPr>
                    <w:t>pusch-TimeDomainAllocationListForMultiPUSCH-DCI-0-3</w:t>
                  </w:r>
                  <w:r w:rsidRPr="003941B6">
                    <w:rPr>
                      <w:rFonts w:eastAsia="等线"/>
                      <w:color w:val="C00000"/>
                      <w:sz w:val="18"/>
                      <w:szCs w:val="15"/>
                      <w:u w:val="single"/>
                      <w:lang w:val="x-none" w:eastAsia="en-GB"/>
                    </w:rPr>
                    <w:t xml:space="preserve"> </w:t>
                  </w:r>
                  <w:r w:rsidRPr="003941B6">
                    <w:rPr>
                      <w:rFonts w:eastAsia="等线"/>
                      <w:color w:val="C00000"/>
                      <w:sz w:val="18"/>
                      <w:szCs w:val="15"/>
                      <w:u w:val="single"/>
                      <w:lang w:eastAsia="en-GB"/>
                    </w:rPr>
                    <w:t>on any serving cell within the PUCCH group.</w:t>
                  </w:r>
                </w:p>
                <w:p w14:paraId="43C62818" w14:textId="77777777" w:rsidR="00A73D96" w:rsidRPr="003941B6" w:rsidRDefault="00A73D96" w:rsidP="003941B6">
                  <w:pPr>
                    <w:pStyle w:val="BodyText"/>
                    <w:wordWrap/>
                    <w:jc w:val="center"/>
                    <w:rPr>
                      <w:rFonts w:eastAsiaTheme="minorEastAsia"/>
                      <w:sz w:val="18"/>
                      <w:szCs w:val="15"/>
                      <w:u w:val="single"/>
                    </w:rPr>
                  </w:pPr>
                  <w:r w:rsidRPr="003941B6">
                    <w:rPr>
                      <w:b/>
                      <w:iCs/>
                      <w:color w:val="FF0000"/>
                      <w:sz w:val="18"/>
                      <w:szCs w:val="15"/>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2F80549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22F212AB" w14:textId="6322E32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OK</w:t>
            </w: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009ED478" w:rsidR="00A73D96" w:rsidRPr="00901459" w:rsidRDefault="00901459" w:rsidP="00A73D96">
            <w:pPr>
              <w:wordWrap/>
              <w:jc w:val="left"/>
              <w:rPr>
                <w:rFonts w:eastAsiaTheme="minorEastAsia" w:hint="eastAsia"/>
                <w:bCs/>
                <w:sz w:val="20"/>
                <w:szCs w:val="20"/>
              </w:rPr>
            </w:pPr>
            <w:r>
              <w:rPr>
                <w:rFonts w:eastAsiaTheme="minorEastAsia" w:hint="eastAsia"/>
                <w:bCs/>
                <w:sz w:val="20"/>
                <w:szCs w:val="20"/>
              </w:rPr>
              <w:t>Moderator</w:t>
            </w:r>
          </w:p>
        </w:tc>
        <w:tc>
          <w:tcPr>
            <w:tcW w:w="7353" w:type="dxa"/>
            <w:tcBorders>
              <w:top w:val="single" w:sz="4" w:space="0" w:color="auto"/>
              <w:left w:val="single" w:sz="4" w:space="0" w:color="auto"/>
              <w:bottom w:val="single" w:sz="4" w:space="0" w:color="auto"/>
              <w:right w:val="single" w:sz="4" w:space="0" w:color="auto"/>
            </w:tcBorders>
          </w:tcPr>
          <w:p w14:paraId="0B220835" w14:textId="77777777" w:rsidR="00A73D96" w:rsidRDefault="00901459" w:rsidP="00A73D96">
            <w:pPr>
              <w:wordWrap/>
              <w:jc w:val="left"/>
              <w:rPr>
                <w:rFonts w:eastAsiaTheme="minorEastAsia"/>
                <w:bCs/>
                <w:sz w:val="20"/>
                <w:szCs w:val="20"/>
              </w:rPr>
            </w:pPr>
            <w:r>
              <w:rPr>
                <w:rFonts w:eastAsiaTheme="minorEastAsia" w:hint="eastAsia"/>
                <w:bCs/>
                <w:sz w:val="20"/>
                <w:szCs w:val="20"/>
              </w:rPr>
              <w:t>@Spreadtrum @Nokia:</w:t>
            </w:r>
          </w:p>
          <w:p w14:paraId="78CA7C66" w14:textId="4A966B25" w:rsidR="00901459" w:rsidRDefault="00901459" w:rsidP="00A73D96">
            <w:pPr>
              <w:wordWrap/>
              <w:jc w:val="left"/>
              <w:rPr>
                <w:rFonts w:eastAsiaTheme="minorEastAsia"/>
                <w:bCs/>
                <w:sz w:val="20"/>
                <w:szCs w:val="20"/>
              </w:rPr>
            </w:pPr>
            <w:r>
              <w:rPr>
                <w:rFonts w:eastAsiaTheme="minorEastAsia" w:hint="eastAsia"/>
                <w:bCs/>
                <w:sz w:val="20"/>
                <w:szCs w:val="20"/>
              </w:rPr>
              <w:t>In Rel-18, we don</w:t>
            </w:r>
            <w:r>
              <w:rPr>
                <w:rFonts w:eastAsiaTheme="minorEastAsia"/>
                <w:bCs/>
                <w:sz w:val="20"/>
                <w:szCs w:val="20"/>
              </w:rPr>
              <w:t>’</w:t>
            </w:r>
            <w:r>
              <w:rPr>
                <w:rFonts w:eastAsiaTheme="minorEastAsia" w:hint="eastAsia"/>
                <w:bCs/>
                <w:sz w:val="20"/>
                <w:szCs w:val="20"/>
              </w:rPr>
              <w:t xml:space="preserve">t have agreement to exclude the simultaneous configuration of both </w:t>
            </w:r>
            <w:r w:rsidRPr="00901459">
              <w:rPr>
                <w:rFonts w:eastAsiaTheme="minorEastAsia"/>
                <w:bCs/>
                <w:sz w:val="20"/>
                <w:szCs w:val="20"/>
              </w:rPr>
              <w:t xml:space="preserve">single-cell multi-PUSCH scheduling and multi-cell single-PUSCH scheduling </w:t>
            </w:r>
            <w:r>
              <w:rPr>
                <w:rFonts w:eastAsiaTheme="minorEastAsia" w:hint="eastAsia"/>
                <w:bCs/>
                <w:sz w:val="20"/>
                <w:szCs w:val="20"/>
              </w:rPr>
              <w:t>in one PUCCH group</w:t>
            </w:r>
            <w:r w:rsidRPr="00901459">
              <w:rPr>
                <w:rFonts w:eastAsiaTheme="minorEastAsia"/>
                <w:bCs/>
                <w:sz w:val="20"/>
                <w:szCs w:val="20"/>
              </w:rPr>
              <w:t>.</w:t>
            </w:r>
            <w:r>
              <w:rPr>
                <w:rFonts w:eastAsiaTheme="minorEastAsia" w:hint="eastAsia"/>
                <w:bCs/>
                <w:sz w:val="20"/>
                <w:szCs w:val="20"/>
              </w:rPr>
              <w:t xml:space="preserve"> This is the reason why Rel-18 TS38.214 has not captured such restriction.</w:t>
            </w:r>
          </w:p>
          <w:p w14:paraId="7D9E2F08" w14:textId="77777777" w:rsidR="00901459" w:rsidRDefault="00901459" w:rsidP="00A73D96">
            <w:pPr>
              <w:wordWrap/>
              <w:jc w:val="left"/>
              <w:rPr>
                <w:rFonts w:eastAsiaTheme="minorEastAsia"/>
                <w:bCs/>
                <w:sz w:val="20"/>
                <w:szCs w:val="20"/>
              </w:rPr>
            </w:pPr>
          </w:p>
          <w:p w14:paraId="29DD3A26" w14:textId="77777777" w:rsidR="00901459" w:rsidRDefault="00901459" w:rsidP="00A73D96">
            <w:pPr>
              <w:wordWrap/>
              <w:jc w:val="left"/>
              <w:rPr>
                <w:rFonts w:eastAsiaTheme="minorEastAsia"/>
                <w:bCs/>
                <w:sz w:val="20"/>
                <w:szCs w:val="20"/>
              </w:rPr>
            </w:pPr>
            <w:r>
              <w:rPr>
                <w:rFonts w:eastAsiaTheme="minorEastAsia" w:hint="eastAsia"/>
                <w:bCs/>
                <w:sz w:val="20"/>
                <w:szCs w:val="20"/>
              </w:rPr>
              <w:t xml:space="preserve">In Rel-19, due to quite limited TU for Rel-19 MCE, the </w:t>
            </w:r>
            <w:r>
              <w:rPr>
                <w:rFonts w:eastAsiaTheme="minorEastAsia"/>
                <w:bCs/>
                <w:sz w:val="20"/>
                <w:szCs w:val="20"/>
              </w:rPr>
              <w:t>restriction</w:t>
            </w:r>
            <w:r>
              <w:rPr>
                <w:rFonts w:eastAsiaTheme="minorEastAsia" w:hint="eastAsia"/>
                <w:bCs/>
                <w:sz w:val="20"/>
                <w:szCs w:val="20"/>
              </w:rPr>
              <w:t xml:space="preserve"> of </w:t>
            </w:r>
            <w:r>
              <w:rPr>
                <w:rFonts w:eastAsiaTheme="minorEastAsia"/>
                <w:bCs/>
                <w:sz w:val="20"/>
                <w:szCs w:val="20"/>
              </w:rPr>
              <w:t>“</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hint="eastAsia"/>
                <w:bCs/>
                <w:sz w:val="20"/>
                <w:szCs w:val="20"/>
              </w:rPr>
              <w:t xml:space="preserve"> is added as one note in the Rel-19 WID in order to avoid any complicated design to delay the progress. The motivation of the TP is to capture this restriction in spec.</w:t>
            </w:r>
          </w:p>
          <w:p w14:paraId="25290CBE" w14:textId="77777777" w:rsidR="00901459" w:rsidRDefault="00901459" w:rsidP="00A73D96">
            <w:pPr>
              <w:wordWrap/>
              <w:jc w:val="left"/>
              <w:rPr>
                <w:rFonts w:eastAsiaTheme="minorEastAsia"/>
                <w:bCs/>
                <w:sz w:val="20"/>
                <w:szCs w:val="20"/>
              </w:rPr>
            </w:pPr>
          </w:p>
          <w:p w14:paraId="311D5FBB" w14:textId="77777777" w:rsidR="00901459" w:rsidRDefault="00901459" w:rsidP="00A73D96">
            <w:pPr>
              <w:wordWrap/>
              <w:jc w:val="left"/>
              <w:rPr>
                <w:rFonts w:eastAsiaTheme="minorEastAsia"/>
                <w:bCs/>
                <w:sz w:val="20"/>
                <w:szCs w:val="20"/>
              </w:rPr>
            </w:pPr>
            <w:r>
              <w:rPr>
                <w:rFonts w:eastAsiaTheme="minorEastAsia" w:hint="eastAsia"/>
                <w:bCs/>
                <w:sz w:val="20"/>
                <w:szCs w:val="20"/>
              </w:rPr>
              <w:t>@vivo:</w:t>
            </w:r>
          </w:p>
          <w:p w14:paraId="608A83CB" w14:textId="77777777" w:rsidR="00901459" w:rsidRDefault="00901459" w:rsidP="00A73D96">
            <w:pPr>
              <w:wordWrap/>
              <w:jc w:val="left"/>
              <w:rPr>
                <w:rFonts w:eastAsiaTheme="minorEastAsia"/>
                <w:bCs/>
                <w:sz w:val="20"/>
                <w:szCs w:val="20"/>
              </w:rPr>
            </w:pPr>
            <w:r>
              <w:rPr>
                <w:rFonts w:eastAsiaTheme="minorEastAsia" w:hint="eastAsia"/>
                <w:bCs/>
                <w:sz w:val="20"/>
                <w:szCs w:val="20"/>
              </w:rPr>
              <w:t>In the LS to RAN2, we add the note of the restriction in the excel sheet. However, I am not quite sure whether RAN2 will add this restriction in TS38.331. If they do it, then RAN1 will not need to repeat the restriction.</w:t>
            </w:r>
          </w:p>
          <w:p w14:paraId="354BB8BD" w14:textId="77777777" w:rsidR="00901459" w:rsidRDefault="00901459" w:rsidP="00A73D96">
            <w:pPr>
              <w:wordWrap/>
              <w:jc w:val="left"/>
              <w:rPr>
                <w:rFonts w:eastAsiaTheme="minorEastAsia"/>
                <w:bCs/>
                <w:sz w:val="20"/>
                <w:szCs w:val="20"/>
              </w:rPr>
            </w:pPr>
          </w:p>
          <w:p w14:paraId="1C4E3172" w14:textId="77777777" w:rsidR="00901459" w:rsidRDefault="00901459" w:rsidP="00A73D96">
            <w:pPr>
              <w:wordWrap/>
              <w:jc w:val="left"/>
              <w:rPr>
                <w:rFonts w:eastAsiaTheme="minorEastAsia"/>
                <w:bCs/>
                <w:sz w:val="20"/>
                <w:szCs w:val="20"/>
              </w:rPr>
            </w:pPr>
            <w:r>
              <w:rPr>
                <w:rFonts w:eastAsiaTheme="minorEastAsia" w:hint="eastAsia"/>
                <w:bCs/>
                <w:sz w:val="20"/>
                <w:szCs w:val="20"/>
              </w:rPr>
              <w:t>@OPPO:</w:t>
            </w:r>
          </w:p>
          <w:p w14:paraId="482F6C61" w14:textId="7158C209" w:rsidR="00901459" w:rsidRPr="00901459" w:rsidRDefault="00473CA3" w:rsidP="00A73D96">
            <w:pPr>
              <w:wordWrap/>
              <w:jc w:val="left"/>
              <w:rPr>
                <w:rFonts w:eastAsiaTheme="minorEastAsia" w:hint="eastAsia"/>
                <w:bCs/>
                <w:sz w:val="20"/>
                <w:szCs w:val="20"/>
              </w:rPr>
            </w:pPr>
            <w:r>
              <w:rPr>
                <w:rFonts w:eastAsiaTheme="minorEastAsia" w:hint="eastAsia"/>
                <w:bCs/>
                <w:sz w:val="20"/>
                <w:szCs w:val="20"/>
              </w:rPr>
              <w:t xml:space="preserve">I think the first step is to capture this restriction to Rel-19 spec. Whether to add </w:t>
            </w:r>
            <w:r w:rsidR="00962C79">
              <w:rPr>
                <w:rFonts w:eastAsiaTheme="minorEastAsia" w:hint="eastAsia"/>
                <w:bCs/>
                <w:sz w:val="20"/>
                <w:szCs w:val="20"/>
              </w:rPr>
              <w:t xml:space="preserve">or avoid </w:t>
            </w:r>
            <w:r>
              <w:rPr>
                <w:rFonts w:eastAsiaTheme="minorEastAsia" w:hint="eastAsia"/>
                <w:bCs/>
                <w:sz w:val="20"/>
                <w:szCs w:val="20"/>
              </w:rPr>
              <w:t>this restriction to Rel-18 can be next step work. In addition, your proposed wording is a bit redundant</w:t>
            </w:r>
            <w:r w:rsidR="00962C79">
              <w:rPr>
                <w:rFonts w:eastAsiaTheme="minorEastAsia" w:hint="eastAsia"/>
                <w:bCs/>
                <w:sz w:val="20"/>
                <w:szCs w:val="20"/>
              </w:rPr>
              <w:t xml:space="preserve"> to me</w:t>
            </w:r>
            <w:r>
              <w:rPr>
                <w:rFonts w:eastAsiaTheme="minorEastAsia" w:hint="eastAsia"/>
                <w:bCs/>
                <w:sz w:val="20"/>
                <w:szCs w:val="20"/>
              </w:rPr>
              <w:t>.</w:t>
            </w: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Heading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Heading2"/>
        <w:rPr>
          <w:rFonts w:eastAsiaTheme="minorEastAsia"/>
          <w:lang w:eastAsia="zh-CN"/>
        </w:rPr>
      </w:pPr>
      <w:r>
        <w:t>Companies’ inputs</w:t>
      </w:r>
    </w:p>
    <w:p w14:paraId="4877C4CB" w14:textId="77777777" w:rsidR="00EB2A3C" w:rsidRDefault="00000000">
      <w:pPr>
        <w:rPr>
          <w:sz w:val="21"/>
          <w:szCs w:val="21"/>
        </w:rPr>
      </w:pPr>
      <w:hyperlink r:id="rId17" w:history="1">
        <w:r w:rsidR="00730C6A">
          <w:rPr>
            <w:rStyle w:val="Hyperlink"/>
            <w:sz w:val="21"/>
            <w:szCs w:val="21"/>
          </w:rPr>
          <w:t>R1-2505557</w:t>
        </w:r>
      </w:hyperlink>
      <w:r w:rsidR="00730C6A">
        <w:rPr>
          <w:sz w:val="21"/>
          <w:szCs w:val="21"/>
        </w:rPr>
        <w:tab/>
        <w:t>Remaining issues on multi-carrier enhancements.</w:t>
      </w:r>
      <w:r w:rsidR="00730C6A">
        <w:rPr>
          <w:sz w:val="21"/>
          <w:szCs w:val="21"/>
        </w:rPr>
        <w:tab/>
        <w:t>Samsung</w:t>
      </w:r>
    </w:p>
    <w:tbl>
      <w:tblPr>
        <w:tblStyle w:val="TableGrid"/>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Heading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As proposed by Samsung, the reasonable way is to follow the legacy behavior specified in Rel-17 as below:</w:t>
      </w:r>
    </w:p>
    <w:tbl>
      <w:tblPr>
        <w:tblStyle w:val="TableGrid"/>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Heading2"/>
      </w:pPr>
      <w:r>
        <w:t>1</w:t>
      </w:r>
      <w:r>
        <w:rPr>
          <w:vertAlign w:val="superscript"/>
        </w:rPr>
        <w:t>st</w:t>
      </w:r>
      <w:r>
        <w:t xml:space="preserve"> round of discussions</w:t>
      </w:r>
    </w:p>
    <w:p w14:paraId="04D4163A" w14:textId="77777777" w:rsidR="00EB2A3C" w:rsidRDefault="00730C6A">
      <w:pPr>
        <w:pStyle w:val="Heading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lastRenderedPageBreak/>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宋体" w:hAnsi="TimesNewRomanPS-ItalicMT" w:hint="eastAsia"/>
                <w:bCs/>
                <w:color w:val="000000"/>
                <w:sz w:val="20"/>
                <w:szCs w:val="20"/>
              </w:rPr>
              <w:t>Support the proposal as a conclusion</w:t>
            </w:r>
            <w:r>
              <w:rPr>
                <w:rFonts w:ascii="TimesNewRomanPS-ItalicMT" w:eastAsia="宋体"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1DDC2E4"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53AB87DF" w14:textId="1F26D71F"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OK with a conclusion as commented by companies.</w:t>
            </w: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宋体"/>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Heading2"/>
        <w:rPr>
          <w:rFonts w:eastAsiaTheme="minorEastAsia"/>
          <w:lang w:eastAsia="zh-CN"/>
        </w:rPr>
      </w:pPr>
      <w:r>
        <w:t>Companies’ inputs</w:t>
      </w:r>
    </w:p>
    <w:p w14:paraId="71E9FB66" w14:textId="77777777" w:rsidR="00EB2A3C" w:rsidRDefault="00000000">
      <w:pPr>
        <w:rPr>
          <w:sz w:val="21"/>
          <w:szCs w:val="21"/>
        </w:rPr>
      </w:pPr>
      <w:hyperlink r:id="rId18" w:history="1">
        <w:r w:rsidR="00730C6A">
          <w:rPr>
            <w:rStyle w:val="Hyperlink"/>
            <w:sz w:val="21"/>
            <w:szCs w:val="21"/>
          </w:rPr>
          <w:t>R1-2505440</w:t>
        </w:r>
      </w:hyperlink>
      <w:r w:rsidR="00730C6A">
        <w:rPr>
          <w:sz w:val="21"/>
          <w:szCs w:val="21"/>
        </w:rPr>
        <w:tab/>
        <w:t>Text proposals for Rel-19 Multi-carrier enhancements</w:t>
      </w:r>
      <w:r w:rsidR="00730C6A">
        <w:rPr>
          <w:sz w:val="21"/>
          <w:szCs w:val="21"/>
        </w:rPr>
        <w:tab/>
        <w:t>Xiaomi</w:t>
      </w:r>
    </w:p>
    <w:tbl>
      <w:tblPr>
        <w:tblStyle w:val="TableGrid"/>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lastRenderedPageBreak/>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Heading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0</w:t>
            </w:r>
            <w:r>
              <w:rPr>
                <w:rFonts w:ascii="Arial" w:eastAsia="等线"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lastRenderedPageBreak/>
              <w:t>1</w:t>
            </w:r>
            <w:r>
              <w:rPr>
                <w:rFonts w:ascii="Arial" w:eastAsia="等线"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Heading2"/>
      </w:pPr>
      <w:r>
        <w:t>1</w:t>
      </w:r>
      <w:r>
        <w:rPr>
          <w:vertAlign w:val="superscript"/>
        </w:rPr>
        <w:t>st</w:t>
      </w:r>
      <w:r>
        <w:t xml:space="preserve"> round of discussions</w:t>
      </w:r>
    </w:p>
    <w:p w14:paraId="10E21211" w14:textId="77777777" w:rsidR="00EB2A3C" w:rsidRDefault="00730C6A">
      <w:pPr>
        <w:pStyle w:val="Heading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w:t>
            </w:r>
            <w:r>
              <w:rPr>
                <w:rFonts w:eastAsia="等线"/>
                <w:sz w:val="20"/>
                <w:szCs w:val="20"/>
                <w:lang w:val="en-GB" w:eastAsia="en-US"/>
              </w:rPr>
              <w:lastRenderedPageBreak/>
              <w:t>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宋体"/>
                <w:bCs/>
                <w:sz w:val="20"/>
                <w:szCs w:val="20"/>
              </w:rPr>
            </w:pPr>
            <w:r>
              <w:rPr>
                <w:rFonts w:eastAsia="宋体" w:hint="eastAsia"/>
                <w:bCs/>
                <w:sz w:val="20"/>
                <w:szCs w:val="20"/>
              </w:rPr>
              <w:t>S</w:t>
            </w:r>
            <w:r>
              <w:rPr>
                <w:rFonts w:eastAsia="宋体"/>
                <w:bCs/>
                <w:sz w:val="20"/>
                <w:szCs w:val="20"/>
              </w:rPr>
              <w:t>preadtrum</w:t>
            </w:r>
          </w:p>
        </w:tc>
        <w:tc>
          <w:tcPr>
            <w:tcW w:w="7353" w:type="dxa"/>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6589ED12" w:rsidR="00AB6E02" w:rsidRPr="001015A6" w:rsidRDefault="001015A6" w:rsidP="00AB6E02">
            <w:pPr>
              <w:rPr>
                <w:rFonts w:eastAsia="Malgun Gothic"/>
                <w:bCs/>
                <w:sz w:val="20"/>
                <w:szCs w:val="20"/>
                <w:lang w:eastAsia="ko-KR"/>
              </w:rPr>
            </w:pPr>
            <w:r>
              <w:rPr>
                <w:rFonts w:eastAsia="Malgun Gothic" w:hint="eastAsia"/>
                <w:bCs/>
                <w:sz w:val="20"/>
                <w:szCs w:val="20"/>
                <w:lang w:eastAsia="ko-KR"/>
              </w:rPr>
              <w:t>LGE</w:t>
            </w:r>
          </w:p>
        </w:tc>
        <w:tc>
          <w:tcPr>
            <w:tcW w:w="7353" w:type="dxa"/>
          </w:tcPr>
          <w:p w14:paraId="1868FBCF" w14:textId="22B59EE8" w:rsidR="00AB6E02" w:rsidRPr="001015A6" w:rsidRDefault="001015A6" w:rsidP="00AB6E02">
            <w:pPr>
              <w:rPr>
                <w:rFonts w:eastAsia="Malgun Gothic"/>
                <w:bCs/>
                <w:sz w:val="20"/>
                <w:szCs w:val="20"/>
                <w:lang w:eastAsia="ko-KR"/>
              </w:rPr>
            </w:pPr>
            <w:r>
              <w:rPr>
                <w:rFonts w:eastAsia="Malgun Gothic" w:hint="eastAsia"/>
                <w:bCs/>
                <w:sz w:val="20"/>
                <w:szCs w:val="20"/>
                <w:lang w:eastAsia="ko-KR"/>
              </w:rPr>
              <w:t>OK</w:t>
            </w: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Heading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Heading1"/>
      </w:pPr>
      <w:r>
        <w:t>References</w:t>
      </w:r>
    </w:p>
    <w:p w14:paraId="7D983CAE" w14:textId="77777777" w:rsidR="00EB2A3C" w:rsidRDefault="00730C6A">
      <w:pPr>
        <w:pStyle w:val="ListParagraph"/>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ListParagraph"/>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ListParagraph"/>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ListParagraph"/>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ListParagraph"/>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ListParagraph"/>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ListParagraph"/>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Heading1"/>
      </w:pPr>
      <w:r>
        <w:t>List of agreements</w:t>
      </w:r>
    </w:p>
    <w:p w14:paraId="67F4857B" w14:textId="77777777" w:rsidR="00EB2A3C" w:rsidRDefault="00EB2A3C">
      <w:pPr>
        <w:rPr>
          <w:sz w:val="20"/>
          <w:szCs w:val="16"/>
          <w:highlight w:val="green"/>
        </w:rPr>
      </w:pPr>
    </w:p>
    <w:p w14:paraId="2AB1C13C" w14:textId="77777777" w:rsidR="00EB2A3C" w:rsidRDefault="00730C6A">
      <w:pPr>
        <w:pStyle w:val="Heading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lastRenderedPageBreak/>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PCell.</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lastRenderedPageBreak/>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lastRenderedPageBreak/>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Heading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lastRenderedPageBreak/>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941B6">
        <w:rPr>
          <w:position w:val="-5"/>
          <w:sz w:val="20"/>
          <w:szCs w:val="20"/>
        </w:rPr>
        <w:pict w14:anchorId="06F6F979">
          <v:shape id="_x0000_i1027" type="#_x0000_t75" style="width:29.65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941B6">
        <w:rPr>
          <w:position w:val="-5"/>
          <w:sz w:val="20"/>
          <w:szCs w:val="20"/>
        </w:rPr>
        <w:pict w14:anchorId="4BCD47E3">
          <v:shape id="_x0000_i1028" type="#_x0000_t75" style="width:29.65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3941B6">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941B6">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3941B6">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941B6">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3941B6">
        <w:rPr>
          <w:position w:val="-5"/>
          <w:sz w:val="20"/>
          <w:szCs w:val="20"/>
        </w:rPr>
        <w:pict w14:anchorId="75F63EB0">
          <v:shape id="_x0000_i1033" type="#_x0000_t75" style="width:5pt;height:18.1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3941B6">
        <w:rPr>
          <w:position w:val="-5"/>
          <w:sz w:val="20"/>
          <w:szCs w:val="20"/>
        </w:rPr>
        <w:pict w14:anchorId="02CFCB9F">
          <v:shape id="_x0000_i1034" type="#_x0000_t75" style="width:5pt;height:18.1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3941B6">
        <w:rPr>
          <w:position w:val="-5"/>
          <w:sz w:val="20"/>
          <w:szCs w:val="20"/>
        </w:rPr>
        <w:pict w14:anchorId="78C3329A">
          <v:shape id="_x0000_i1035" type="#_x0000_t75" style="width:6.5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3941B6">
        <w:rPr>
          <w:position w:val="-5"/>
          <w:sz w:val="20"/>
          <w:szCs w:val="20"/>
        </w:rPr>
        <w:pict w14:anchorId="737945B7">
          <v:shape id="_x0000_i1036" type="#_x0000_t75" style="width:6.5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Heading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lastRenderedPageBreak/>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Heading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lastRenderedPageBreak/>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lastRenderedPageBreak/>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Heading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lastRenderedPageBreak/>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lastRenderedPageBreak/>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Heading2"/>
        <w:tabs>
          <w:tab w:val="clear" w:pos="3150"/>
        </w:tabs>
        <w:ind w:left="540"/>
      </w:pPr>
      <w:r>
        <w:lastRenderedPageBreak/>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lastRenderedPageBreak/>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lastRenderedPageBreak/>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Beta_offset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Heading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r>
              <w:rPr>
                <w:rFonts w:ascii="Times" w:eastAsia="宋体" w:hAnsi="Times"/>
                <w:i/>
                <w:sz w:val="20"/>
                <w:szCs w:val="20"/>
              </w:rPr>
              <w:t>pdcch-SkippingDurationList</w:t>
            </w:r>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 xml:space="preserve">that schedule PUSCH transmissions, and </w:t>
            </w:r>
            <w:r>
              <w:rPr>
                <w:rFonts w:ascii="Times" w:eastAsia="宋体" w:hAnsi="Times"/>
                <w:sz w:val="20"/>
                <w:szCs w:val="20"/>
              </w:rPr>
              <w:lastRenderedPageBreak/>
              <w:t>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lastRenderedPageBreak/>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Heading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lastRenderedPageBreak/>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Heading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lastRenderedPageBreak/>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lastRenderedPageBreak/>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Heading2"/>
        <w:tabs>
          <w:tab w:val="clear" w:pos="3150"/>
        </w:tabs>
        <w:ind w:left="540"/>
      </w:pPr>
      <w:r>
        <w:lastRenderedPageBreak/>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Heading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 xml:space="preserve">for a CC or all CCs in the same CC list </w:t>
      </w:r>
      <w:r>
        <w:rPr>
          <w:rFonts w:ascii="Times" w:eastAsia="Batang" w:hAnsi="Times"/>
          <w:sz w:val="20"/>
          <w:szCs w:val="20"/>
          <w:lang w:val="en-GB" w:eastAsia="en-US"/>
        </w:rPr>
        <w:lastRenderedPageBreak/>
        <w:t>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Heading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r>
        <w:rPr>
          <w:rFonts w:ascii="Times" w:eastAsia="宋体" w:hAnsi="Times"/>
          <w:i/>
          <w:iCs/>
          <w:color w:val="000000"/>
          <w:sz w:val="20"/>
          <w:szCs w:val="20"/>
          <w:lang w:val="en-GB" w:eastAsia="en-US"/>
        </w:rPr>
        <w:t>searchSpaceMCCH</w:t>
      </w:r>
      <w:r>
        <w:rPr>
          <w:rFonts w:ascii="Times" w:eastAsia="宋体" w:hAnsi="Times"/>
          <w:color w:val="000000"/>
          <w:sz w:val="20"/>
          <w:szCs w:val="20"/>
          <w:lang w:val="en-GB" w:eastAsia="en-US"/>
        </w:rPr>
        <w:t xml:space="preserve">, </w:t>
      </w:r>
      <w:r>
        <w:rPr>
          <w:rFonts w:ascii="Times" w:eastAsia="宋体" w:hAnsi="Times"/>
          <w:i/>
          <w:iCs/>
          <w:color w:val="000000"/>
          <w:sz w:val="20"/>
          <w:szCs w:val="20"/>
          <w:lang w:val="en-GB" w:eastAsia="en-US"/>
        </w:rPr>
        <w:t>searchSpaceMTCH</w:t>
      </w:r>
      <w:r>
        <w:rPr>
          <w:rFonts w:ascii="Times" w:eastAsia="宋体" w:hAnsi="Times"/>
          <w:color w:val="000000"/>
          <w:sz w:val="20"/>
          <w:szCs w:val="20"/>
          <w:lang w:val="en-GB" w:eastAsia="en-US"/>
        </w:rPr>
        <w:t xml:space="preserve"> or by </w:t>
      </w:r>
      <w:r>
        <w:rPr>
          <w:rFonts w:ascii="Times" w:eastAsia="宋体" w:hAnsi="Times"/>
          <w:i/>
          <w:iCs/>
          <w:color w:val="000000"/>
          <w:sz w:val="20"/>
          <w:szCs w:val="20"/>
          <w:lang w:val="en-GB" w:eastAsia="en-US"/>
        </w:rPr>
        <w:t>SearchSpace</w:t>
      </w:r>
      <w:r>
        <w:rPr>
          <w:rFonts w:ascii="Times" w:eastAsia="宋体" w:hAnsi="Times"/>
          <w:color w:val="000000"/>
          <w:sz w:val="20"/>
          <w:szCs w:val="20"/>
          <w:lang w:val="en-GB" w:eastAsia="en-US"/>
        </w:rPr>
        <w:t xml:space="preserve"> in </w:t>
      </w:r>
      <w:r>
        <w:rPr>
          <w:rFonts w:ascii="Times" w:eastAsia="宋体" w:hAnsi="Times"/>
          <w:i/>
          <w:iCs/>
          <w:color w:val="000000"/>
          <w:sz w:val="20"/>
          <w:szCs w:val="20"/>
          <w:lang w:val="en-GB" w:eastAsia="en-US"/>
        </w:rPr>
        <w:t>pdcch-ConfigMulticast</w:t>
      </w:r>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宋体" w:hAnsi="Times"/>
          <w:i/>
          <w:iCs/>
          <w:sz w:val="20"/>
          <w:szCs w:val="20"/>
          <w:lang w:val="en-GB" w:eastAsia="en-US"/>
        </w:rPr>
        <w:t>pucch-sSCellPattern</w:t>
      </w:r>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lastRenderedPageBreak/>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en-GB"/>
        </w:rPr>
        <w:t>resourceAllocation = dynamicSwitch</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Heading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w:t>
      </w:r>
      <w:r>
        <w:rPr>
          <w:rFonts w:ascii="Times" w:eastAsia="宋体" w:hAnsi="Times"/>
          <w:sz w:val="20"/>
          <w:szCs w:val="20"/>
          <w:lang w:val="en-GB" w:eastAsia="en-US"/>
        </w:rPr>
        <w:lastRenderedPageBreak/>
        <w:t>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r</w:t>
      </w:r>
      <w:r>
        <w:rPr>
          <w:rFonts w:ascii="Times" w:eastAsia="宋体" w:hAnsi="Times"/>
          <w:i/>
          <w:sz w:val="20"/>
          <w:szCs w:val="20"/>
          <w:lang w:val="en-GB" w:eastAsia="en-US"/>
        </w:rPr>
        <w:t>esourceAllocation</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宋体" w:hAnsi="Times"/>
          <w:i/>
          <w:sz w:val="20"/>
          <w:szCs w:val="20"/>
          <w:lang w:val="en-GB" w:eastAsia="en-US"/>
        </w:rPr>
        <w:t xml:space="preserve">resourceAllocation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r>
        <w:rPr>
          <w:rFonts w:ascii="Times" w:eastAsia="宋体" w:hAnsi="Times"/>
          <w:i/>
          <w:sz w:val="20"/>
          <w:szCs w:val="20"/>
          <w:lang w:val="en-GB" w:eastAsia="en-US"/>
        </w:rPr>
        <w:t>useInterlacePUCCH-PUSCH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BWP-UplinkDedicated</w:t>
      </w:r>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r>
        <w:rPr>
          <w:rFonts w:ascii="Times" w:eastAsia="宋体" w:hAnsi="Times"/>
          <w:i/>
          <w:sz w:val="20"/>
          <w:szCs w:val="20"/>
          <w:lang w:val="en-GB" w:eastAsia="en-US"/>
        </w:rPr>
        <w:t>dormantBWP-Id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iCs/>
          <w:sz w:val="20"/>
          <w:szCs w:val="20"/>
          <w:lang w:val="en-GB" w:eastAsia="en-US"/>
        </w:rPr>
        <w:t>resourceAllocation = dynamicSwitch</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ins w:id="157" w:author="Haipeng HP1 Lei" w:date="2024-10-11T13:30:00Z">
        <w:r>
          <w:rPr>
            <w:rFonts w:ascii="Times" w:eastAsia="宋体" w:hAnsi="Times"/>
            <w:i/>
            <w:iCs/>
            <w:sz w:val="20"/>
            <w:szCs w:val="20"/>
            <w:lang w:val="en-GB" w:eastAsia="en-US"/>
          </w:rPr>
          <w:t>useInterlacePUCCH-PUSCH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lastRenderedPageBreak/>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lastRenderedPageBreak/>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Heading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lastRenderedPageBreak/>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Heading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lastRenderedPageBreak/>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Heading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r>
        <w:rPr>
          <w:rFonts w:ascii="TimesNewRomanPS-ItalicMT" w:eastAsia="宋体" w:hAnsi="TimesNewRomanPS-ItalicMT"/>
          <w:bCs/>
          <w:i/>
          <w:iCs/>
          <w:color w:val="000000"/>
          <w:sz w:val="20"/>
          <w:szCs w:val="20"/>
          <w:lang w:val="en-GB" w:eastAsia="en-US"/>
        </w:rPr>
        <w:t>pusch-AggregationFactor</w:t>
      </w:r>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lastRenderedPageBreak/>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49C9" w14:textId="77777777" w:rsidR="007B287C" w:rsidRDefault="007B287C">
      <w:r>
        <w:separator/>
      </w:r>
    </w:p>
  </w:endnote>
  <w:endnote w:type="continuationSeparator" w:id="0">
    <w:p w14:paraId="42182870" w14:textId="77777777" w:rsidR="007B287C" w:rsidRDefault="007B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080"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AF8501" w14:textId="77777777" w:rsidR="00EB2A3C" w:rsidRDefault="00EB2A3C">
    <w:pPr>
      <w:pStyle w:val="Footer"/>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BD3"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9045C">
      <w:rPr>
        <w:rStyle w:val="PageNumber"/>
        <w:noProof/>
      </w:rPr>
      <w:t>11</w:t>
    </w:r>
    <w:r>
      <w:rPr>
        <w:rStyle w:val="PageNumber"/>
      </w:rPr>
      <w:fldChar w:fldCharType="end"/>
    </w:r>
  </w:p>
  <w:p w14:paraId="0B5F4085" w14:textId="77777777" w:rsidR="00EB2A3C" w:rsidRDefault="00EB2A3C">
    <w:pPr>
      <w:pStyle w:val="Footer"/>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F2E3" w14:textId="77777777" w:rsidR="007B287C" w:rsidRDefault="007B287C">
      <w:r>
        <w:separator/>
      </w:r>
    </w:p>
  </w:footnote>
  <w:footnote w:type="continuationSeparator" w:id="0">
    <w:p w14:paraId="0226470A" w14:textId="77777777" w:rsidR="007B287C" w:rsidRDefault="007B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78178403">
    <w:abstractNumId w:val="22"/>
  </w:num>
  <w:num w:numId="2" w16cid:durableId="1414163864">
    <w:abstractNumId w:val="59"/>
  </w:num>
  <w:num w:numId="3" w16cid:durableId="679353224">
    <w:abstractNumId w:val="0"/>
  </w:num>
  <w:num w:numId="4" w16cid:durableId="1308900144">
    <w:abstractNumId w:val="11"/>
  </w:num>
  <w:num w:numId="5" w16cid:durableId="2006977770">
    <w:abstractNumId w:val="58"/>
  </w:num>
  <w:num w:numId="6" w16cid:durableId="159274541">
    <w:abstractNumId w:val="32"/>
  </w:num>
  <w:num w:numId="7" w16cid:durableId="954794012">
    <w:abstractNumId w:val="13"/>
  </w:num>
  <w:num w:numId="8" w16cid:durableId="177931539">
    <w:abstractNumId w:val="34"/>
  </w:num>
  <w:num w:numId="9" w16cid:durableId="437411008">
    <w:abstractNumId w:val="37"/>
  </w:num>
  <w:num w:numId="10" w16cid:durableId="460880745">
    <w:abstractNumId w:val="21"/>
  </w:num>
  <w:num w:numId="11" w16cid:durableId="1086801508">
    <w:abstractNumId w:val="24"/>
  </w:num>
  <w:num w:numId="12" w16cid:durableId="704142018">
    <w:abstractNumId w:val="28"/>
  </w:num>
  <w:num w:numId="13" w16cid:durableId="1009062330">
    <w:abstractNumId w:val="41"/>
  </w:num>
  <w:num w:numId="14" w16cid:durableId="1103693653">
    <w:abstractNumId w:val="50"/>
  </w:num>
  <w:num w:numId="15" w16cid:durableId="1940945059">
    <w:abstractNumId w:val="30"/>
  </w:num>
  <w:num w:numId="16" w16cid:durableId="72095527">
    <w:abstractNumId w:val="45"/>
  </w:num>
  <w:num w:numId="17" w16cid:durableId="1684622549">
    <w:abstractNumId w:val="8"/>
  </w:num>
  <w:num w:numId="18" w16cid:durableId="899511452">
    <w:abstractNumId w:val="23"/>
  </w:num>
  <w:num w:numId="19" w16cid:durableId="1759598971">
    <w:abstractNumId w:val="47"/>
  </w:num>
  <w:num w:numId="20" w16cid:durableId="1900895620">
    <w:abstractNumId w:val="35"/>
  </w:num>
  <w:num w:numId="21" w16cid:durableId="1425885280">
    <w:abstractNumId w:val="55"/>
  </w:num>
  <w:num w:numId="22" w16cid:durableId="467943319">
    <w:abstractNumId w:val="46"/>
  </w:num>
  <w:num w:numId="23" w16cid:durableId="2107918881">
    <w:abstractNumId w:val="53"/>
  </w:num>
  <w:num w:numId="24" w16cid:durableId="875193722">
    <w:abstractNumId w:val="42"/>
  </w:num>
  <w:num w:numId="25" w16cid:durableId="1580406515">
    <w:abstractNumId w:val="12"/>
  </w:num>
  <w:num w:numId="26" w16cid:durableId="1951819521">
    <w:abstractNumId w:val="38"/>
  </w:num>
  <w:num w:numId="27" w16cid:durableId="1667202806">
    <w:abstractNumId w:val="9"/>
  </w:num>
  <w:num w:numId="28" w16cid:durableId="105543696">
    <w:abstractNumId w:val="60"/>
  </w:num>
  <w:num w:numId="29" w16cid:durableId="166987063">
    <w:abstractNumId w:val="57"/>
  </w:num>
  <w:num w:numId="30" w16cid:durableId="1234436465">
    <w:abstractNumId w:val="1"/>
  </w:num>
  <w:num w:numId="31" w16cid:durableId="2014213570">
    <w:abstractNumId w:val="54"/>
  </w:num>
  <w:num w:numId="32" w16cid:durableId="413018070">
    <w:abstractNumId w:val="43"/>
  </w:num>
  <w:num w:numId="33" w16cid:durableId="1338920880">
    <w:abstractNumId w:val="33"/>
  </w:num>
  <w:num w:numId="34" w16cid:durableId="1245142894">
    <w:abstractNumId w:val="16"/>
  </w:num>
  <w:num w:numId="35" w16cid:durableId="565805027">
    <w:abstractNumId w:val="20"/>
  </w:num>
  <w:num w:numId="36" w16cid:durableId="612172810">
    <w:abstractNumId w:val="29"/>
  </w:num>
  <w:num w:numId="37" w16cid:durableId="1293751274">
    <w:abstractNumId w:val="40"/>
  </w:num>
  <w:num w:numId="38" w16cid:durableId="1946182931">
    <w:abstractNumId w:val="19"/>
  </w:num>
  <w:num w:numId="39" w16cid:durableId="2040813393">
    <w:abstractNumId w:val="17"/>
  </w:num>
  <w:num w:numId="40" w16cid:durableId="623148228">
    <w:abstractNumId w:val="31"/>
  </w:num>
  <w:num w:numId="41" w16cid:durableId="1903825642">
    <w:abstractNumId w:val="48"/>
  </w:num>
  <w:num w:numId="42" w16cid:durableId="964887691">
    <w:abstractNumId w:val="36"/>
  </w:num>
  <w:num w:numId="43" w16cid:durableId="370153072">
    <w:abstractNumId w:val="7"/>
  </w:num>
  <w:num w:numId="44" w16cid:durableId="907691647">
    <w:abstractNumId w:val="5"/>
  </w:num>
  <w:num w:numId="45" w16cid:durableId="1861502248">
    <w:abstractNumId w:val="15"/>
  </w:num>
  <w:num w:numId="46" w16cid:durableId="298650468">
    <w:abstractNumId w:val="18"/>
  </w:num>
  <w:num w:numId="47" w16cid:durableId="461114743">
    <w:abstractNumId w:val="26"/>
  </w:num>
  <w:num w:numId="48" w16cid:durableId="1106192187">
    <w:abstractNumId w:val="2"/>
  </w:num>
  <w:num w:numId="49" w16cid:durableId="1195583620">
    <w:abstractNumId w:val="49"/>
  </w:num>
  <w:num w:numId="50" w16cid:durableId="1964457675">
    <w:abstractNumId w:val="51"/>
  </w:num>
  <w:num w:numId="51" w16cid:durableId="1246838459">
    <w:abstractNumId w:val="10"/>
  </w:num>
  <w:num w:numId="52" w16cid:durableId="2105608830">
    <w:abstractNumId w:val="3"/>
  </w:num>
  <w:num w:numId="53" w16cid:durableId="335231550">
    <w:abstractNumId w:val="52"/>
  </w:num>
  <w:num w:numId="54" w16cid:durableId="1490319075">
    <w:abstractNumId w:val="27"/>
  </w:num>
  <w:num w:numId="55" w16cid:durableId="1949774347">
    <w:abstractNumId w:val="25"/>
  </w:num>
  <w:num w:numId="56" w16cid:durableId="420569349">
    <w:abstractNumId w:val="6"/>
  </w:num>
  <w:num w:numId="57" w16cid:durableId="1378164766">
    <w:abstractNumId w:val="14"/>
  </w:num>
  <w:num w:numId="58" w16cid:durableId="346643686">
    <w:abstractNumId w:val="39"/>
  </w:num>
  <w:num w:numId="59" w16cid:durableId="272980196">
    <w:abstractNumId w:val="44"/>
  </w:num>
  <w:num w:numId="60" w16cid:durableId="1801797882">
    <w:abstractNumId w:val="56"/>
  </w:num>
  <w:num w:numId="61" w16cid:durableId="201137473">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宋体"/>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宋体"/>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宋体"/>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宋体"/>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宋体"/>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宋体"/>
      <w:szCs w:val="20"/>
      <w:lang w:eastAsia="en-GB"/>
    </w:rPr>
  </w:style>
  <w:style w:type="paragraph" w:styleId="BodyTextIndent2">
    <w:name w:val="Body Text Indent 2"/>
    <w:basedOn w:val="Normal"/>
    <w:link w:val="BodyTextIndent2Char"/>
    <w:qFormat/>
    <w:pPr>
      <w:tabs>
        <w:tab w:val="left" w:pos="2205"/>
      </w:tabs>
      <w:ind w:left="200"/>
    </w:pPr>
    <w:rPr>
      <w:rFonts w:eastAsia="宋体"/>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IndexHeading">
    <w:name w:val="index heading"/>
    <w:basedOn w:val="Normal"/>
    <w:next w:val="Normal"/>
    <w:qFormat/>
    <w:pPr>
      <w:pBdr>
        <w:top w:val="single" w:sz="12" w:space="0" w:color="auto"/>
      </w:pBdr>
      <w:spacing w:before="360" w:after="240"/>
    </w:pPr>
    <w:rPr>
      <w:rFonts w:eastAsia="宋体"/>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宋体"/>
      <w:szCs w:val="20"/>
      <w:lang w:eastAsia="en-GB"/>
    </w:rPr>
  </w:style>
  <w:style w:type="paragraph" w:styleId="BodyTextIndent3">
    <w:name w:val="Body Text Indent 3"/>
    <w:basedOn w:val="Normal"/>
    <w:link w:val="BodyTextIndent3Char"/>
    <w:qFormat/>
    <w:pPr>
      <w:ind w:left="1080"/>
    </w:pPr>
    <w:rPr>
      <w:rFonts w:eastAsia="宋体"/>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BodyText2">
    <w:name w:val="Body Text 2"/>
    <w:basedOn w:val="Normal"/>
    <w:link w:val="BodyText2Char"/>
    <w:qFormat/>
    <w:pPr>
      <w:tabs>
        <w:tab w:val="left" w:pos="2205"/>
      </w:tabs>
      <w:ind w:left="630"/>
    </w:pPr>
    <w:rPr>
      <w:rFonts w:eastAsia="宋体"/>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宋体"/>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宋体"/>
      <w:snapToGrid w:val="0"/>
      <w:szCs w:val="20"/>
      <w:lang w:eastAsia="ja-JP"/>
    </w:rPr>
  </w:style>
  <w:style w:type="paragraph" w:customStyle="1" w:styleId="00BodyText">
    <w:name w:val="00 BodyText"/>
    <w:basedOn w:val="Normal"/>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宋体"/>
      <w:i/>
      <w:iCs/>
      <w:snapToGrid w:val="0"/>
      <w:color w:val="404040"/>
      <w:szCs w:val="20"/>
      <w:lang w:eastAsia="en-US"/>
    </w:rPr>
  </w:style>
  <w:style w:type="character" w:customStyle="1" w:styleId="QuoteChar">
    <w:name w:val="Quote Char"/>
    <w:basedOn w:val="DefaultParagraphFont"/>
    <w:link w:val="Quote"/>
    <w:uiPriority w:val="29"/>
    <w:qFormat/>
    <w:rPr>
      <w:rFonts w:eastAsia="宋体"/>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等线"/>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宋体"/>
      <w:snapToGrid w:val="0"/>
      <w:szCs w:val="20"/>
      <w:lang w:eastAsia="en-US"/>
    </w:rPr>
  </w:style>
  <w:style w:type="paragraph" w:customStyle="1" w:styleId="B5">
    <w:name w:val="B5"/>
    <w:basedOn w:val="Normal"/>
    <w:link w:val="B5Char"/>
    <w:qFormat/>
    <w:pPr>
      <w:spacing w:after="180"/>
      <w:ind w:left="1702" w:hanging="284"/>
    </w:pPr>
    <w:rPr>
      <w:rFonts w:eastAsia="宋体"/>
      <w:snapToGrid w:val="0"/>
      <w:szCs w:val="20"/>
      <w:lang w:eastAsia="en-US"/>
    </w:rPr>
  </w:style>
  <w:style w:type="paragraph" w:customStyle="1" w:styleId="bullet1">
    <w:name w:val="bullet1"/>
    <w:basedOn w:val="Normal"/>
    <w:link w:val="bullet1Char"/>
    <w:qFormat/>
    <w:pPr>
      <w:numPr>
        <w:numId w:val="19"/>
      </w:numPr>
    </w:pPr>
    <w:rPr>
      <w:rFonts w:ascii="Calibri" w:eastAsia="宋体" w:hAnsi="Calibri"/>
      <w:snapToGrid w:val="0"/>
    </w:rPr>
  </w:style>
  <w:style w:type="paragraph" w:customStyle="1" w:styleId="bullet2">
    <w:name w:val="bullet2"/>
    <w:basedOn w:val="Normal"/>
    <w:link w:val="bullet2Char"/>
    <w:qFormat/>
    <w:pPr>
      <w:numPr>
        <w:ilvl w:val="1"/>
        <w:numId w:val="19"/>
      </w:numPr>
    </w:pPr>
    <w:rPr>
      <w:rFonts w:ascii="Times" w:eastAsia="宋体"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3">
    <w:name w:val="修订1"/>
    <w:hidden/>
    <w:uiPriority w:val="99"/>
    <w:semiHidden/>
    <w:qFormat/>
    <w:rPr>
      <w:rFonts w:eastAsia="宋体"/>
      <w:lang w:val="en-GB" w:eastAsia="en-US"/>
    </w:rPr>
  </w:style>
  <w:style w:type="table" w:customStyle="1" w:styleId="TableGrid40">
    <w:name w:val="TableGrid4"/>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宋体"/>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宋体"/>
      <w:sz w:val="24"/>
      <w:szCs w:val="24"/>
    </w:rPr>
  </w:style>
  <w:style w:type="paragraph" w:customStyle="1" w:styleId="Bulletedo1">
    <w:name w:val="Bulleted o 1"/>
    <w:basedOn w:val="Normal"/>
    <w:qFormat/>
    <w:pPr>
      <w:numPr>
        <w:numId w:val="25"/>
      </w:numPr>
      <w:spacing w:after="180"/>
    </w:pPr>
    <w:rPr>
      <w:rFonts w:eastAsia="宋体"/>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宋体"/>
      <w:b/>
      <w:bCs/>
      <w:sz w:val="22"/>
      <w:szCs w:val="24"/>
    </w:rPr>
  </w:style>
  <w:style w:type="character" w:customStyle="1" w:styleId="Heading8Char">
    <w:name w:val="Heading 8 Char"/>
    <w:basedOn w:val="DefaultParagraphFont"/>
    <w:link w:val="Heading8"/>
    <w:qFormat/>
    <w:rPr>
      <w:rFonts w:eastAsia="宋体"/>
      <w:i/>
      <w:iCs/>
      <w:sz w:val="24"/>
      <w:szCs w:val="24"/>
    </w:rPr>
  </w:style>
  <w:style w:type="character" w:customStyle="1" w:styleId="Heading9Char">
    <w:name w:val="Heading 9 Char"/>
    <w:basedOn w:val="DefaultParagraphFont"/>
    <w:link w:val="Heading9"/>
    <w:uiPriority w:val="9"/>
    <w:qFormat/>
    <w:rPr>
      <w:rFonts w:ascii="Arial" w:eastAsia="宋体" w:hAnsi="Arial" w:cs="Arial"/>
      <w:sz w:val="22"/>
      <w:szCs w:val="24"/>
    </w:rPr>
  </w:style>
  <w:style w:type="paragraph" w:customStyle="1" w:styleId="TP-change">
    <w:name w:val="TP-change"/>
    <w:basedOn w:val="Normal"/>
    <w:qFormat/>
    <w:pPr>
      <w:numPr>
        <w:numId w:val="27"/>
      </w:numPr>
      <w:jc w:val="center"/>
    </w:pPr>
    <w:rPr>
      <w:rFonts w:eastAsia="宋体"/>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Normal"/>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Normal"/>
    <w:qFormat/>
    <w:pPr>
      <w:spacing w:after="180"/>
      <w:ind w:left="851"/>
    </w:pPr>
    <w:rPr>
      <w:rFonts w:eastAsia="宋体"/>
      <w:szCs w:val="20"/>
      <w:lang w:eastAsia="en-GB"/>
    </w:rPr>
  </w:style>
  <w:style w:type="paragraph" w:customStyle="1" w:styleId="INDENT2">
    <w:name w:val="INDENT2"/>
    <w:basedOn w:val="Normal"/>
    <w:qFormat/>
    <w:pPr>
      <w:spacing w:after="180"/>
      <w:ind w:left="1135" w:hanging="284"/>
    </w:pPr>
    <w:rPr>
      <w:rFonts w:eastAsia="宋体"/>
      <w:szCs w:val="20"/>
      <w:lang w:eastAsia="en-GB"/>
    </w:rPr>
  </w:style>
  <w:style w:type="paragraph" w:customStyle="1" w:styleId="INDENT3">
    <w:name w:val="INDENT3"/>
    <w:basedOn w:val="Normal"/>
    <w:qFormat/>
    <w:pPr>
      <w:spacing w:after="180"/>
      <w:ind w:left="1701" w:hanging="567"/>
    </w:pPr>
    <w:rPr>
      <w:rFonts w:eastAsia="宋体"/>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Normal"/>
    <w:qFormat/>
    <w:pPr>
      <w:keepNext/>
      <w:keepLines/>
      <w:spacing w:after="180"/>
    </w:pPr>
    <w:rPr>
      <w:rFonts w:eastAsia="宋体"/>
      <w:b/>
      <w:szCs w:val="20"/>
      <w:lang w:eastAsia="en-GB"/>
    </w:rPr>
  </w:style>
  <w:style w:type="paragraph" w:customStyle="1" w:styleId="CouvRecTitle">
    <w:name w:val="Couv Rec Title"/>
    <w:basedOn w:val="Normal"/>
    <w:qFormat/>
    <w:pPr>
      <w:keepNext/>
      <w:keepLines/>
      <w:spacing w:before="240" w:after="180"/>
      <w:ind w:left="1418"/>
    </w:pPr>
    <w:rPr>
      <w:rFonts w:ascii="Arial" w:eastAsia="宋体" w:hAnsi="Arial"/>
      <w:b/>
      <w:sz w:val="36"/>
      <w:szCs w:val="20"/>
      <w:lang w:eastAsia="en-GB"/>
    </w:rPr>
  </w:style>
  <w:style w:type="character" w:customStyle="1" w:styleId="BodyText2Char">
    <w:name w:val="Body Text 2 Char"/>
    <w:basedOn w:val="DefaultParagraphFont"/>
    <w:link w:val="BodyText2"/>
    <w:qFormat/>
    <w:rPr>
      <w:rFonts w:eastAsia="宋体"/>
      <w:kern w:val="2"/>
      <w:sz w:val="21"/>
      <w:lang w:val="zh-CN" w:eastAsia="zh-CN"/>
    </w:rPr>
  </w:style>
  <w:style w:type="character" w:customStyle="1" w:styleId="BodyTextIndent2Char">
    <w:name w:val="Body Text Indent 2 Char"/>
    <w:basedOn w:val="DefaultParagraphFont"/>
    <w:link w:val="BodyTextIndent2"/>
    <w:qFormat/>
    <w:rPr>
      <w:rFonts w:eastAsia="宋体"/>
      <w:kern w:val="2"/>
      <w:lang w:val="zh-CN" w:eastAsia="zh-CN"/>
    </w:rPr>
  </w:style>
  <w:style w:type="character" w:customStyle="1" w:styleId="BodyTextIndent3Char">
    <w:name w:val="Body Text Indent 3 Char"/>
    <w:basedOn w:val="DefaultParagraphFont"/>
    <w:link w:val="BodyTextIndent3"/>
    <w:qFormat/>
    <w:rPr>
      <w:rFonts w:eastAsia="宋体"/>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宋体"/>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Normal"/>
    <w:qFormat/>
    <w:pPr>
      <w:spacing w:after="240"/>
    </w:pPr>
    <w:rPr>
      <w:rFonts w:ascii="Helvetica" w:eastAsia="宋体" w:hAnsi="Helvetica"/>
      <w:szCs w:val="20"/>
      <w:lang w:eastAsia="en-GB"/>
    </w:rPr>
  </w:style>
  <w:style w:type="paragraph" w:customStyle="1" w:styleId="Cell">
    <w:name w:val="Cell"/>
    <w:basedOn w:val="Normal"/>
    <w:qFormat/>
    <w:pPr>
      <w:spacing w:line="240" w:lineRule="exact"/>
      <w:jc w:val="center"/>
    </w:pPr>
    <w:rPr>
      <w:rFonts w:eastAsia="宋体"/>
      <w:sz w:val="16"/>
      <w:szCs w:val="20"/>
      <w:lang w:eastAsia="ja-JP"/>
    </w:rPr>
  </w:style>
  <w:style w:type="paragraph" w:customStyle="1" w:styleId="b11">
    <w:name w:val="b1"/>
    <w:basedOn w:val="Normal"/>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3">
    <w:name w:val="表格文字居左"/>
    <w:basedOn w:val="Normal"/>
    <w:next w:val="Normal"/>
    <w:qFormat/>
    <w:rPr>
      <w:rFonts w:ascii="Arial" w:eastAsiaTheme="minorEastAsia" w:hAnsi="Arial" w:cs="宋体"/>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宋体" w:cs="宋体"/>
      <w:sz w:val="21"/>
      <w:szCs w:val="20"/>
    </w:rPr>
  </w:style>
  <w:style w:type="character" w:customStyle="1" w:styleId="Char1">
    <w:name w:val="样式 正文 Char"/>
    <w:basedOn w:val="DefaultParagraphFont"/>
    <w:link w:val="a4"/>
    <w:qFormat/>
    <w:rPr>
      <w:rFonts w:eastAsia="宋体" w:cs="宋体"/>
      <w:kern w:val="2"/>
      <w:sz w:val="21"/>
    </w:rPr>
  </w:style>
  <w:style w:type="paragraph" w:customStyle="1" w:styleId="a5">
    <w:name w:val="公式"/>
    <w:basedOn w:val="Normal"/>
    <w:qFormat/>
    <w:pPr>
      <w:ind w:firstLine="420"/>
      <w:jc w:val="right"/>
    </w:pPr>
    <w:rPr>
      <w:rFonts w:eastAsia="宋体" w:cs="宋体"/>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宋体" w:eastAsia="宋体" w:hAnsi="宋体" w:cs="宋体"/>
    </w:rPr>
  </w:style>
  <w:style w:type="paragraph" w:customStyle="1" w:styleId="font5">
    <w:name w:val="font5"/>
    <w:basedOn w:val="Normal"/>
    <w:qFormat/>
    <w:pPr>
      <w:spacing w:before="100" w:beforeAutospacing="1" w:after="100" w:afterAutospacing="1"/>
    </w:pPr>
    <w:rPr>
      <w:rFonts w:ascii="等线" w:eastAsia="等线" w:hAnsi="等线" w:cs="宋体"/>
      <w:sz w:val="18"/>
      <w:szCs w:val="18"/>
    </w:rPr>
  </w:style>
  <w:style w:type="paragraph" w:customStyle="1" w:styleId="xl65">
    <w:name w:val="xl65"/>
    <w:basedOn w:val="Normal"/>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Normal"/>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宋体" w:hAnsi="Arial"/>
      <w:sz w:val="22"/>
      <w:szCs w:val="20"/>
    </w:rPr>
  </w:style>
  <w:style w:type="paragraph" w:customStyle="1" w:styleId="11BodyText">
    <w:name w:val="11 BodyText"/>
    <w:basedOn w:val="Normal"/>
    <w:qFormat/>
    <w:pPr>
      <w:spacing w:after="220"/>
      <w:ind w:left="1298"/>
    </w:pPr>
    <w:rPr>
      <w:rFonts w:ascii="Arial" w:eastAsia="宋体"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宋体"/>
      <w:lang w:val="sv-SE" w:eastAsia="sv-SE"/>
    </w:rPr>
  </w:style>
  <w:style w:type="paragraph" w:customStyle="1" w:styleId="onecomwebmail-tah">
    <w:name w:val="onecomwebmail-tah"/>
    <w:basedOn w:val="Normal"/>
    <w:qFormat/>
    <w:pPr>
      <w:spacing w:before="100" w:beforeAutospacing="1" w:after="100" w:afterAutospacing="1"/>
    </w:pPr>
    <w:rPr>
      <w:rFonts w:eastAsia="宋体"/>
      <w:lang w:val="sv-SE" w:eastAsia="sv-SE"/>
    </w:rPr>
  </w:style>
  <w:style w:type="paragraph" w:customStyle="1" w:styleId="onecomwebmail-tac">
    <w:name w:val="onecomwebmail-tac"/>
    <w:basedOn w:val="Normal"/>
    <w:qFormat/>
    <w:pPr>
      <w:spacing w:before="100" w:beforeAutospacing="1" w:after="100" w:afterAutospacing="1"/>
    </w:pPr>
    <w:rPr>
      <w:rFonts w:eastAsia="宋体"/>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7">
    <w:name w:val="変更箇所1"/>
    <w:hidden/>
    <w:uiPriority w:val="99"/>
    <w:unhideWhenUsed/>
    <w:qFormat/>
    <w:rPr>
      <w:rFonts w:eastAsia="Times New Roman"/>
      <w:sz w:val="24"/>
      <w:szCs w:val="24"/>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rPr>
  </w:style>
  <w:style w:type="table" w:customStyle="1" w:styleId="TableGrid38">
    <w:name w:val="TableGrid38"/>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29</TotalTime>
  <Pages>45</Pages>
  <Words>19701</Words>
  <Characters>112299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lei haipeng</cp:lastModifiedBy>
  <cp:revision>4</cp:revision>
  <cp:lastPrinted>2019-01-11T04:30:00Z</cp:lastPrinted>
  <dcterms:created xsi:type="dcterms:W3CDTF">2025-08-25T08:21:00Z</dcterms:created>
  <dcterms:modified xsi:type="dcterms:W3CDTF">2025-08-25T08:38:00Z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