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737"/>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eastAsia="zh-CN"/>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r>
              <w:rPr>
                <w:b/>
                <w:bCs/>
              </w:rPr>
              <w:t xml:space="preserve">Skylo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dBi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For section 5.2.2.3 (Downlink simulation parameters), RAN1 considers incorporating SET-2 and SET-3 UL SNRs further. Similarly, -5.5 dBi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NB-IoT, 2% rBLER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r>
              <w:rPr>
                <w:b/>
                <w:bCs/>
              </w:rPr>
              <w:t>Skylo</w:t>
            </w:r>
          </w:p>
        </w:tc>
        <w:tc>
          <w:tcPr>
            <w:tcW w:w="8427"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ms*,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On the other hand, 40 ms bundling can considered for SCS 15 kHz since the minimum time-domain allocation for single-tone is 8 ms, whereas the minimum time-domain allocation for multi-tone is 4 ms, 2ms, and 1 ms for 3, 6, and 12 tones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The NPDSCH now can be anywhere in the first 15ms (considering that a minimum gap of 1 ms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 xml:space="preserve">such reductions are not feasible. </w:t>
            </w:r>
            <w:r w:rsidRPr="00CF2CAB">
              <w:rPr>
                <w:lang w:val="en-US"/>
              </w:rPr>
              <w:lastRenderedPageBreak/>
              <w:t>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[C2.4] The baseline should be set at −5.5 dBi, as already adopted in RAN1 evaluations. This ensures that the evaluation results are representative of real-world device performance. Since standards must apply to the entire device ecosystem and not just a subset with superior antenna characteristics, using −5.5 dBi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RAN1 response can mainly confirm the DL and UL link budget assumptions. The baseline for these assumptions can be based on TR 36.763 set 1 parameters. We are open to using set 2 as the worst case. On the bundling assumption, it is not necessary to discuss this in RAN1.We think 80 ms can be used as the baseline.</w:t>
            </w:r>
          </w:p>
        </w:tc>
      </w:tr>
      <w:tr w:rsidR="0056647D" w:rsidRPr="00CF2CAB" w14:paraId="1555D828"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953F23C" w14:textId="2D83A4FF" w:rsidR="0056647D" w:rsidRPr="0056647D" w:rsidRDefault="0056647D" w:rsidP="0056647D">
            <w:pPr>
              <w:rPr>
                <w:rFonts w:eastAsiaTheme="minorEastAsia"/>
                <w:lang w:eastAsia="zh-CN"/>
              </w:rPr>
            </w:pPr>
            <w:r>
              <w:rPr>
                <w:rFonts w:eastAsia="Malgun Gothic"/>
                <w:lang w:eastAsia="ko-KR"/>
              </w:rPr>
              <w:t>Nokia, NSB</w:t>
            </w:r>
          </w:p>
        </w:tc>
        <w:tc>
          <w:tcPr>
            <w:tcW w:w="7288" w:type="dxa"/>
          </w:tcPr>
          <w:p w14:paraId="2E5DA035" w14:textId="6B212EE5"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[C1.1] </w:t>
            </w:r>
            <w:r w:rsidRPr="00D7489B">
              <w:rPr>
                <w:lang w:val="en-US"/>
              </w:rPr>
              <w:t>pi/2 BPSK</w:t>
            </w:r>
            <w:r>
              <w:rPr>
                <w:lang w:val="en-US"/>
              </w:rPr>
              <w:t xml:space="preserve"> </w:t>
            </w:r>
            <w:r w:rsidRPr="00B9622D">
              <w:rPr>
                <w:lang w:val="en-US"/>
              </w:rPr>
              <w:t>or π/4-QPSK is applicable for single tone uplink transmissions</w:t>
            </w:r>
            <w:r>
              <w:rPr>
                <w:lang w:val="en-US"/>
              </w:rPr>
              <w:t>.</w:t>
            </w:r>
          </w:p>
          <w:p w14:paraId="44809EB8" w14:textId="58D7D55D"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[C2.7] This high power UE is only highest level but not suitable for general NB-IoT UE </w:t>
            </w:r>
            <w:r>
              <w:rPr>
                <w:lang w:val="en-US"/>
              </w:rPr>
              <w:lastRenderedPageBreak/>
              <w:t xml:space="preserve">as low battery. We do not think high power UE is a good case representing the market. </w:t>
            </w:r>
          </w:p>
        </w:tc>
      </w:tr>
      <w:tr w:rsidR="00A90CA2" w:rsidRPr="00CF2CAB" w14:paraId="23458F02"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E809FD9" w14:textId="41DBEF32" w:rsidR="00A90CA2" w:rsidRPr="006F3DF6" w:rsidRDefault="00A90CA2" w:rsidP="0056647D">
            <w:pPr>
              <w:rPr>
                <w:rFonts w:eastAsiaTheme="minorEastAsia"/>
                <w:lang w:eastAsia="zh-CN"/>
              </w:rPr>
            </w:pPr>
            <w:r>
              <w:rPr>
                <w:rFonts w:eastAsiaTheme="minorEastAsia" w:hint="eastAsia"/>
                <w:lang w:eastAsia="zh-CN"/>
              </w:rPr>
              <w:lastRenderedPageBreak/>
              <w:t>CATT</w:t>
            </w:r>
          </w:p>
        </w:tc>
        <w:tc>
          <w:tcPr>
            <w:tcW w:w="7288" w:type="dxa"/>
          </w:tcPr>
          <w:p w14:paraId="7822F717" w14:textId="6CF7FC4A" w:rsidR="00A90CA2" w:rsidRPr="00F16BA6" w:rsidRDefault="00A90CA2" w:rsidP="009D0169">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[C2.1] </w:t>
            </w:r>
            <w:r w:rsidR="00F16BA6">
              <w:rPr>
                <w:rFonts w:eastAsiaTheme="minorEastAsia" w:hint="eastAsia"/>
                <w:lang w:val="en-US" w:eastAsia="zh-CN"/>
              </w:rPr>
              <w:t>For noise figure, it should only mention agreed -7dB is used for evaluation. Other values don</w:t>
            </w:r>
            <w:r w:rsidR="00F16BA6">
              <w:rPr>
                <w:rFonts w:eastAsiaTheme="minorEastAsia"/>
                <w:lang w:val="en-US" w:eastAsia="zh-CN"/>
              </w:rPr>
              <w:t>’</w:t>
            </w:r>
            <w:r w:rsidR="00F16BA6">
              <w:rPr>
                <w:rFonts w:eastAsiaTheme="minorEastAsia" w:hint="eastAsia"/>
                <w:lang w:val="en-US" w:eastAsia="zh-CN"/>
              </w:rPr>
              <w:t xml:space="preserve">t reflect the majority cases.  </w:t>
            </w:r>
          </w:p>
          <w:p w14:paraId="6BF0BE7D" w14:textId="4F150637" w:rsidR="00A90CA2" w:rsidRDefault="008E7C2A"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F2CAB">
              <w:rPr>
                <w:lang w:val="en-US"/>
              </w:rPr>
              <w:t xml:space="preserve"> </w:t>
            </w:r>
            <w:r w:rsidR="00A90CA2" w:rsidRPr="00CF2CAB">
              <w:rPr>
                <w:lang w:val="en-US"/>
              </w:rPr>
              <w:t>[C2.</w:t>
            </w:r>
            <w:r w:rsidR="00A90CA2">
              <w:rPr>
                <w:lang w:val="en-US"/>
              </w:rPr>
              <w:t>6</w:t>
            </w:r>
            <w:r w:rsidR="00A90CA2" w:rsidRPr="00CF2CAB">
              <w:rPr>
                <w:lang w:val="en-US"/>
              </w:rPr>
              <w:t>]</w:t>
            </w:r>
            <w:r w:rsidR="00A90CA2">
              <w:rPr>
                <w:lang w:val="en-US"/>
              </w:rPr>
              <w:t xml:space="preserve"> </w:t>
            </w:r>
            <w:r w:rsidR="00A90CA2">
              <w:rPr>
                <w:rFonts w:eastAsiaTheme="minorEastAsia" w:hint="eastAsia"/>
                <w:lang w:val="en-US" w:eastAsia="zh-CN"/>
              </w:rPr>
              <w:t xml:space="preserve">We think </w:t>
            </w:r>
            <w:r w:rsidR="00A90CA2">
              <w:rPr>
                <w:lang w:val="en-US"/>
              </w:rPr>
              <w:t xml:space="preserve">Set-1 is the typical scenario evaluated in RAN1 and </w:t>
            </w:r>
            <w:r w:rsidR="00A90CA2">
              <w:rPr>
                <w:rFonts w:eastAsiaTheme="minorEastAsia" w:hint="eastAsia"/>
                <w:lang w:val="en-US" w:eastAsia="zh-CN"/>
              </w:rPr>
              <w:t>should be</w:t>
            </w:r>
            <w:r w:rsidR="00A90CA2">
              <w:rPr>
                <w:lang w:val="en-US"/>
              </w:rPr>
              <w:t xml:space="preserve"> focused. </w:t>
            </w:r>
          </w:p>
          <w:p w14:paraId="6A39CFE3" w14:textId="4E811B77"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[C2.7] </w:t>
            </w:r>
            <w:r>
              <w:rPr>
                <w:rFonts w:eastAsiaTheme="minorEastAsia"/>
                <w:lang w:val="en-US" w:eastAsia="zh-CN"/>
              </w:rPr>
              <w:t>F</w:t>
            </w:r>
            <w:r>
              <w:rPr>
                <w:rFonts w:eastAsiaTheme="minorEastAsia" w:hint="eastAsia"/>
                <w:lang w:val="en-US" w:eastAsia="zh-CN"/>
              </w:rPr>
              <w:t xml:space="preserve">or evaluation purpose, 23dBm can be taken as the </w:t>
            </w:r>
            <w:r>
              <w:rPr>
                <w:rFonts w:eastAsiaTheme="minorEastAsia"/>
                <w:lang w:val="en-US" w:eastAsia="zh-CN"/>
              </w:rPr>
              <w:t>basel</w:t>
            </w:r>
            <w:r>
              <w:rPr>
                <w:rFonts w:eastAsiaTheme="minorEastAsia" w:hint="eastAsia"/>
                <w:lang w:val="en-US" w:eastAsia="zh-CN"/>
              </w:rPr>
              <w:t xml:space="preserve">ine. </w:t>
            </w:r>
          </w:p>
          <w:p w14:paraId="278137C7" w14:textId="2F01B505"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r>
      <w:tr w:rsidR="00DC3F97" w:rsidRPr="00CF2CAB" w14:paraId="51A666C7"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8777AB5" w14:textId="558FDE43" w:rsidR="00DC3F97" w:rsidRDefault="00DC3F97" w:rsidP="0056647D">
            <w:pPr>
              <w:rPr>
                <w:rFonts w:eastAsiaTheme="minorEastAsia" w:hint="eastAsia"/>
                <w:lang w:eastAsia="zh-CN"/>
              </w:rPr>
            </w:pPr>
            <w:r>
              <w:rPr>
                <w:rFonts w:eastAsiaTheme="minorEastAsia"/>
                <w:lang w:eastAsia="zh-CN"/>
              </w:rPr>
              <w:t>Lenovo</w:t>
            </w:r>
          </w:p>
        </w:tc>
        <w:tc>
          <w:tcPr>
            <w:tcW w:w="7288" w:type="dxa"/>
          </w:tcPr>
          <w:p w14:paraId="520049D6" w14:textId="1EFB7538" w:rsidR="00EC459A"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 We appreciate the </w:t>
            </w:r>
            <w:r w:rsidR="007061FD">
              <w:rPr>
                <w:lang w:val="en-US"/>
              </w:rPr>
              <w:t>proposed</w:t>
            </w:r>
            <w:r>
              <w:rPr>
                <w:lang w:val="en-US"/>
              </w:rPr>
              <w:t xml:space="preserve"> reply highlighting </w:t>
            </w:r>
            <w:r w:rsidR="007061FD">
              <w:rPr>
                <w:lang w:val="en-US"/>
              </w:rPr>
              <w:t xml:space="preserve">the </w:t>
            </w:r>
            <w:r>
              <w:rPr>
                <w:lang w:val="en-US"/>
              </w:rPr>
              <w:t xml:space="preserve">variation </w:t>
            </w:r>
            <w:r w:rsidR="007061FD">
              <w:rPr>
                <w:lang w:val="en-US"/>
              </w:rPr>
              <w:t xml:space="preserve">in parameter </w:t>
            </w:r>
            <w:r>
              <w:rPr>
                <w:lang w:val="en-US"/>
              </w:rPr>
              <w:t>values</w:t>
            </w:r>
            <w:r w:rsidR="00EC459A">
              <w:rPr>
                <w:lang w:val="en-US"/>
              </w:rPr>
              <w:t xml:space="preserve">, as this should provide useful insights to SA4 regarding the available bit rates of operation for the audio codec. However, we regard the following still </w:t>
            </w:r>
            <w:r w:rsidR="007061FD">
              <w:rPr>
                <w:lang w:val="en-US"/>
              </w:rPr>
              <w:t>need improvements</w:t>
            </w:r>
            <w:r w:rsidR="00EC459A">
              <w:rPr>
                <w:lang w:val="en-US"/>
              </w:rPr>
              <w:t>:</w:t>
            </w:r>
          </w:p>
          <w:p w14:paraId="75D57302" w14:textId="0FCE3EAF" w:rsidR="00DC3F97" w:rsidRDefault="00EC459A"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[C2.1] W</w:t>
            </w:r>
            <w:r w:rsidR="00DC3F97">
              <w:rPr>
                <w:lang w:val="en-US"/>
              </w:rPr>
              <w:t xml:space="preserve">e do not feel appropriate advertising values (i.e., 4 dB NF value) that have not been previously </w:t>
            </w:r>
            <w:r>
              <w:rPr>
                <w:lang w:val="en-US"/>
              </w:rPr>
              <w:t xml:space="preserve">thoroughly </w:t>
            </w:r>
            <w:r w:rsidR="00DC3F97">
              <w:rPr>
                <w:lang w:val="en-US"/>
              </w:rPr>
              <w:t>discussed and validated in existing TR references.</w:t>
            </w:r>
          </w:p>
          <w:p w14:paraId="4E24D625" w14:textId="2C2441C5"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[C2.2] [C2.5] SA4 is already aware of these basic facts – can also be dropped.</w:t>
            </w:r>
          </w:p>
          <w:p w14:paraId="05D78D2E" w14:textId="37325694" w:rsidR="00DC3F97" w:rsidRDefault="00DC3F97" w:rsidP="009D0169">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[C2.3] Not sure the messaging </w:t>
            </w:r>
            <w:r w:rsidR="00EC459A">
              <w:rPr>
                <w:lang w:val="en-US"/>
              </w:rPr>
              <w:t xml:space="preserve">and consequences are </w:t>
            </w:r>
            <w:r>
              <w:rPr>
                <w:lang w:val="en-US"/>
              </w:rPr>
              <w:t>sufficiently clear – please clarify/rephrase.</w:t>
            </w:r>
          </w:p>
          <w:p w14:paraId="3AAB1DE3" w14:textId="51653E94" w:rsidR="00DC3F97" w:rsidRPr="00CF2CAB" w:rsidRDefault="00DC3F97" w:rsidP="00E9102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[C2.7] For evaluation purposes, PC3 (23 dBm) should be kept as baseline. Whereas we</w:t>
            </w:r>
            <w:r w:rsidR="00E9102D">
              <w:rPr>
                <w:lang w:val="en-US"/>
              </w:rPr>
              <w:t xml:space="preserve"> regard acceptable </w:t>
            </w:r>
            <w:r w:rsidR="007061FD">
              <w:rPr>
                <w:lang w:val="en-US"/>
              </w:rPr>
              <w:t xml:space="preserve">considering </w:t>
            </w:r>
            <w:r>
              <w:rPr>
                <w:lang w:val="en-US"/>
              </w:rPr>
              <w:t>other PCs in evaluations (e.g., PC2,</w:t>
            </w:r>
            <w:r w:rsidR="00E9102D">
              <w:rPr>
                <w:lang w:val="en-US"/>
              </w:rPr>
              <w:t xml:space="preserve"> </w:t>
            </w:r>
            <w:r>
              <w:rPr>
                <w:lang w:val="en-US"/>
              </w:rPr>
              <w:t>PC1.5</w:t>
            </w:r>
            <w:r w:rsidR="00E9102D">
              <w:rPr>
                <w:lang w:val="en-US"/>
              </w:rPr>
              <w:t xml:space="preserve"> or at max. PC1</w:t>
            </w:r>
            <w:r>
              <w:rPr>
                <w:lang w:val="en-US"/>
              </w:rPr>
              <w:t>), we question the advertising of high</w:t>
            </w:r>
            <w:r w:rsidR="00E9102D">
              <w:rPr>
                <w:lang w:val="en-US"/>
              </w:rPr>
              <w:t>-</w:t>
            </w:r>
            <w:r>
              <w:rPr>
                <w:lang w:val="en-US"/>
              </w:rPr>
              <w:t xml:space="preserve">power </w:t>
            </w:r>
            <w:r w:rsidR="00E9102D">
              <w:rPr>
                <w:lang w:val="en-US"/>
              </w:rPr>
              <w:t>UE at a level of 37 dBm in this reply, since this value is not yet captured in an existing specification.</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eastAsia="zh-CN"/>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40"/>
        <w:gridCol w:w="8707"/>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dBi, and noise figure is 7 dB.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RX antenna gain is estimated at -5.5 dBi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lastRenderedPageBreak/>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dBi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lang w:val="en-US" w:eastAsia="zh-CN"/>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r>
              <w:rPr>
                <w:b/>
                <w:bCs/>
              </w:rPr>
              <w:t>Skylo</w:t>
            </w:r>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lastRenderedPageBreak/>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eastAsia="zh-CN"/>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t>** Discussion on Q2 ** Please provide your comments to the proposed response to Q2 in the table below.</w:t>
      </w:r>
    </w:p>
    <w:tbl>
      <w:tblPr>
        <w:tblStyle w:val="GridTable5Dark-Accent1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G/T can be determined using equation 6.1.3.1-3 as described in TR 38.821. The value G/T = -31.6 dB/K is obtained under the following assumptions: Antenna gain (G_R) = 0 dBi, noise figure (N_f)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Emphasis"/>
              </w:rPr>
              <w:t>actual/realistic</w:t>
            </w:r>
            <w:r>
              <w:t xml:space="preserve"> antenna gain and noise figure.</w:t>
            </w:r>
          </w:p>
        </w:tc>
      </w:tr>
      <w:tr w:rsidR="0056647D" w14:paraId="0F758AE5"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500CC3B" w14:textId="59279DD2" w:rsidR="0056647D" w:rsidRDefault="0056647D" w:rsidP="0056647D">
            <w:pPr>
              <w:rPr>
                <w:rFonts w:eastAsia="Malgun Gothic"/>
                <w:lang w:eastAsia="ko-KR"/>
              </w:rPr>
            </w:pPr>
            <w:r>
              <w:rPr>
                <w:rFonts w:eastAsiaTheme="minorEastAsia"/>
                <w:lang w:val="en-US" w:eastAsia="zh-CN"/>
              </w:rPr>
              <w:t>Nokia, NSB</w:t>
            </w:r>
          </w:p>
        </w:tc>
        <w:tc>
          <w:tcPr>
            <w:tcW w:w="7288" w:type="dxa"/>
          </w:tcPr>
          <w:p w14:paraId="7AA7B91D" w14:textId="3D5A7B72" w:rsidR="0056647D" w:rsidRDefault="0056647D" w:rsidP="0056647D">
            <w:pPr>
              <w:spacing w:line="259" w:lineRule="auto"/>
              <w:jc w:val="both"/>
              <w:cnfStyle w:val="000000100000" w:firstRow="0" w:lastRow="0" w:firstColumn="0" w:lastColumn="0" w:oddVBand="0" w:evenVBand="0" w:oddHBand="1" w:evenHBand="0" w:firstRowFirstColumn="0" w:firstRowLastColumn="0" w:lastRowFirstColumn="0" w:lastRowLastColumn="0"/>
            </w:pPr>
            <w:r>
              <w:rPr>
                <w:lang w:val="en-US"/>
              </w:rPr>
              <w:t>In Rel17, there is already stable study for NTN, where th</w:t>
            </w:r>
            <w:r w:rsidRPr="007306A9">
              <w:rPr>
                <w:lang w:val="en-US"/>
              </w:rPr>
              <w:t xml:space="preserve">e G/T calculation is explained in TR 38.821 </w:t>
            </w:r>
            <w:r>
              <w:rPr>
                <w:lang w:val="en-US"/>
              </w:rPr>
              <w:t xml:space="preserve">to cover most of the UE cases in the market </w:t>
            </w:r>
            <w:r w:rsidRPr="007306A9">
              <w:rPr>
                <w:lang w:val="en-US"/>
              </w:rPr>
              <w:t>and that it is baseline value, which SA4 can also apply in their simulations</w:t>
            </w:r>
            <w:r w:rsidR="00C5187C">
              <w:rPr>
                <w:lang w:val="en-US"/>
              </w:rPr>
              <w:t xml:space="preserve"> instead using any other value</w:t>
            </w:r>
            <w:r w:rsidRPr="007306A9">
              <w:rPr>
                <w:lang w:val="en-US"/>
              </w:rPr>
              <w:t>.</w:t>
            </w:r>
            <w:r>
              <w:rPr>
                <w:lang w:val="en-US"/>
              </w:rPr>
              <w:t xml:space="preserve"> </w:t>
            </w:r>
          </w:p>
        </w:tc>
      </w:tr>
      <w:tr w:rsidR="006F3DF6" w14:paraId="36C660D1"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418D760" w14:textId="2E7C697F" w:rsidR="006F3DF6" w:rsidRDefault="006F3DF6" w:rsidP="0056647D">
            <w:pPr>
              <w:rPr>
                <w:rFonts w:eastAsiaTheme="minorEastAsia"/>
                <w:lang w:val="en-US" w:eastAsia="zh-CN"/>
              </w:rPr>
            </w:pPr>
            <w:r>
              <w:rPr>
                <w:rFonts w:eastAsiaTheme="minorEastAsia" w:hint="eastAsia"/>
                <w:lang w:val="en-US" w:eastAsia="zh-CN"/>
              </w:rPr>
              <w:t>CATT</w:t>
            </w:r>
          </w:p>
        </w:tc>
        <w:tc>
          <w:tcPr>
            <w:tcW w:w="7288" w:type="dxa"/>
          </w:tcPr>
          <w:p w14:paraId="080B5B9E" w14:textId="34B59296" w:rsidR="006F3DF6" w:rsidRPr="006F3DF6" w:rsidRDefault="006F3DF6" w:rsidP="0056647D">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support FL</w:t>
            </w:r>
            <w:r>
              <w:rPr>
                <w:rFonts w:eastAsiaTheme="minorEastAsia"/>
                <w:lang w:val="en-US" w:eastAsia="zh-CN"/>
              </w:rPr>
              <w:t>’</w:t>
            </w:r>
            <w:r>
              <w:rPr>
                <w:rFonts w:eastAsiaTheme="minorEastAsia" w:hint="eastAsia"/>
                <w:lang w:val="en-US" w:eastAsia="zh-CN"/>
              </w:rPr>
              <w:t xml:space="preserve">s response. </w:t>
            </w:r>
            <w:r>
              <w:rPr>
                <w:rFonts w:eastAsiaTheme="minorEastAsia"/>
                <w:lang w:val="en-US" w:eastAsia="zh-CN"/>
              </w:rPr>
              <w:t>F</w:t>
            </w:r>
            <w:r>
              <w:rPr>
                <w:rFonts w:eastAsiaTheme="minorEastAsia" w:hint="eastAsia"/>
                <w:lang w:val="en-US" w:eastAsia="zh-CN"/>
              </w:rPr>
              <w:t>or other values, we need to make sure if proposed values are popular and let RAN4 to determine final UE capability.</w:t>
            </w:r>
          </w:p>
        </w:tc>
      </w:tr>
      <w:tr w:rsidR="00EC459A" w14:paraId="5DF071C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778DBAC" w14:textId="3370A747" w:rsidR="00EC459A" w:rsidRDefault="00EC459A" w:rsidP="0056647D">
            <w:pPr>
              <w:rPr>
                <w:rFonts w:eastAsiaTheme="minorEastAsia" w:hint="eastAsia"/>
                <w:lang w:val="en-US" w:eastAsia="zh-CN"/>
              </w:rPr>
            </w:pPr>
            <w:r>
              <w:rPr>
                <w:rFonts w:eastAsiaTheme="minorEastAsia"/>
                <w:lang w:val="en-US" w:eastAsia="zh-CN"/>
              </w:rPr>
              <w:t>Lenovo</w:t>
            </w:r>
          </w:p>
        </w:tc>
        <w:tc>
          <w:tcPr>
            <w:tcW w:w="7288" w:type="dxa"/>
          </w:tcPr>
          <w:p w14:paraId="32901E8A" w14:textId="6DCB918C" w:rsidR="00EC459A" w:rsidRDefault="00EC459A" w:rsidP="0056647D">
            <w:pPr>
              <w:spacing w:line="259" w:lineRule="auto"/>
              <w:jc w:val="both"/>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We </w:t>
            </w:r>
            <w:r w:rsidR="007D0F5F">
              <w:rPr>
                <w:rFonts w:eastAsiaTheme="minorEastAsia"/>
                <w:lang w:val="en-US" w:eastAsia="zh-CN"/>
              </w:rPr>
              <w:t xml:space="preserve">are fine with </w:t>
            </w:r>
            <w:r>
              <w:rPr>
                <w:rFonts w:eastAsiaTheme="minorEastAsia"/>
                <w:lang w:val="en-US" w:eastAsia="zh-CN"/>
              </w:rPr>
              <w:t xml:space="preserve">the </w:t>
            </w:r>
            <w:r w:rsidR="00E9459C">
              <w:rPr>
                <w:rFonts w:eastAsiaTheme="minorEastAsia"/>
                <w:lang w:val="en-US" w:eastAsia="zh-CN"/>
              </w:rPr>
              <w:t>proposed</w:t>
            </w:r>
            <w:r>
              <w:rPr>
                <w:rFonts w:eastAsiaTheme="minorEastAsia"/>
                <w:lang w:val="en-US" w:eastAsia="zh-CN"/>
              </w:rPr>
              <w:t xml:space="preserve"> response</w:t>
            </w:r>
            <w:r w:rsidR="00E9459C">
              <w:rPr>
                <w:rFonts w:eastAsiaTheme="minorEastAsia"/>
                <w:lang w:val="en-US" w:eastAsia="zh-CN"/>
              </w:rPr>
              <w:t>.</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Huawei, HiSilicon</w:t>
      </w:r>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lastRenderedPageBreak/>
        <w:t>R1-2505366</w:t>
      </w:r>
      <w:r>
        <w:tab/>
        <w:t>Discussions on RAN simulation assumptions for ULBC</w:t>
      </w:r>
      <w:r>
        <w:tab/>
        <w:t>vivo, Spreadtrum</w:t>
      </w:r>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ZTE Corporation, Sanechips</w:t>
      </w:r>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t>Skylo Technologies</w:t>
      </w:r>
    </w:p>
    <w:p w14:paraId="0F48A2CE" w14:textId="2ACA025F" w:rsidR="00760AF8" w:rsidRPr="00760AF8" w:rsidRDefault="000B450C" w:rsidP="000B450C">
      <w:pPr>
        <w:spacing w:line="259" w:lineRule="auto"/>
      </w:pPr>
      <w:r>
        <w:t>R1-2506245</w:t>
      </w:r>
      <w:r>
        <w:tab/>
        <w:t>[Draft] Reply LS on the RAN simulation assumptions for ULBC</w:t>
      </w:r>
      <w:r>
        <w:tab/>
        <w:t>Skylo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8131" w14:textId="77777777" w:rsidR="00FB4616" w:rsidRDefault="00FB4616">
      <w:pPr>
        <w:spacing w:after="0"/>
      </w:pPr>
      <w:r>
        <w:separator/>
      </w:r>
    </w:p>
  </w:endnote>
  <w:endnote w:type="continuationSeparator" w:id="0">
    <w:p w14:paraId="22C21CD2" w14:textId="77777777" w:rsidR="00FB4616" w:rsidRDefault="00FB4616">
      <w:pPr>
        <w:spacing w:after="0"/>
      </w:pPr>
      <w:r>
        <w:continuationSeparator/>
      </w:r>
    </w:p>
  </w:endnote>
  <w:endnote w:type="continuationNotice" w:id="1">
    <w:p w14:paraId="0846ADE0" w14:textId="77777777" w:rsidR="00FB4616" w:rsidRDefault="00FB4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4A5C" w14:textId="77777777" w:rsidR="00FB4616" w:rsidRDefault="00FB4616">
      <w:pPr>
        <w:spacing w:after="0"/>
      </w:pPr>
      <w:r>
        <w:separator/>
      </w:r>
    </w:p>
  </w:footnote>
  <w:footnote w:type="continuationSeparator" w:id="0">
    <w:p w14:paraId="71DAD2C6" w14:textId="77777777" w:rsidR="00FB4616" w:rsidRDefault="00FB4616">
      <w:pPr>
        <w:spacing w:after="0"/>
      </w:pPr>
      <w:r>
        <w:continuationSeparator/>
      </w:r>
    </w:p>
  </w:footnote>
  <w:footnote w:type="continuationNotice" w:id="1">
    <w:p w14:paraId="6B3EB2C6" w14:textId="77777777" w:rsidR="00FB4616" w:rsidRDefault="00FB46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705599">
    <w:abstractNumId w:val="2"/>
  </w:num>
  <w:num w:numId="2" w16cid:durableId="1868326735">
    <w:abstractNumId w:val="28"/>
  </w:num>
  <w:num w:numId="3" w16cid:durableId="1971863583">
    <w:abstractNumId w:val="19"/>
  </w:num>
  <w:num w:numId="4" w16cid:durableId="421416135">
    <w:abstractNumId w:val="0"/>
  </w:num>
  <w:num w:numId="5" w16cid:durableId="1943418935">
    <w:abstractNumId w:val="26"/>
  </w:num>
  <w:num w:numId="6" w16cid:durableId="1936816509">
    <w:abstractNumId w:val="12"/>
  </w:num>
  <w:num w:numId="7" w16cid:durableId="1106730488">
    <w:abstractNumId w:val="13"/>
  </w:num>
  <w:num w:numId="8" w16cid:durableId="581182082">
    <w:abstractNumId w:val="10"/>
  </w:num>
  <w:num w:numId="9" w16cid:durableId="652300330">
    <w:abstractNumId w:val="4"/>
  </w:num>
  <w:num w:numId="10" w16cid:durableId="890918712">
    <w:abstractNumId w:val="23"/>
  </w:num>
  <w:num w:numId="11" w16cid:durableId="811098087">
    <w:abstractNumId w:val="14"/>
  </w:num>
  <w:num w:numId="12" w16cid:durableId="1597400099">
    <w:abstractNumId w:val="29"/>
  </w:num>
  <w:num w:numId="13" w16cid:durableId="578372111">
    <w:abstractNumId w:val="17"/>
  </w:num>
  <w:num w:numId="14" w16cid:durableId="1371147531">
    <w:abstractNumId w:val="6"/>
  </w:num>
  <w:num w:numId="15" w16cid:durableId="1474560465">
    <w:abstractNumId w:val="27"/>
  </w:num>
  <w:num w:numId="16" w16cid:durableId="1583100716">
    <w:abstractNumId w:val="20"/>
  </w:num>
  <w:num w:numId="17" w16cid:durableId="1656715756">
    <w:abstractNumId w:val="5"/>
  </w:num>
  <w:num w:numId="18" w16cid:durableId="1301883245">
    <w:abstractNumId w:val="22"/>
  </w:num>
  <w:num w:numId="19" w16cid:durableId="1010137968">
    <w:abstractNumId w:val="1"/>
  </w:num>
  <w:num w:numId="20" w16cid:durableId="956107295">
    <w:abstractNumId w:val="11"/>
  </w:num>
  <w:num w:numId="21" w16cid:durableId="2054845813">
    <w:abstractNumId w:val="8"/>
  </w:num>
  <w:num w:numId="22" w16cid:durableId="832914819">
    <w:abstractNumId w:val="18"/>
  </w:num>
  <w:num w:numId="23" w16cid:durableId="717512705">
    <w:abstractNumId w:val="7"/>
  </w:num>
  <w:num w:numId="24" w16cid:durableId="276911908">
    <w:abstractNumId w:val="9"/>
  </w:num>
  <w:num w:numId="25" w16cid:durableId="1400012014">
    <w:abstractNumId w:val="15"/>
  </w:num>
  <w:num w:numId="26" w16cid:durableId="714081697">
    <w:abstractNumId w:val="16"/>
  </w:num>
  <w:num w:numId="27" w16cid:durableId="1995991667">
    <w:abstractNumId w:val="3"/>
  </w:num>
  <w:num w:numId="28" w16cid:durableId="976570844">
    <w:abstractNumId w:val="24"/>
  </w:num>
  <w:num w:numId="29" w16cid:durableId="945964700">
    <w:abstractNumId w:val="25"/>
  </w:num>
  <w:num w:numId="30" w16cid:durableId="237938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0E95"/>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28A7"/>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47D"/>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DF6"/>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1FD"/>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0F5F"/>
    <w:rsid w:val="007D1678"/>
    <w:rsid w:val="007D1F62"/>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E7C2A"/>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A37"/>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2C2"/>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0CA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35D"/>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87C"/>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23B"/>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97"/>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02D"/>
    <w:rsid w:val="00E911CA"/>
    <w:rsid w:val="00E91BBA"/>
    <w:rsid w:val="00E91C1D"/>
    <w:rsid w:val="00E91EF3"/>
    <w:rsid w:val="00E92211"/>
    <w:rsid w:val="00E926D0"/>
    <w:rsid w:val="00E938F8"/>
    <w:rsid w:val="00E93AC9"/>
    <w:rsid w:val="00E93BA7"/>
    <w:rsid w:val="00E93BA8"/>
    <w:rsid w:val="00E93E47"/>
    <w:rsid w:val="00E941B4"/>
    <w:rsid w:val="00E943BD"/>
    <w:rsid w:val="00E9459C"/>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459A"/>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BA6"/>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1F5"/>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616"/>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6C151284-7B0C-498F-82AD-2573E15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GridTable5Dark-Accent11">
    <w:name w:val="Grid Table 5 Dark - Accent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2B6A2-CFAC-4333-A7DA-DE22CD15B46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4158</Words>
  <Characters>26199</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Andrei Stoica (Lenovo)r1</cp:lastModifiedBy>
  <cp:revision>7</cp:revision>
  <cp:lastPrinted>2020-02-10T06:14:00Z</cp:lastPrinted>
  <dcterms:created xsi:type="dcterms:W3CDTF">2025-08-25T13:35:00Z</dcterms:created>
  <dcterms:modified xsi:type="dcterms:W3CDTF">2025-08-25T14:02:00Z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