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Header"/>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Header"/>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Header"/>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Heading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TableGrid"/>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Hyperlink"/>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Heading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du="http://schemas.microsoft.com/office/word/2023/wordml/word16du" xmlns:w16sdtfl="http://schemas.microsoft.com/office/word/2024/wordml/sdtformatlock">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Heading2"/>
        <w:numPr>
          <w:ilvl w:val="1"/>
          <w:numId w:val="1"/>
        </w:numPr>
        <w:rPr>
          <w:lang w:val="en-US"/>
        </w:rPr>
      </w:pPr>
      <w:r>
        <w:rPr>
          <w:lang w:val="en-US"/>
        </w:rPr>
        <w:t>Input from companies</w:t>
      </w:r>
    </w:p>
    <w:p w14:paraId="1066AC11" w14:textId="77777777" w:rsidR="00760AF8" w:rsidRPr="00760AF8" w:rsidRDefault="00760AF8" w:rsidP="00760AF8">
      <w:pPr>
        <w:pStyle w:val="ListParagraph"/>
        <w:ind w:left="1140"/>
        <w:rPr>
          <w:lang w:val="en-US"/>
        </w:rPr>
      </w:pPr>
    </w:p>
    <w:tbl>
      <w:tblPr>
        <w:tblStyle w:val="TableGrid"/>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r>
              <w:rPr>
                <w:b/>
                <w:bCs/>
              </w:rPr>
              <w:t xml:space="preserve">Skylo </w:t>
            </w:r>
          </w:p>
        </w:tc>
        <w:tc>
          <w:tcPr>
            <w:tcW w:w="8427" w:type="dxa"/>
          </w:tcPr>
          <w:p w14:paraId="7A0241CD" w14:textId="45E63795" w:rsidR="00332D04" w:rsidRDefault="00332D04" w:rsidP="00332D04">
            <w:pPr>
              <w:pStyle w:val="ListParagraph"/>
              <w:numPr>
                <w:ilvl w:val="0"/>
                <w:numId w:val="25"/>
              </w:numPr>
            </w:pPr>
            <w:r>
              <w:t>We support BLER of 1 % or 2 % for evaluation</w:t>
            </w:r>
          </w:p>
          <w:p w14:paraId="71BA514F" w14:textId="4EF8ACCF" w:rsidR="00332D04" w:rsidRPr="00332D04" w:rsidRDefault="00332D04" w:rsidP="00332D04">
            <w:pPr>
              <w:pStyle w:val="ListParagraph"/>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ListParagraph"/>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ListParagraph"/>
              <w:numPr>
                <w:ilvl w:val="0"/>
                <w:numId w:val="25"/>
              </w:numPr>
            </w:pPr>
            <w:r w:rsidRPr="00CE31C2">
              <w:t>Use pi/2 BPSK for low MCS</w:t>
            </w:r>
          </w:p>
          <w:p w14:paraId="426EABFD" w14:textId="4773D249" w:rsidR="00611AE7" w:rsidRPr="00CE31C2" w:rsidRDefault="00611AE7" w:rsidP="00FB5E97">
            <w:pPr>
              <w:pStyle w:val="ListParagraph"/>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ListParagraph"/>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dBi is deemed the baseline given its realistic UE antenna gain as per RAN4 reply LS (R1-2208353). RAN1 also views 0 dB as the baseline for X value.  </w:t>
            </w:r>
          </w:p>
          <w:p w14:paraId="35B690E6" w14:textId="77777777" w:rsidR="00C54801" w:rsidRPr="00CE31C2" w:rsidRDefault="00C54801" w:rsidP="00C54801">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For section 5.2.2.3 (Downlink simulation parameters), RAN1 considers incorporating SET-2 and SET-3 UL SNRs further. Similarly, -5.5 dBi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ListParagraph"/>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ListParagraph"/>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NB-IoT, 2% rBLER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ListParagraph"/>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ListParagraph"/>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ListParagraph"/>
              <w:numPr>
                <w:ilvl w:val="1"/>
                <w:numId w:val="28"/>
              </w:numPr>
              <w:rPr>
                <w:b/>
                <w:bCs/>
              </w:rPr>
            </w:pPr>
            <w:r w:rsidRPr="00CE31C2">
              <w:rPr>
                <w:b/>
                <w:bCs/>
              </w:rPr>
              <w:t>AWGN channel</w:t>
            </w:r>
          </w:p>
          <w:p w14:paraId="672FA2E5" w14:textId="77777777" w:rsidR="008C7F4C" w:rsidRPr="00CE31C2" w:rsidRDefault="008C7F4C" w:rsidP="008C7F4C">
            <w:pPr>
              <w:pStyle w:val="ListParagraph"/>
              <w:numPr>
                <w:ilvl w:val="1"/>
                <w:numId w:val="28"/>
              </w:numPr>
              <w:rPr>
                <w:b/>
                <w:bCs/>
              </w:rPr>
            </w:pPr>
            <w:r w:rsidRPr="00CE31C2">
              <w:rPr>
                <w:b/>
                <w:bCs/>
              </w:rPr>
              <w:t>No shadow margin or scintillation loss.</w:t>
            </w:r>
          </w:p>
          <w:p w14:paraId="578D914A" w14:textId="33F3FF4F" w:rsidR="0095701E" w:rsidRPr="00CE31C2" w:rsidRDefault="008C7F4C" w:rsidP="008C7F4C">
            <w:pPr>
              <w:pStyle w:val="ListParagraph"/>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r>
              <w:rPr>
                <w:b/>
                <w:bCs/>
              </w:rPr>
              <w:t>Skylo</w:t>
            </w:r>
          </w:p>
        </w:tc>
        <w:tc>
          <w:tcPr>
            <w:tcW w:w="8427" w:type="dxa"/>
          </w:tcPr>
          <w:p w14:paraId="22F72C0E"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NormalWeb"/>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NormalWeb"/>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Heading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ListParagraph"/>
        <w:numPr>
          <w:ilvl w:val="0"/>
          <w:numId w:val="28"/>
        </w:numPr>
        <w:rPr>
          <w:lang w:val="en-US"/>
        </w:rPr>
      </w:pPr>
      <w:r>
        <w:rPr>
          <w:lang w:val="en-US"/>
        </w:rPr>
        <w:t xml:space="preserve">Apple and </w:t>
      </w:r>
      <w:r w:rsidR="008B7B34">
        <w:rPr>
          <w:lang w:val="en-US"/>
        </w:rPr>
        <w:t xml:space="preserve">Xiaomi proposes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ListParagraph"/>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ListParagraph"/>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ListParagraph"/>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ListParagraph"/>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Heading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ListParagraph"/>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ListParagraph"/>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ListParagraph"/>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ListParagraph"/>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ListParagraph"/>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ListParagraph"/>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ListParagraph"/>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ListParagraph"/>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ListParagraph"/>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ListParagraph"/>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ListParagraph"/>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ListParagraph"/>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ListParagraph"/>
        <w:rPr>
          <w:lang w:val="en-US"/>
        </w:rPr>
      </w:pPr>
    </w:p>
    <w:p w14:paraId="4B858055" w14:textId="77777777" w:rsidR="00E649CE" w:rsidRDefault="00E649CE" w:rsidP="00B83CA2">
      <w:pPr>
        <w:rPr>
          <w:lang w:val="en-US"/>
        </w:rPr>
      </w:pPr>
    </w:p>
    <w:p w14:paraId="4F13C753" w14:textId="2F0372F0" w:rsidR="001766A1" w:rsidRDefault="001766A1" w:rsidP="001766A1">
      <w:pPr>
        <w:pStyle w:val="Heading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ms*,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On the other hand, 40 ms bundling can considered for SCS 15 kHz since the minimum time-domain allocation for single-tone is 8 ms, whereas the minimum time-domain allocation for multi-tone is 4 ms, 2ms, and 1 ms for 3, 6, and 12 tones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The NPDSCH now can be anywhere in the first 15ms (considering that a minimum gap of 1 ms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The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[C2.4] The baseline should be set at −5.5 dBi, as already adopted in RAN1 evaluations. This ensures that the evaluation results are representative of real-world device performance. Since standards must apply to the entire device ecosystem and not just a subset with superior antenna characteristics, using −5.5 dBi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SimSun" w:hint="eastAsia"/>
                <w:lang w:val="en-US" w:eastAsia="zh-CN"/>
              </w:rPr>
              <w:t>[</w:t>
            </w:r>
            <w:r>
              <w:rPr>
                <w:rFonts w:eastAsia="SimSun"/>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SimSun"/>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hint="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RAN1 response can mainly confirm the DL and UL link budget assumptions. The baseline for these assumptions can be based on TR 36.763 set 1 parameters. We are open to using set 2 as the worst case. On the bundling assumption, it is not necessary to discuss this in RAN1.We think 80 ms can be used as the baseline.</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Heading1"/>
        <w:numPr>
          <w:ilvl w:val="0"/>
          <w:numId w:val="1"/>
        </w:numPr>
        <w:tabs>
          <w:tab w:val="num" w:pos="720"/>
        </w:tabs>
        <w:ind w:left="720" w:hanging="720"/>
        <w:jc w:val="both"/>
        <w:rPr>
          <w:lang w:val="en-US"/>
        </w:rPr>
      </w:pPr>
      <w:r>
        <w:rPr>
          <w:lang w:val="en-US"/>
        </w:rPr>
        <w:lastRenderedPageBreak/>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du="http://schemas.microsoft.com/office/word/2023/wordml/word16du" xmlns:w16sdtfl="http://schemas.microsoft.com/office/word/2024/wordml/sdtformatlock">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Heading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TableGrid"/>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ListParagraph"/>
              <w:numPr>
                <w:ilvl w:val="0"/>
                <w:numId w:val="25"/>
              </w:numPr>
            </w:pPr>
            <w:r w:rsidRPr="00C60969">
              <w:t>G/T of -31.6 is not the worst case scenario</w:t>
            </w:r>
          </w:p>
          <w:p w14:paraId="70D5456D" w14:textId="1E6EEF97" w:rsidR="00611AE7" w:rsidRPr="00C60969" w:rsidRDefault="002B40F1" w:rsidP="00737121">
            <w:pPr>
              <w:pStyle w:val="ListParagraph"/>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ListParagraph"/>
              <w:numPr>
                <w:ilvl w:val="0"/>
                <w:numId w:val="25"/>
              </w:numPr>
            </w:pPr>
            <w:r w:rsidRPr="00C60969">
              <w:t>-31.6dB/k is a moderate case</w:t>
            </w:r>
          </w:p>
          <w:p w14:paraId="6710547C" w14:textId="47113007" w:rsidR="00175FEB" w:rsidRPr="00C60969" w:rsidRDefault="00175FEB" w:rsidP="00175FEB">
            <w:pPr>
              <w:pStyle w:val="ListParagraph"/>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ListParagraph"/>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dBi, and noise figure is 7 dB. This does not represent a worst-case scenario with the following reasons, </w:t>
            </w:r>
          </w:p>
          <w:p w14:paraId="52AA146B"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RX antenna gain is estimated at -5.5 dBi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ListParagraph"/>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ListParagraph"/>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dBi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lastRenderedPageBreak/>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r>
              <w:rPr>
                <w:b/>
                <w:bCs/>
              </w:rPr>
              <w:lastRenderedPageBreak/>
              <w:t>Skylo</w:t>
            </w:r>
          </w:p>
        </w:tc>
        <w:tc>
          <w:tcPr>
            <w:tcW w:w="8464" w:type="dxa"/>
          </w:tcPr>
          <w:p w14:paraId="267DA0A2"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NormalWeb"/>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Heading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Heading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r w:rsidRPr="00450CE8">
                              <w:t>ure</w:t>
                            </w:r>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du="http://schemas.microsoft.com/office/word/2023/wordml/word16du" xmlns:w16sdtfl="http://schemas.microsoft.com/office/word/2024/wordml/sdtformatlock">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while typically used in RAN1 evaluations,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Heading3"/>
        <w:rPr>
          <w:lang w:val="en-US"/>
        </w:rPr>
      </w:pPr>
      <w:r>
        <w:rPr>
          <w:lang w:val="en-US"/>
        </w:rPr>
        <w:lastRenderedPageBreak/>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gain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G/T can be determined using equation 6.1.3.1-3 as described in TR 38.821. The value G/T = -31.6 dB/K is obtained under the following assumptions: Antenna gain (G_R) = 0 dBi, noise figure (N_f)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  -31.6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lastRenderedPageBreak/>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hint="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Heading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Huawei, HiSilicon</w:t>
      </w:r>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vivo, Spreadtrum</w:t>
      </w:r>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ZTE Corporation, Sanechips</w:t>
      </w:r>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t>Skylo Technologies</w:t>
      </w:r>
    </w:p>
    <w:p w14:paraId="0F48A2CE" w14:textId="2ACA025F" w:rsidR="00760AF8" w:rsidRPr="00760AF8" w:rsidRDefault="000B450C" w:rsidP="000B450C">
      <w:pPr>
        <w:spacing w:line="259" w:lineRule="auto"/>
      </w:pPr>
      <w:r>
        <w:t>R1-2506245</w:t>
      </w:r>
      <w:r>
        <w:tab/>
        <w:t>[Draft] Reply LS on the RAN simulation assumptions for ULBC</w:t>
      </w:r>
      <w:r>
        <w:tab/>
        <w:t>Skylo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88F1" w14:textId="77777777" w:rsidR="000E384F" w:rsidRDefault="000E384F">
      <w:pPr>
        <w:spacing w:after="0"/>
      </w:pPr>
      <w:r>
        <w:separator/>
      </w:r>
    </w:p>
  </w:endnote>
  <w:endnote w:type="continuationSeparator" w:id="0">
    <w:p w14:paraId="1B250251" w14:textId="77777777" w:rsidR="000E384F" w:rsidRDefault="000E384F">
      <w:pPr>
        <w:spacing w:after="0"/>
      </w:pPr>
      <w:r>
        <w:continuationSeparator/>
      </w:r>
    </w:p>
  </w:endnote>
  <w:endnote w:type="continuationNotice" w:id="1">
    <w:p w14:paraId="44B8319F" w14:textId="77777777" w:rsidR="000E384F" w:rsidRDefault="000E38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A9E2" w14:textId="77777777" w:rsidR="000E384F" w:rsidRDefault="000E384F">
      <w:pPr>
        <w:spacing w:after="0"/>
      </w:pPr>
      <w:r>
        <w:separator/>
      </w:r>
    </w:p>
  </w:footnote>
  <w:footnote w:type="continuationSeparator" w:id="0">
    <w:p w14:paraId="7C065C83" w14:textId="77777777" w:rsidR="000E384F" w:rsidRDefault="000E384F">
      <w:pPr>
        <w:spacing w:after="0"/>
      </w:pPr>
      <w:r>
        <w:continuationSeparator/>
      </w:r>
    </w:p>
  </w:footnote>
  <w:footnote w:type="continuationNotice" w:id="1">
    <w:p w14:paraId="0531F25C" w14:textId="77777777" w:rsidR="000E384F" w:rsidRDefault="000E38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412821">
    <w:abstractNumId w:val="2"/>
  </w:num>
  <w:num w:numId="2" w16cid:durableId="1608541581">
    <w:abstractNumId w:val="28"/>
  </w:num>
  <w:num w:numId="3" w16cid:durableId="37241376">
    <w:abstractNumId w:val="19"/>
  </w:num>
  <w:num w:numId="4" w16cid:durableId="416749658">
    <w:abstractNumId w:val="0"/>
  </w:num>
  <w:num w:numId="5" w16cid:durableId="1362433325">
    <w:abstractNumId w:val="26"/>
  </w:num>
  <w:num w:numId="6" w16cid:durableId="316420125">
    <w:abstractNumId w:val="12"/>
  </w:num>
  <w:num w:numId="7" w16cid:durableId="1904753437">
    <w:abstractNumId w:val="13"/>
  </w:num>
  <w:num w:numId="8" w16cid:durableId="1086881097">
    <w:abstractNumId w:val="10"/>
  </w:num>
  <w:num w:numId="9" w16cid:durableId="572811307">
    <w:abstractNumId w:val="4"/>
  </w:num>
  <w:num w:numId="10" w16cid:durableId="1114133228">
    <w:abstractNumId w:val="23"/>
  </w:num>
  <w:num w:numId="11" w16cid:durableId="1986927869">
    <w:abstractNumId w:val="14"/>
  </w:num>
  <w:num w:numId="12" w16cid:durableId="1737512226">
    <w:abstractNumId w:val="29"/>
  </w:num>
  <w:num w:numId="13" w16cid:durableId="1920292227">
    <w:abstractNumId w:val="17"/>
  </w:num>
  <w:num w:numId="14" w16cid:durableId="290599012">
    <w:abstractNumId w:val="6"/>
  </w:num>
  <w:num w:numId="15" w16cid:durableId="565989753">
    <w:abstractNumId w:val="27"/>
  </w:num>
  <w:num w:numId="16" w16cid:durableId="2106069112">
    <w:abstractNumId w:val="20"/>
  </w:num>
  <w:num w:numId="17" w16cid:durableId="1407069340">
    <w:abstractNumId w:val="5"/>
  </w:num>
  <w:num w:numId="18" w16cid:durableId="570694531">
    <w:abstractNumId w:val="22"/>
  </w:num>
  <w:num w:numId="19" w16cid:durableId="1044864641">
    <w:abstractNumId w:val="1"/>
  </w:num>
  <w:num w:numId="20" w16cid:durableId="350374006">
    <w:abstractNumId w:val="11"/>
  </w:num>
  <w:num w:numId="21" w16cid:durableId="1070883363">
    <w:abstractNumId w:val="8"/>
  </w:num>
  <w:num w:numId="22" w16cid:durableId="1317686150">
    <w:abstractNumId w:val="18"/>
  </w:num>
  <w:num w:numId="23" w16cid:durableId="754327978">
    <w:abstractNumId w:val="7"/>
  </w:num>
  <w:num w:numId="24" w16cid:durableId="2097553259">
    <w:abstractNumId w:val="9"/>
  </w:num>
  <w:num w:numId="25" w16cid:durableId="1846363763">
    <w:abstractNumId w:val="15"/>
  </w:num>
  <w:num w:numId="26" w16cid:durableId="2096440575">
    <w:abstractNumId w:val="16"/>
  </w:num>
  <w:num w:numId="27" w16cid:durableId="1562524224">
    <w:abstractNumId w:val="3"/>
  </w:num>
  <w:num w:numId="28" w16cid:durableId="1828015929">
    <w:abstractNumId w:val="24"/>
  </w:num>
  <w:num w:numId="29" w16cid:durableId="815338545">
    <w:abstractNumId w:val="25"/>
  </w:num>
  <w:num w:numId="30" w16cid:durableId="16384871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Normal"/>
    <w:qFormat/>
    <w:rsid w:val="00610189"/>
    <w:pPr>
      <w:keepLines/>
      <w:ind w:left="1702" w:hanging="1418"/>
    </w:pPr>
  </w:style>
  <w:style w:type="paragraph" w:customStyle="1" w:styleId="EQ">
    <w:name w:val="EQ"/>
    <w:basedOn w:val="Normal"/>
    <w:next w:val="Normal"/>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EA5A01A-FF13-4E36-AED6-5CA24048DC02}">
  <ds:schemaRefs>
    <ds:schemaRef ds:uri="http://schemas.openxmlformats.org/officeDocument/2006/bibliography"/>
  </ds:schemaRefs>
</ds:datastoreItem>
</file>

<file path=customXml/itemProps4.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4197</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Gilles Charbit</cp:lastModifiedBy>
  <cp:revision>3</cp:revision>
  <cp:lastPrinted>2020-02-10T06:14:00Z</cp:lastPrinted>
  <dcterms:created xsi:type="dcterms:W3CDTF">2025-08-25T09:33:00Z</dcterms:created>
  <dcterms:modified xsi:type="dcterms:W3CDTF">2025-08-25T10:43:00Z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55C4EE398AA181B5D5F78B573F6CBE12F76852EFBDF41625E85EF33E4FFAFD544EF8D716D4DE59F681055143BB4D6CB826DD7AAB029714C9E77881D7BD4D07EA</vt:lpwstr>
  </property>
</Properties>
</file>