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 xml:space="preserve">Coding and modulation in 6G Radio to be based on </w:t>
            </w:r>
            <w:proofErr w:type="spellStart"/>
            <w:r>
              <w:t>Gray</w:t>
            </w:r>
            <w:proofErr w:type="spellEnd"/>
            <w:r>
              <w:t>-Coded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proofErr w:type="spellStart"/>
            <w:r>
              <w:t>Spreadtrum</w:t>
            </w:r>
            <w:proofErr w:type="spellEnd"/>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proofErr w:type="spellStart"/>
            <w:r>
              <w:t>Oppo</w:t>
            </w:r>
            <w:proofErr w:type="spellEnd"/>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proofErr w:type="spellStart"/>
            <w:r>
              <w:t>Lekha</w:t>
            </w:r>
            <w:proofErr w:type="spellEnd"/>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bookmarkStart w:id="7" w:name="_GoBack"/>
      <w:bookmarkEnd w:id="7"/>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8" w:name="_Hlk207114226"/>
            <w:r>
              <w:rPr>
                <w:rFonts w:eastAsia="MS Mincho" w:hint="eastAsia"/>
                <w:color w:val="FF0000"/>
                <w:lang w:eastAsia="ja-JP"/>
              </w:rPr>
              <w:t>FFS: Enhancement(s) for low PAPR modulation for DFT-S-OFDM.</w:t>
            </w:r>
          </w:p>
          <w:bookmarkEnd w:id="8"/>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proofErr w:type="spellStart"/>
            <w:r>
              <w:t>Spreadtrum</w:t>
            </w:r>
            <w:proofErr w:type="spellEnd"/>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 xml:space="preserve">Furthermore, the ‘solution’ in further study is not clear. Does it mean the solution for </w:t>
            </w:r>
            <w:proofErr w:type="gramStart"/>
            <w:r>
              <w:t>4kQAM</w:t>
            </w:r>
            <w:proofErr w:type="gramEnd"/>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proofErr w:type="spellStart"/>
            <w:r>
              <w:rPr>
                <w:rFonts w:eastAsia="Batang"/>
                <w:lang w:eastAsia="ko-KR"/>
              </w:rPr>
              <w:t>Tejas</w:t>
            </w:r>
            <w:proofErr w:type="spellEnd"/>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r>
              <w:rPr>
                <w:rFonts w:eastAsiaTheme="minorEastAsia"/>
                <w:lang w:eastAsia="zh-CN"/>
              </w:rPr>
              <w:t>.</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proofErr w:type="spellStart"/>
            <w:r>
              <w:t>Spreadtrum</w:t>
            </w:r>
            <w:proofErr w:type="spellEnd"/>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lastRenderedPageBreak/>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lastRenderedPageBreak/>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proofErr w:type="spellStart"/>
            <w:r>
              <w:t>Tejas</w:t>
            </w:r>
            <w:proofErr w:type="spellEnd"/>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proofErr w:type="spellStart"/>
            <w:r>
              <w:t>Oppo</w:t>
            </w:r>
            <w:proofErr w:type="spellEnd"/>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lastRenderedPageBreak/>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lastRenderedPageBreak/>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lastRenderedPageBreak/>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9"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9"/>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lastRenderedPageBreak/>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proofErr w:type="spellStart"/>
            <w:r>
              <w:rPr>
                <w:rFonts w:eastAsia="Batang"/>
                <w:color w:val="000000" w:themeColor="text1"/>
                <w:lang w:eastAsia="ko-KR"/>
              </w:rPr>
              <w:t>Tejas</w:t>
            </w:r>
            <w:proofErr w:type="spellEnd"/>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lastRenderedPageBreak/>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lastRenderedPageBreak/>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proofErr w:type="spellStart"/>
            <w:r>
              <w:rPr>
                <w:rFonts w:eastAsia="宋体"/>
                <w:lang w:val="en-US" w:eastAsia="zh-CN"/>
              </w:rPr>
              <w:t>Spreadtrum</w:t>
            </w:r>
            <w:proofErr w:type="spellEnd"/>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proofErr w:type="spellStart"/>
            <w:r>
              <w:rPr>
                <w:rFonts w:eastAsia="Batang"/>
                <w:color w:val="000000" w:themeColor="text1"/>
                <w:lang w:eastAsia="ko-KR"/>
              </w:rPr>
              <w:lastRenderedPageBreak/>
              <w:t>Tejas</w:t>
            </w:r>
            <w:proofErr w:type="spellEnd"/>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宋体" w:hint="eastAsia"/>
                <w:lang w:val="en-US" w:eastAsia="zh-CN"/>
              </w:rPr>
              <w:t>Z</w:t>
            </w:r>
            <w:r>
              <w:rPr>
                <w:rFonts w:eastAsia="宋体"/>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af7"/>
                <w:rFonts w:eastAsia="宋体" w:hint="eastAsia"/>
                <w:lang w:val="en-US" w:eastAsia="zh-CN"/>
              </w:rPr>
              <w:t xml:space="preserve">. BICM capacity characterizes the theoretical performance bound under infinite code length assumption over ergodic channels (e.g., AWGN </w:t>
            </w:r>
            <w:r>
              <w:rPr>
                <w:rStyle w:val="af7"/>
                <w:rFonts w:eastAsia="宋体"/>
                <w:lang w:val="en-US" w:eastAsia="zh-CN"/>
              </w:rPr>
              <w:t>and</w:t>
            </w:r>
            <w:r>
              <w:rPr>
                <w:rStyle w:val="af7"/>
                <w:rFonts w:eastAsia="宋体" w:hint="eastAsia"/>
                <w:lang w:val="en-US" w:eastAsia="zh-CN"/>
              </w:rPr>
              <w:t xml:space="preserve"> </w:t>
            </w:r>
            <w:proofErr w:type="spellStart"/>
            <w:r>
              <w:rPr>
                <w:rStyle w:val="af7"/>
                <w:rFonts w:eastAsia="宋体" w:hint="eastAsia"/>
                <w:lang w:val="en-US" w:eastAsia="zh-CN"/>
              </w:rPr>
              <w:t>i.i.d</w:t>
            </w:r>
            <w:proofErr w:type="spellEnd"/>
            <w:r>
              <w:rPr>
                <w:rStyle w:val="af7"/>
                <w:rFonts w:eastAsia="宋体" w:hint="eastAsia"/>
                <w:lang w:val="en-US" w:eastAsia="zh-CN"/>
              </w:rPr>
              <w:t xml:space="preserve">. Rayleigh fading channels). It should be noted that this differs fundamentally from the </w:t>
            </w:r>
            <w:r>
              <w:rPr>
                <w:rStyle w:val="af7"/>
                <w:rFonts w:eastAsia="宋体"/>
                <w:lang w:val="en-US" w:eastAsia="zh-CN"/>
              </w:rPr>
              <w:t>fading</w:t>
            </w:r>
            <w:r>
              <w:rPr>
                <w:rStyle w:val="af7"/>
                <w:rFonts w:eastAsia="宋体"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proofErr w:type="spellStart"/>
            <w:r>
              <w:t>Spreadtrum</w:t>
            </w:r>
            <w:proofErr w:type="spellEnd"/>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proofErr w:type="spellStart"/>
            <w:r>
              <w:t>Oppo</w:t>
            </w:r>
            <w:proofErr w:type="spellEnd"/>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proofErr w:type="spellStart"/>
            <w:r>
              <w:t>Lekha</w:t>
            </w:r>
            <w:proofErr w:type="spellEnd"/>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 xml:space="preserve">Subject to the use of non-capacity-achieving channel codes, consider supplementing </w:t>
            </w:r>
            <w:proofErr w:type="spellStart"/>
            <w:r>
              <w:t>Gray</w:t>
            </w:r>
            <w:proofErr w:type="spellEnd"/>
            <w:r>
              <w:t>-code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lastRenderedPageBreak/>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 xml:space="preserve">Reuse NR BICM and no additional joint channel coding and modulation designs supported (other than what will be discussed in 6G AI) – </w:t>
      </w:r>
      <w:proofErr w:type="spellStart"/>
      <w:r>
        <w:t>Spreadtrum</w:t>
      </w:r>
      <w:proofErr w:type="spellEnd"/>
      <w:r>
        <w:t>,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proofErr w:type="spellStart"/>
            <w:r>
              <w:t>Spreadtrum</w:t>
            </w:r>
            <w:proofErr w:type="spellEnd"/>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hint="eastAsia"/>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hint="eastAsia"/>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10" w:name="_Toc206082281"/>
      <w:r>
        <w:t>References</w:t>
      </w:r>
      <w:bookmarkEnd w:id="10"/>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lastRenderedPageBreak/>
        <w:t xml:space="preserve">R1-2505175, Discussion on modulation, joint channel coding and modulation for 6GR, </w:t>
      </w:r>
      <w:proofErr w:type="spellStart"/>
      <w:r>
        <w:t>Spreadtrum</w:t>
      </w:r>
      <w:proofErr w:type="spellEnd"/>
      <w:r>
        <w:t>, UNISOC</w:t>
      </w:r>
    </w:p>
    <w:p w14:paraId="7FC5EAB9" w14:textId="77777777" w:rsidR="007E7DEB" w:rsidRDefault="00421878">
      <w:pPr>
        <w:pStyle w:val="reference"/>
      </w:pPr>
      <w:r>
        <w:t xml:space="preserve">R1-2505186, Modulation for 6GR air interface, Huawei, </w:t>
      </w:r>
      <w:proofErr w:type="spellStart"/>
      <w:r>
        <w:t>HiSilicon</w:t>
      </w:r>
      <w:proofErr w:type="spellEnd"/>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 xml:space="preserve">R1-2505637, Performance of NU-QAM with 5G-NR LDPC codes, </w:t>
      </w:r>
      <w:proofErr w:type="spellStart"/>
      <w:r>
        <w:t>Tejas</w:t>
      </w:r>
      <w:proofErr w:type="spellEnd"/>
      <w:r>
        <w:t xml:space="preserve">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 xml:space="preserve">R1-2505784, Modulation, joint channel coding and modulation for 6GR Interface, </w:t>
      </w:r>
      <w:proofErr w:type="spellStart"/>
      <w:r>
        <w:t>Lekha</w:t>
      </w:r>
      <w:proofErr w:type="spellEnd"/>
      <w:r>
        <w:t xml:space="preserve">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77419" w14:textId="77777777" w:rsidR="006522A7" w:rsidRDefault="006522A7">
      <w:r>
        <w:separator/>
      </w:r>
    </w:p>
  </w:endnote>
  <w:endnote w:type="continuationSeparator" w:id="0">
    <w:p w14:paraId="6C479E95" w14:textId="77777777" w:rsidR="006522A7" w:rsidRDefault="0065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Yu Mincho">
    <w:altName w:val="游明朝"/>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5E3B" w14:textId="77777777" w:rsidR="006522A7" w:rsidRDefault="006522A7">
      <w:pPr>
        <w:spacing w:after="0"/>
      </w:pPr>
      <w:r>
        <w:separator/>
      </w:r>
    </w:p>
  </w:footnote>
  <w:footnote w:type="continuationSeparator" w:id="0">
    <w:p w14:paraId="2D922EE8" w14:textId="77777777" w:rsidR="006522A7" w:rsidRDefault="00652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13"/>
  </w:num>
  <w:num w:numId="4">
    <w:abstractNumId w:val="3"/>
  </w:num>
  <w:num w:numId="5">
    <w:abstractNumId w:val="8"/>
  </w:num>
  <w:num w:numId="6">
    <w:abstractNumId w:val="18"/>
  </w:num>
  <w:num w:numId="7">
    <w:abstractNumId w:val="6"/>
  </w:num>
  <w:num w:numId="8">
    <w:abstractNumId w:val="14"/>
  </w:num>
  <w:num w:numId="9">
    <w:abstractNumId w:val="15"/>
  </w:num>
  <w:num w:numId="10">
    <w:abstractNumId w:val="7"/>
  </w:num>
  <w:num w:numId="11">
    <w:abstractNumId w:val="9"/>
  </w:num>
  <w:num w:numId="12">
    <w:abstractNumId w:val="1"/>
  </w:num>
  <w:num w:numId="13">
    <w:abstractNumId w:val="2"/>
  </w:num>
  <w:num w:numId="14">
    <w:abstractNumId w:val="0"/>
  </w:num>
  <w:num w:numId="15">
    <w:abstractNumId w:val="11"/>
  </w:num>
  <w:num w:numId="16">
    <w:abstractNumId w:val="12"/>
  </w:num>
  <w:num w:numId="17">
    <w:abstractNumId w:val="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1CB6"/>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77B"/>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93E99"/>
    <w:rsid w:val="008A2710"/>
    <w:rsid w:val="008A4375"/>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E492F"/>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 字符"/>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4">
    <w:name w:val="Intense Quote"/>
    <w:basedOn w:val="a0"/>
    <w:next w:val="a0"/>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1"/>
    <w:link w:val="af4"/>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6">
    <w:name w:val="Revision"/>
    <w:hidden/>
    <w:uiPriority w:val="99"/>
    <w:unhideWhenUsed/>
    <w:rsid w:val="00927A85"/>
    <w:rPr>
      <w:rFonts w:ascii="Times New Roman" w:eastAsia="Times New Roman" w:hAnsi="Times New Roman" w:cs="Times New Roman"/>
      <w:lang w:val="en-GB" w:eastAsia="en-GB"/>
    </w:rPr>
  </w:style>
  <w:style w:type="character" w:styleId="af7">
    <w:name w:val="annotation reference"/>
    <w:basedOn w:val="a1"/>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5223</Words>
  <Characters>29773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Jiajun, Xu (ZTE, Sanechips)</cp:lastModifiedBy>
  <cp:revision>2</cp:revision>
  <dcterms:created xsi:type="dcterms:W3CDTF">2025-08-27T03:50:00Z</dcterms:created>
  <dcterms:modified xsi:type="dcterms:W3CDTF">2025-08-27T03:50:00Z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