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48DF7DBF">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w:t>
            </w:r>
            <w:proofErr w:type="gramStart"/>
            <w:r>
              <w:rPr>
                <w:lang w:val="en-US"/>
              </w:rPr>
              <w:t>of</w:t>
            </w:r>
            <w:proofErr w:type="gramEnd"/>
            <w:r>
              <w:rPr>
                <w:lang w:val="en-US"/>
              </w:rPr>
              <w:t xml:space="preserve">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lastRenderedPageBreak/>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lastRenderedPageBreak/>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bl>
    <w:p w14:paraId="37073A98" w14:textId="77777777" w:rsidR="00DE2ADA" w:rsidRPr="005F6E72"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lastRenderedPageBreak/>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w:t>
            </w:r>
            <w:r>
              <w:rPr>
                <w:rFonts w:asciiTheme="minorEastAsia" w:eastAsiaTheme="minorEastAsia" w:hAnsiTheme="minorEastAsia" w:hint="eastAsia"/>
                <w:lang w:val="en-GB" w:eastAsia="zh-CN"/>
              </w:rPr>
              <w:lastRenderedPageBreak/>
              <w:t xml:space="preserve">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lastRenderedPageBreak/>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hint="eastAsia"/>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hint="eastAsia"/>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hint="eastAsia"/>
                <w:lang w:val="en-GB" w:eastAsia="ko-KR"/>
              </w:rPr>
            </w:pPr>
            <w:r>
              <w:rPr>
                <w:rFonts w:eastAsiaTheme="minorEastAsia"/>
                <w:lang w:val="en-GB" w:eastAsia="zh-CN"/>
              </w:rPr>
              <w:t xml:space="preserve">Support 3MHz as minimum CBW </w:t>
            </w:r>
            <w:r>
              <w:rPr>
                <w:rFonts w:eastAsiaTheme="minorEastAsia"/>
                <w:lang w:val="en-GB" w:eastAsia="zh-CN"/>
              </w:rPr>
              <w:t xml:space="preserve">for FR1 </w:t>
            </w:r>
            <w:r>
              <w:rPr>
                <w:rFonts w:eastAsiaTheme="minorEastAsia"/>
                <w:lang w:val="en-GB" w:eastAsia="zh-CN"/>
              </w:rPr>
              <w:t>as in 5G NR</w:t>
            </w: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lastRenderedPageBreak/>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lastRenderedPageBreak/>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As we don’t have a 6GR signals/channels</w:t>
            </w:r>
            <w:r>
              <w:rPr>
                <w:rFonts w:eastAsia="Malgun Gothic"/>
                <w:lang w:val="en-GB" w:eastAsia="ko-KR"/>
              </w:rPr>
              <w:t xml:space="preserve"> yet</w:t>
            </w:r>
            <w:r>
              <w:rPr>
                <w:rFonts w:eastAsia="Malgun Gothic"/>
                <w:lang w:val="en-GB" w:eastAsia="ko-KR"/>
              </w:rPr>
              <w:t xml:space="preserve">, it is hard to make any decision which signals/channels require coverage enhancement. Also, target MCL is missing too. Under this agenda, it would be good enough to make decision on the overall target coverage requirements </w:t>
            </w:r>
          </w:p>
        </w:tc>
      </w:tr>
    </w:tbl>
    <w:p w14:paraId="3C5394DA" w14:textId="77777777" w:rsidR="00102D7D" w:rsidRPr="004F3DBE" w:rsidRDefault="00102D7D"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We would like to highlight that the study for sync signal structure needs to consider the work in 11.5. There are many different proposed enhancements to 5G SSB design. We feel at this stage if we are going to list 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lastRenderedPageBreak/>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ListParagraph"/>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BodyText"/>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BodyText"/>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bl>
    <w:p w14:paraId="0BEB8C6D" w14:textId="77777777" w:rsidR="00C93E9A" w:rsidRPr="004F3DBE" w:rsidRDefault="00C93E9A" w:rsidP="00C93E9A">
      <w:pPr>
        <w:pStyle w:val="BodyText"/>
        <w:rPr>
          <w:lang w:val="en-US"/>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lastRenderedPageBreak/>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lastRenderedPageBreak/>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lastRenderedPageBreak/>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07634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ListParagraph"/>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w:t>
            </w:r>
            <w:r>
              <w:rPr>
                <w:rFonts w:eastAsia="Malgun Gothic"/>
                <w:lang w:val="en-GB" w:eastAsia="ko-KR"/>
              </w:rPr>
              <w:t xml:space="preserve"> to remove FFS bullet as well as suggested by some companies.</w:t>
            </w:r>
          </w:p>
        </w:tc>
      </w:tr>
    </w:tbl>
    <w:p w14:paraId="18C818E1" w14:textId="77777777" w:rsidR="00A768D0" w:rsidRPr="003E606A"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lastRenderedPageBreak/>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hint="eastAsia"/>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hint="eastAsia"/>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dedicated agenda.</w:t>
            </w: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lastRenderedPageBreak/>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DD478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hint="eastAsia"/>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3B3720">
              <w:rPr>
                <w:rFonts w:eastAsiaTheme="minorEastAsia"/>
                <w:lang w:eastAsia="zh-CN"/>
              </w:rPr>
              <w:lastRenderedPageBreak/>
              <w:t>Study control of UE operating bandwidth for 6GR:</w:t>
            </w:r>
          </w:p>
          <w:p w14:paraId="4A9C7171" w14:textId="77777777" w:rsidR="00117FDA" w:rsidRPr="003B3720" w:rsidRDefault="00117FDA" w:rsidP="00117FDA">
            <w:pPr>
              <w:pStyle w:val="BodyText"/>
              <w:numPr>
                <w:ilvl w:val="1"/>
                <w:numId w:val="58"/>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117FDA">
            <w:pPr>
              <w:pStyle w:val="BodyText"/>
              <w:numPr>
                <w:ilvl w:val="1"/>
                <w:numId w:val="58"/>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bl>
    <w:p w14:paraId="33EFD351" w14:textId="77777777" w:rsidR="00B87560" w:rsidRPr="003E606A"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lastRenderedPageBreak/>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lastRenderedPageBreak/>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ListParagraph"/>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BodyText"/>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bl>
    <w:p w14:paraId="2DCA199B" w14:textId="77777777" w:rsidR="00191056" w:rsidRPr="003E606A" w:rsidRDefault="00191056" w:rsidP="00C93E9A">
      <w:pPr>
        <w:pStyle w:val="BodyText"/>
        <w:rPr>
          <w:lang w:val="en-US"/>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 xml:space="preserve">Flexible carrier </w:t>
            </w:r>
            <w:r w:rsidRPr="00A746C8">
              <w:rPr>
                <w:rFonts w:ascii="Times" w:eastAsiaTheme="minorEastAsia" w:hAnsi="Times" w:cs="Times"/>
                <w:lang w:val="en-GB" w:eastAsia="zh-CN"/>
              </w:rPr>
              <w:lastRenderedPageBreak/>
              <w:t>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bl>
    <w:p w14:paraId="2DF48AE2" w14:textId="77777777" w:rsidR="00C04E80" w:rsidRPr="003E606A" w:rsidRDefault="00C04E80" w:rsidP="00C93E9A">
      <w:pPr>
        <w:pStyle w:val="BodyText"/>
        <w:rPr>
          <w:lang w:val="en-US"/>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1" w:name="_Hlk170725311"/>
            <w:r w:rsidRPr="00582A6D">
              <w:rPr>
                <w:rFonts w:eastAsia="Microsoft YaHei"/>
                <w:b w:val="0"/>
                <w:sz w:val="20"/>
                <w:szCs w:val="20"/>
                <w:lang w:val="en-GB"/>
              </w:rPr>
              <w:t xml:space="preserve">UE-perceived </w:t>
            </w:r>
            <w:bookmarkEnd w:id="21"/>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lastRenderedPageBreak/>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w:t>
            </w:r>
            <w:r w:rsidRPr="00164AC7">
              <w:rPr>
                <w:rFonts w:eastAsia="Malgun Gothic"/>
                <w:lang w:val="en-GB" w:eastAsia="ko-KR"/>
              </w:rPr>
              <w:lastRenderedPageBreak/>
              <w:t xml:space="preserve">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BodyText"/>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lastRenderedPageBreak/>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bl>
    <w:p w14:paraId="4ADFE879" w14:textId="77777777" w:rsidR="00C04E80" w:rsidRPr="003E606A"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lastRenderedPageBreak/>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lastRenderedPageBreak/>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lastRenderedPageBreak/>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w:t>
            </w:r>
            <w:r w:rsidRPr="004821DF">
              <w:rPr>
                <w:rFonts w:eastAsia="Malgun Gothic"/>
                <w:sz w:val="21"/>
                <w:szCs w:val="21"/>
                <w:lang w:eastAsia="ko-KR"/>
                <w14:ligatures w14:val="standardContextual"/>
              </w:rPr>
              <w:lastRenderedPageBreak/>
              <w:t xml:space="preserve">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2" w:name="OLE_LINK41"/>
            <w:bookmarkStart w:id="23" w:name="OLE_LINK42"/>
            <w:r>
              <w:rPr>
                <w:lang w:val="en-GB"/>
              </w:rPr>
              <w:t xml:space="preserve">discussed in coverage part, i.e., Proposal 4.1, </w:t>
            </w:r>
            <w:bookmarkEnd w:id="22"/>
            <w:bookmarkEnd w:id="23"/>
            <w:r>
              <w:rPr>
                <w:lang w:val="en-GB"/>
              </w:rPr>
              <w:t>based on the harmonization of TN and NTN.</w:t>
            </w:r>
          </w:p>
          <w:p w14:paraId="6ABEC05C" w14:textId="77777777" w:rsidR="00F32662" w:rsidRDefault="00F32662" w:rsidP="00F32662">
            <w:pPr>
              <w:pStyle w:val="BodyText"/>
              <w:rPr>
                <w:lang w:val="en-GB"/>
              </w:rPr>
            </w:pPr>
            <w:bookmarkStart w:id="24"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5" w:name="OLE_LINK44"/>
            <w:bookmarkStart w:id="26" w:name="OLE_LINK45"/>
            <w:r w:rsidRPr="00D70197">
              <w:rPr>
                <w:lang w:val="en-GB"/>
              </w:rPr>
              <w:t>incorporated into the pre</w:t>
            </w:r>
            <w:r>
              <w:rPr>
                <w:lang w:val="en-GB"/>
              </w:rPr>
              <w:t>vious</w:t>
            </w:r>
            <w:r w:rsidRPr="00D70197">
              <w:rPr>
                <w:lang w:val="en-GB"/>
              </w:rPr>
              <w:t xml:space="preserve"> section</w:t>
            </w:r>
            <w:bookmarkEnd w:id="25"/>
            <w:bookmarkEnd w:id="26"/>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4"/>
          <w:p w14:paraId="32E6710C" w14:textId="77777777" w:rsidR="00F32662" w:rsidRDefault="00F32662" w:rsidP="00F32662">
            <w:pPr>
              <w:pStyle w:val="BodyText"/>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bl>
    <w:p w14:paraId="77DEED97" w14:textId="77777777" w:rsidR="00E84F61" w:rsidRPr="003E606A"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17"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18"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19"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0"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1"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4"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5"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27"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28"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47"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0"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1"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841C1"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0A0B" w14:textId="77777777" w:rsidR="00574FCD" w:rsidRDefault="00574FCD">
      <w:pPr>
        <w:spacing w:line="240" w:lineRule="auto"/>
      </w:pPr>
      <w:r>
        <w:separator/>
      </w:r>
    </w:p>
  </w:endnote>
  <w:endnote w:type="continuationSeparator" w:id="0">
    <w:p w14:paraId="425D5FD7" w14:textId="77777777" w:rsidR="00574FCD" w:rsidRDefault="00574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53A6" w14:textId="77777777" w:rsidR="00574FCD" w:rsidRDefault="00574FCD">
      <w:pPr>
        <w:spacing w:after="0"/>
      </w:pPr>
      <w:r>
        <w:separator/>
      </w:r>
    </w:p>
  </w:footnote>
  <w:footnote w:type="continuationSeparator" w:id="0">
    <w:p w14:paraId="0E0A2CAF" w14:textId="77777777" w:rsidR="00574FCD" w:rsidRDefault="00574F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8"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85615287">
    <w:abstractNumId w:val="16"/>
  </w:num>
  <w:num w:numId="2" w16cid:durableId="1280406506">
    <w:abstractNumId w:val="1"/>
  </w:num>
  <w:num w:numId="3" w16cid:durableId="1940983531">
    <w:abstractNumId w:val="0"/>
  </w:num>
  <w:num w:numId="4" w16cid:durableId="721903360">
    <w:abstractNumId w:val="6"/>
  </w:num>
  <w:num w:numId="5" w16cid:durableId="588463606">
    <w:abstractNumId w:val="19"/>
  </w:num>
  <w:num w:numId="6" w16cid:durableId="1087078190">
    <w:abstractNumId w:val="22"/>
    <w:lvlOverride w:ilvl="0">
      <w:startOverride w:val="1"/>
    </w:lvlOverride>
  </w:num>
  <w:num w:numId="7" w16cid:durableId="1747454520">
    <w:abstractNumId w:val="23"/>
  </w:num>
  <w:num w:numId="8" w16cid:durableId="186451976">
    <w:abstractNumId w:val="36"/>
  </w:num>
  <w:num w:numId="9" w16cid:durableId="609241539">
    <w:abstractNumId w:val="45"/>
  </w:num>
  <w:num w:numId="10" w16cid:durableId="1590310055">
    <w:abstractNumId w:val="8"/>
  </w:num>
  <w:num w:numId="11" w16cid:durableId="262108349">
    <w:abstractNumId w:val="32"/>
  </w:num>
  <w:num w:numId="12" w16cid:durableId="370808882">
    <w:abstractNumId w:val="50"/>
  </w:num>
  <w:num w:numId="13" w16cid:durableId="1343119050">
    <w:abstractNumId w:val="20"/>
  </w:num>
  <w:num w:numId="14" w16cid:durableId="334845371">
    <w:abstractNumId w:val="38"/>
  </w:num>
  <w:num w:numId="15" w16cid:durableId="380131087">
    <w:abstractNumId w:val="40"/>
  </w:num>
  <w:num w:numId="16" w16cid:durableId="2081828825">
    <w:abstractNumId w:val="28"/>
  </w:num>
  <w:num w:numId="17" w16cid:durableId="208105905">
    <w:abstractNumId w:val="42"/>
  </w:num>
  <w:num w:numId="18" w16cid:durableId="1048142021">
    <w:abstractNumId w:val="51"/>
  </w:num>
  <w:num w:numId="19" w16cid:durableId="1840077219">
    <w:abstractNumId w:val="29"/>
  </w:num>
  <w:num w:numId="20" w16cid:durableId="1486124233">
    <w:abstractNumId w:val="57"/>
  </w:num>
  <w:num w:numId="21" w16cid:durableId="1544366432">
    <w:abstractNumId w:val="7"/>
  </w:num>
  <w:num w:numId="22" w16cid:durableId="2099327884">
    <w:abstractNumId w:val="54"/>
  </w:num>
  <w:num w:numId="23" w16cid:durableId="2026321724">
    <w:abstractNumId w:val="37"/>
  </w:num>
  <w:num w:numId="24" w16cid:durableId="2035619143">
    <w:abstractNumId w:val="10"/>
  </w:num>
  <w:num w:numId="25" w16cid:durableId="1547137631">
    <w:abstractNumId w:val="44"/>
  </w:num>
  <w:num w:numId="26" w16cid:durableId="1712068798">
    <w:abstractNumId w:val="5"/>
  </w:num>
  <w:num w:numId="27" w16cid:durableId="760181538">
    <w:abstractNumId w:val="25"/>
  </w:num>
  <w:num w:numId="28" w16cid:durableId="811484271">
    <w:abstractNumId w:val="15"/>
  </w:num>
  <w:num w:numId="29" w16cid:durableId="35861710">
    <w:abstractNumId w:val="27"/>
  </w:num>
  <w:num w:numId="30" w16cid:durableId="1581216531">
    <w:abstractNumId w:val="47"/>
  </w:num>
  <w:num w:numId="31" w16cid:durableId="1125806567">
    <w:abstractNumId w:val="49"/>
  </w:num>
  <w:num w:numId="32" w16cid:durableId="1708289892">
    <w:abstractNumId w:val="11"/>
  </w:num>
  <w:num w:numId="33" w16cid:durableId="2112705130">
    <w:abstractNumId w:val="48"/>
  </w:num>
  <w:num w:numId="34" w16cid:durableId="2108116121">
    <w:abstractNumId w:val="56"/>
  </w:num>
  <w:num w:numId="35" w16cid:durableId="405224081">
    <w:abstractNumId w:val="33"/>
  </w:num>
  <w:num w:numId="36" w16cid:durableId="1326207212">
    <w:abstractNumId w:val="26"/>
  </w:num>
  <w:num w:numId="37" w16cid:durableId="488715022">
    <w:abstractNumId w:val="46"/>
  </w:num>
  <w:num w:numId="38" w16cid:durableId="727846410">
    <w:abstractNumId w:val="17"/>
  </w:num>
  <w:num w:numId="39" w16cid:durableId="1459959154">
    <w:abstractNumId w:val="2"/>
  </w:num>
  <w:num w:numId="40" w16cid:durableId="387195522">
    <w:abstractNumId w:val="21"/>
  </w:num>
  <w:num w:numId="41" w16cid:durableId="1526402723">
    <w:abstractNumId w:val="13"/>
  </w:num>
  <w:num w:numId="42" w16cid:durableId="1920365702">
    <w:abstractNumId w:val="12"/>
  </w:num>
  <w:num w:numId="43" w16cid:durableId="1169179251">
    <w:abstractNumId w:val="52"/>
  </w:num>
  <w:num w:numId="44" w16cid:durableId="708452368">
    <w:abstractNumId w:val="39"/>
  </w:num>
  <w:num w:numId="45" w16cid:durableId="1041131879">
    <w:abstractNumId w:val="41"/>
  </w:num>
  <w:num w:numId="46" w16cid:durableId="1062749617">
    <w:abstractNumId w:val="14"/>
  </w:num>
  <w:num w:numId="47" w16cid:durableId="1300191120">
    <w:abstractNumId w:val="4"/>
  </w:num>
  <w:num w:numId="48" w16cid:durableId="1646661506">
    <w:abstractNumId w:val="30"/>
  </w:num>
  <w:num w:numId="49" w16cid:durableId="986201259">
    <w:abstractNumId w:val="43"/>
  </w:num>
  <w:num w:numId="50" w16cid:durableId="388188481">
    <w:abstractNumId w:val="24"/>
  </w:num>
  <w:num w:numId="51" w16cid:durableId="2029720843">
    <w:abstractNumId w:val="31"/>
  </w:num>
  <w:num w:numId="52" w16cid:durableId="2132477094">
    <w:abstractNumId w:val="18"/>
  </w:num>
  <w:num w:numId="53" w16cid:durableId="240915797">
    <w:abstractNumId w:val="9"/>
  </w:num>
  <w:num w:numId="54" w16cid:durableId="2077166676">
    <w:abstractNumId w:val="35"/>
  </w:num>
  <w:num w:numId="55" w16cid:durableId="815072617">
    <w:abstractNumId w:val="55"/>
  </w:num>
  <w:num w:numId="56" w16cid:durableId="512108095">
    <w:abstractNumId w:val="53"/>
  </w:num>
  <w:num w:numId="57" w16cid:durableId="1501853986">
    <w:abstractNumId w:val="3"/>
  </w:num>
  <w:num w:numId="58" w16cid:durableId="87435463">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C6D0-F76E-472C-870F-933D69D99C7E}">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50</Pages>
  <Words>20152</Words>
  <Characters>110897</Characters>
  <Application>Microsoft Office Word</Application>
  <DocSecurity>0</DocSecurity>
  <Lines>924</Lines>
  <Paragraphs>261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MoonIl Lee</cp:lastModifiedBy>
  <cp:revision>12</cp:revision>
  <dcterms:created xsi:type="dcterms:W3CDTF">2025-08-26T13:40:00Z</dcterms:created>
  <dcterms:modified xsi:type="dcterms:W3CDTF">2025-08-26T13:48:00Z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y fmtid="{D5CDD505-2E9C-101B-9397-08002B2CF9AE}" pid="58" name="MSIP_Label_d8bd419f-33b1-4721-99ce-135fcb16684a_Enabled">
    <vt:lpwstr>true</vt:lpwstr>
  </property>
  <property fmtid="{D5CDD505-2E9C-101B-9397-08002B2CF9AE}" pid="59" name="MSIP_Label_d8bd419f-33b1-4721-99ce-135fcb16684a_SetDate">
    <vt:lpwstr>2025-08-26T12:14:32Z</vt:lpwstr>
  </property>
  <property fmtid="{D5CDD505-2E9C-101B-9397-08002B2CF9AE}" pid="60" name="MSIP_Label_d8bd419f-33b1-4721-99ce-135fcb16684a_Method">
    <vt:lpwstr>Privileged</vt:lpwstr>
  </property>
  <property fmtid="{D5CDD505-2E9C-101B-9397-08002B2CF9AE}" pid="61" name="MSIP_Label_d8bd419f-33b1-4721-99ce-135fcb16684a_Name">
    <vt:lpwstr>Public Information</vt:lpwstr>
  </property>
  <property fmtid="{D5CDD505-2E9C-101B-9397-08002B2CF9AE}" pid="62" name="MSIP_Label_d8bd419f-33b1-4721-99ce-135fcb16684a_SiteId">
    <vt:lpwstr>6bf0cd58-ceef-4562-b1b7-c1602ea60d67</vt:lpwstr>
  </property>
  <property fmtid="{D5CDD505-2E9C-101B-9397-08002B2CF9AE}" pid="63" name="MSIP_Label_d8bd419f-33b1-4721-99ce-135fcb16684a_ActionId">
    <vt:lpwstr>0a3bd139-b412-4b5a-baec-e4c78548c0b5</vt:lpwstr>
  </property>
  <property fmtid="{D5CDD505-2E9C-101B-9397-08002B2CF9AE}" pid="64" name="MSIP_Label_d8bd419f-33b1-4721-99ce-135fcb16684a_ContentBits">
    <vt:lpwstr>0</vt:lpwstr>
  </property>
  <property fmtid="{D5CDD505-2E9C-101B-9397-08002B2CF9AE}" pid="65" name="MSIP_Label_d8bd419f-33b1-4721-99ce-135fcb16684a_Tag">
    <vt:lpwstr>10, 0, 1, 1</vt:lpwstr>
  </property>
  <property fmtid="{D5CDD505-2E9C-101B-9397-08002B2CF9AE}" pid="66" name="CWMb0775dd0827611f08000713500007135">
    <vt:lpwstr>CWMvGdL4qnAstC1i+D4KX6S6VVwyLjsE67yUlV47aTO84SXmmyWgSp1BgRIA/wLaCsQQcLQwxq5pkUxdCNpjr6chw==</vt:lpwstr>
  </property>
  <property fmtid="{D5CDD505-2E9C-101B-9397-08002B2CF9AE}" pid="67" name="MSIP_Label_a7295cc1-d279-42ac-ab4d-3b0f4fece050_Enabled">
    <vt:lpwstr>true</vt:lpwstr>
  </property>
  <property fmtid="{D5CDD505-2E9C-101B-9397-08002B2CF9AE}" pid="68" name="MSIP_Label_a7295cc1-d279-42ac-ab4d-3b0f4fece050_SetDate">
    <vt:lpwstr>2025-08-26T13:33:39Z</vt:lpwstr>
  </property>
  <property fmtid="{D5CDD505-2E9C-101B-9397-08002B2CF9AE}" pid="69" name="MSIP_Label_a7295cc1-d279-42ac-ab4d-3b0f4fece050_Method">
    <vt:lpwstr>Standard</vt:lpwstr>
  </property>
  <property fmtid="{D5CDD505-2E9C-101B-9397-08002B2CF9AE}" pid="70" name="MSIP_Label_a7295cc1-d279-42ac-ab4d-3b0f4fece050_Name">
    <vt:lpwstr>FUJITSU-RESTRICTED​</vt:lpwstr>
  </property>
  <property fmtid="{D5CDD505-2E9C-101B-9397-08002B2CF9AE}" pid="71" name="MSIP_Label_a7295cc1-d279-42ac-ab4d-3b0f4fece050_SiteId">
    <vt:lpwstr>a19f121d-81e1-4858-a9d8-736e267fd4c7</vt:lpwstr>
  </property>
  <property fmtid="{D5CDD505-2E9C-101B-9397-08002B2CF9AE}" pid="72" name="MSIP_Label_a7295cc1-d279-42ac-ab4d-3b0f4fece050_ActionId">
    <vt:lpwstr>95b22a2e-dc91-4096-93b1-db7472232ae9</vt:lpwstr>
  </property>
  <property fmtid="{D5CDD505-2E9C-101B-9397-08002B2CF9AE}" pid="73" name="MSIP_Label_a7295cc1-d279-42ac-ab4d-3b0f4fece050_ContentBits">
    <vt:lpwstr>0</vt:lpwstr>
  </property>
  <property fmtid="{D5CDD505-2E9C-101B-9397-08002B2CF9AE}" pid="74" name="MSIP_Label_a7295cc1-d279-42ac-ab4d-3b0f4fece050_Tag">
    <vt:lpwstr>10, 3, 0, 1</vt:lpwstr>
  </property>
</Properties>
</file>