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35FBA2AE">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3"/>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3"/>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3"/>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3"/>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c"/>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c"/>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hint="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hint="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w:t>
            </w:r>
            <w:proofErr w:type="gramStart"/>
            <w:r>
              <w:rPr>
                <w:lang w:val="en-US"/>
              </w:rPr>
              <w:t>of</w:t>
            </w:r>
            <w:proofErr w:type="gramEnd"/>
            <w:r>
              <w:rPr>
                <w:lang w:val="en-US"/>
              </w:rPr>
              <w:t xml:space="preserve">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hint="eastAsia"/>
                <w:lang w:val="en-US" w:eastAsia="zh-CN"/>
              </w:rPr>
            </w:pP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OLE_LINK5"/>
            <w:r w:rsidRPr="006A4926">
              <w:rPr>
                <w:rFonts w:ascii="Times" w:eastAsia="DengXian" w:hAnsi="Times"/>
                <w:szCs w:val="24"/>
                <w:lang w:eastAsia="zh-CN"/>
              </w:rPr>
              <w:t>Device type</w:t>
            </w:r>
            <w:bookmarkEnd w:id="7"/>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66"/>
            <w:bookmarkStart w:id="9"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_Hlk199342355"/>
            <w:bookmarkEnd w:id="9"/>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75"/>
            <w:bookmarkEnd w:id="10"/>
            <w:r w:rsidRPr="006A4926">
              <w:rPr>
                <w:rFonts w:ascii="Times" w:eastAsia="DengXian" w:hAnsi="Times"/>
                <w:szCs w:val="24"/>
                <w:lang w:eastAsia="zh-CN"/>
              </w:rPr>
              <w:t>Supp</w:t>
            </w:r>
            <w:bookmarkStart w:id="12" w:name="OLE_LINK74"/>
            <w:r w:rsidRPr="006A4926">
              <w:rPr>
                <w:rFonts w:ascii="Times" w:eastAsia="DengXian"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3"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3"/>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4"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_Hlk199341983"/>
            <w:r w:rsidRPr="006A4926">
              <w:rPr>
                <w:rFonts w:ascii="Times" w:eastAsia="DengXian" w:hAnsi="Times"/>
                <w:szCs w:val="24"/>
                <w:lang w:eastAsia="zh-CN"/>
              </w:rPr>
              <w:t xml:space="preserve">Supported maximum </w:t>
            </w:r>
            <w:bookmarkStart w:id="16" w:name="OLE_LINK76"/>
            <w:r w:rsidRPr="006A4926">
              <w:rPr>
                <w:rFonts w:ascii="Times" w:eastAsia="DengXian" w:hAnsi="Times"/>
                <w:szCs w:val="24"/>
                <w:lang w:eastAsia="zh-CN"/>
              </w:rPr>
              <w:t xml:space="preserve">uplink </w:t>
            </w:r>
            <w:bookmarkEnd w:id="16"/>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7" w:name="OLE_LINK77"/>
            <w:r w:rsidRPr="006A4926">
              <w:rPr>
                <w:rFonts w:ascii="Times" w:eastAsia="DengXian" w:hAnsi="Times"/>
                <w:szCs w:val="24"/>
                <w:lang w:eastAsia="zh-CN"/>
              </w:rPr>
              <w:t xml:space="preserve">100 </w:t>
            </w:r>
            <w:bookmarkEnd w:id="17"/>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69"/>
            <w:r w:rsidRPr="006A4926">
              <w:rPr>
                <w:rFonts w:ascii="Times" w:eastAsia="DengXian" w:hAnsi="Times"/>
                <w:szCs w:val="24"/>
                <w:lang w:eastAsia="zh-CN"/>
              </w:rPr>
              <w:t xml:space="preserve">Supported maximum Uplink MIMO </w:t>
            </w:r>
            <w:bookmarkEnd w:id="18"/>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3"/>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ac"/>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3312E6">
              <w:t xml:space="preserve"> for all devie type</w:t>
            </w:r>
            <w:r>
              <w:t>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hint="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hint="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bl>
    <w:p w14:paraId="37073A98" w14:textId="77777777" w:rsidR="00DE2ADA" w:rsidRPr="005F6E72"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lastRenderedPageBreak/>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3"/>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w:t>
            </w:r>
            <w:r>
              <w:rPr>
                <w:rFonts w:asciiTheme="minorEastAsia" w:eastAsiaTheme="minorEastAsia" w:hAnsiTheme="minorEastAsia" w:hint="eastAsia"/>
                <w:lang w:val="en-GB" w:eastAsia="zh-CN"/>
              </w:rPr>
              <w:lastRenderedPageBreak/>
              <w:t xml:space="preserve">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hint="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lastRenderedPageBreak/>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lastRenderedPageBreak/>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3"/>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3"/>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f3"/>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w:t>
            </w:r>
            <w:r w:rsidRPr="006257AB">
              <w:rPr>
                <w:sz w:val="20"/>
                <w:szCs w:val="20"/>
                <w:lang w:val="en-GB"/>
              </w:rPr>
              <w:lastRenderedPageBreak/>
              <w:t xml:space="preserve">should ensure that the design meets the coverage requirement in 6G day 1. Therefore, we propose </w:t>
            </w:r>
          </w:p>
          <w:p w14:paraId="7CAEA4FF" w14:textId="77777777" w:rsidR="00D56CFC" w:rsidRPr="006257AB" w:rsidRDefault="00D56CFC" w:rsidP="00D56CFC">
            <w:pPr>
              <w:pStyle w:val="aff3"/>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3"/>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3"/>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3"/>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c"/>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ac"/>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lastRenderedPageBreak/>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lastRenderedPageBreak/>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19" w:name="OLE_LINK28"/>
            <w:r w:rsidRPr="007747F6">
              <w:rPr>
                <w:rFonts w:eastAsiaTheme="minorEastAsia"/>
                <w:lang w:val="en-US" w:eastAsia="zh-CN"/>
              </w:rPr>
              <w:t>TN and NTN</w:t>
            </w:r>
            <w:bookmarkEnd w:id="19"/>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hint="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bl>
    <w:p w14:paraId="3C5394DA" w14:textId="77777777" w:rsidR="00102D7D" w:rsidRPr="004F3DBE" w:rsidRDefault="00102D7D"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lastRenderedPageBreak/>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3"/>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3"/>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3"/>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c"/>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c"/>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c"/>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f3"/>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ac"/>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ac"/>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ac"/>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ac"/>
              <w:rPr>
                <w:lang w:val="en-GB"/>
              </w:rPr>
            </w:pPr>
            <w:r>
              <w:rPr>
                <w:rFonts w:eastAsiaTheme="minorEastAsia"/>
                <w:lang w:val="en-GB" w:eastAsia="zh-CN"/>
              </w:rPr>
              <w:lastRenderedPageBreak/>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845886">
            <w:pPr>
              <w:pStyle w:val="aff3"/>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DA05C1">
            <w:pPr>
              <w:pStyle w:val="aff3"/>
              <w:numPr>
                <w:ilvl w:val="0"/>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0" w:name="OLE_LINK31"/>
            <w:r>
              <w:rPr>
                <w:rFonts w:eastAsiaTheme="minorEastAsia" w:hint="eastAsia"/>
                <w:lang w:eastAsia="zh-CN"/>
              </w:rPr>
              <w:t>T</w:t>
            </w:r>
            <w:r>
              <w:rPr>
                <w:rFonts w:eastAsiaTheme="minorEastAsia"/>
                <w:lang w:eastAsia="zh-CN"/>
              </w:rPr>
              <w:t xml:space="preserve">he SSB periodicity extension </w:t>
            </w:r>
            <w:r w:rsidRPr="00113EA3">
              <w:rPr>
                <w:rFonts w:eastAsiaTheme="minorEastAsia"/>
                <w:lang w:eastAsia="zh-CN"/>
              </w:rPr>
              <w:t xml:space="preserve">is </w:t>
            </w:r>
            <w:r w:rsidRPr="002825E0">
              <w:rPr>
                <w:rFonts w:eastAsiaTheme="minorEastAsia"/>
                <w:lang w:eastAsia="zh-CN"/>
              </w:rPr>
              <w:t xml:space="preserve">essential </w:t>
            </w:r>
            <w:r w:rsidRPr="00113EA3">
              <w:rPr>
                <w:rFonts w:eastAsiaTheme="minorEastAsia"/>
                <w:lang w:eastAsia="zh-CN"/>
              </w:rPr>
              <w:t xml:space="preserve">for </w:t>
            </w:r>
            <w:r>
              <w:rPr>
                <w:rFonts w:eastAsiaTheme="minorEastAsia"/>
                <w:lang w:eastAsia="zh-CN"/>
              </w:rPr>
              <w:t xml:space="preserve">both NTN and NES, which should be </w:t>
            </w:r>
            <w:bookmarkEnd w:id="20"/>
            <w:r>
              <w:rPr>
                <w:rFonts w:eastAsiaTheme="minorEastAsia"/>
                <w:lang w:eastAsia="zh-CN"/>
              </w:rPr>
              <w:t xml:space="preserve">discussed in this AI. Furthermore, the number of </w:t>
            </w:r>
            <w:r>
              <w:rPr>
                <w:rFonts w:eastAsiaTheme="minorEastAsia" w:hint="eastAsia"/>
                <w:lang w:eastAsia="zh-CN"/>
              </w:rPr>
              <w:t>S</w:t>
            </w:r>
            <w:r>
              <w:rPr>
                <w:rFonts w:eastAsiaTheme="minorEastAsia"/>
                <w:lang w:eastAsia="zh-CN"/>
              </w:rPr>
              <w:t xml:space="preserve">SBs could be increased to improve </w:t>
            </w:r>
            <w:r w:rsidRPr="00113EA3">
              <w:rPr>
                <w:rFonts w:eastAsiaTheme="minorEastAsia"/>
                <w:lang w:eastAsia="zh-CN"/>
              </w:rPr>
              <w:t>deployment flexibility</w:t>
            </w:r>
            <w:r>
              <w:rPr>
                <w:rFonts w:eastAsiaTheme="minorEastAsia"/>
                <w:lang w:eastAsia="zh-CN"/>
              </w:rPr>
              <w:t>.</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hint="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Default="000858F4" w:rsidP="000858F4">
            <w:pPr>
              <w:pStyle w:val="ac"/>
              <w:rPr>
                <w:rFonts w:eastAsiaTheme="minorEastAsia" w:hint="eastAsia"/>
                <w:lang w:eastAsia="zh-CN"/>
              </w:rPr>
            </w:pPr>
            <w:r>
              <w:t>Now may be a bit early to say ”</w:t>
            </w:r>
            <w:r>
              <w:rPr>
                <w:rFonts w:hint="eastAsia"/>
                <w:lang w:val="en-US"/>
              </w:rPr>
              <w:t xml:space="preserve"> NR SSB as baseline</w:t>
            </w:r>
            <w:r>
              <w:t>”. We may need to discuss the BW of SSB first.</w:t>
            </w:r>
          </w:p>
        </w:tc>
      </w:tr>
    </w:tbl>
    <w:p w14:paraId="0BEB8C6D" w14:textId="77777777" w:rsidR="00C93E9A" w:rsidRPr="004F3DBE" w:rsidRDefault="00C93E9A" w:rsidP="00C93E9A">
      <w:pPr>
        <w:pStyle w:val="ac"/>
        <w:rPr>
          <w:lang w:val="en-US"/>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lastRenderedPageBreak/>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3"/>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3"/>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3"/>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ac"/>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ac"/>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D62A69">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076341">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076341">
            <w:pPr>
              <w:pStyle w:val="aff3"/>
              <w:numPr>
                <w:ilvl w:val="1"/>
                <w:numId w:val="11"/>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lastRenderedPageBreak/>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hint="eastAsia"/>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hint="eastAsia"/>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bl>
    <w:p w14:paraId="18C818E1" w14:textId="77777777" w:rsidR="00A768D0" w:rsidRPr="003E606A"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3"/>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lastRenderedPageBreak/>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ac"/>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ac"/>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lastRenderedPageBreak/>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lastRenderedPageBreak/>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DD478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hint="eastAsia"/>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bl>
    <w:p w14:paraId="33EFD351" w14:textId="77777777" w:rsidR="00B87560" w:rsidRPr="003E606A"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lastRenderedPageBreak/>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7F0143D5" w14:textId="1476E5CA" w:rsidR="002C6ABC" w:rsidRP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f3"/>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f3"/>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c"/>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c"/>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ac"/>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w:t>
            </w:r>
            <w:r w:rsidRPr="00DD7EDF">
              <w:rPr>
                <w:rFonts w:eastAsiaTheme="minorEastAsia"/>
                <w:lang w:val="en-GB" w:eastAsia="zh-CN"/>
              </w:rPr>
              <w:lastRenderedPageBreak/>
              <w:t>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BD1038">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BD1038">
            <w:pPr>
              <w:pStyle w:val="aff3"/>
              <w:numPr>
                <w:ilvl w:val="1"/>
                <w:numId w:val="11"/>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4821DF">
              <w:rPr>
                <w:rFonts w:hint="eastAsia"/>
                <w:lang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hint="eastAsia"/>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hint="eastAsia"/>
                <w:sz w:val="21"/>
                <w:szCs w:val="21"/>
                <w:lang w:eastAsia="ko-KR"/>
              </w:rPr>
            </w:pPr>
            <w:r>
              <w:rPr>
                <w:rFonts w:eastAsia="Yu Mincho"/>
                <w:sz w:val="21"/>
                <w:szCs w:val="21"/>
                <w:lang w:eastAsia="ja-JP"/>
              </w:rPr>
              <w:t>Y</w:t>
            </w:r>
          </w:p>
        </w:tc>
        <w:tc>
          <w:tcPr>
            <w:tcW w:w="6780" w:type="dxa"/>
          </w:tcPr>
          <w:p w14:paraId="3C0FB2A7" w14:textId="05945594" w:rsidR="000858F4" w:rsidRPr="004821DF" w:rsidRDefault="000858F4" w:rsidP="000858F4">
            <w:pPr>
              <w:pStyle w:val="ac"/>
              <w:rPr>
                <w:rFonts w:hint="eastAsia"/>
                <w:lang w:eastAsia="ko-KR"/>
              </w:rPr>
            </w:pPr>
            <w:r>
              <w:rPr>
                <w:lang w:val="en-US"/>
              </w:rPr>
              <w:t>We think this is a good start.</w:t>
            </w:r>
          </w:p>
        </w:tc>
      </w:tr>
    </w:tbl>
    <w:p w14:paraId="2DCA199B" w14:textId="77777777" w:rsidR="00191056" w:rsidRPr="003E606A" w:rsidRDefault="00191056" w:rsidP="00C93E9A">
      <w:pPr>
        <w:pStyle w:val="ac"/>
        <w:rPr>
          <w:lang w:val="en-US"/>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lastRenderedPageBreak/>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3"/>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ac"/>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aff3"/>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f3"/>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f3"/>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lastRenderedPageBreak/>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lastRenderedPageBreak/>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hint="eastAsia"/>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bl>
    <w:p w14:paraId="2DF48AE2" w14:textId="77777777" w:rsidR="00C04E80" w:rsidRPr="003E606A" w:rsidRDefault="00C04E80" w:rsidP="00C93E9A">
      <w:pPr>
        <w:pStyle w:val="ac"/>
        <w:rPr>
          <w:lang w:val="en-US"/>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w:t>
            </w:r>
            <w:r>
              <w:rPr>
                <w:rFonts w:eastAsia="Microsoft YaHei"/>
              </w:rPr>
              <w:lastRenderedPageBreak/>
              <w:t>agendas like MIMO.  e.g. From ZTE perspective, the following should be considerd.</w:t>
            </w:r>
          </w:p>
          <w:p w14:paraId="794093B0"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1" w:name="_Hlk170725311"/>
            <w:r w:rsidRPr="00582A6D">
              <w:rPr>
                <w:rFonts w:eastAsia="Microsoft YaHei"/>
                <w:b w:val="0"/>
                <w:sz w:val="20"/>
                <w:szCs w:val="20"/>
                <w:lang w:val="en-GB"/>
              </w:rPr>
              <w:t xml:space="preserve">UE-perceived </w:t>
            </w:r>
            <w:bookmarkEnd w:id="21"/>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aff3"/>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3"/>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ac"/>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ac"/>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330E48C3" w:rsidRDefault="0046267A" w:rsidP="0046267A">
            <w:pPr>
              <w:pStyle w:val="ac"/>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w:t>
            </w:r>
            <w:proofErr w:type="spellStart"/>
            <w:r w:rsidRPr="004821DF">
              <w:rPr>
                <w:rFonts w:eastAsia="Malgun Gothic"/>
                <w:lang w:val="en-GB" w:eastAsia="ko-KR"/>
              </w:rPr>
              <w:t>RedCap</w:t>
            </w:r>
            <w:proofErr w:type="spellEnd"/>
            <w:r w:rsidRPr="004821DF">
              <w:rPr>
                <w:rFonts w:eastAsia="Malgun Gothic"/>
                <w:lang w:val="en-GB" w:eastAsia="ko-KR"/>
              </w:rPr>
              <w:t>)</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 xml:space="preserve">ased on the harmonized 6GR design principle for TN and </w:t>
            </w:r>
            <w:r w:rsidRPr="00F92E70">
              <w:rPr>
                <w:rFonts w:eastAsiaTheme="minorEastAsia"/>
                <w:lang w:val="en-GB" w:eastAsia="zh-CN"/>
              </w:rPr>
              <w:lastRenderedPageBreak/>
              <w:t>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hint="eastAsia"/>
                <w:sz w:val="21"/>
                <w:szCs w:val="21"/>
                <w:lang w:val="en-US" w:eastAsia="zh-CN"/>
              </w:rPr>
            </w:pPr>
            <w:r>
              <w:rPr>
                <w:rFonts w:eastAsia="PMingLiU"/>
                <w:sz w:val="21"/>
                <w:szCs w:val="21"/>
                <w:lang w:val="en-US" w:eastAsia="zh-TW"/>
              </w:rPr>
              <w:lastRenderedPageBreak/>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hint="eastAsia"/>
                <w:lang w:val="en-GB" w:eastAsia="zh-CN"/>
              </w:rPr>
            </w:pPr>
          </w:p>
        </w:tc>
      </w:tr>
    </w:tbl>
    <w:p w14:paraId="4ADFE879" w14:textId="77777777" w:rsidR="00C04E80" w:rsidRPr="003E606A"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ac"/>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c"/>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c"/>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lastRenderedPageBreak/>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aff3"/>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lastRenderedPageBreak/>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4821DF">
              <w:rPr>
                <w:rFonts w:eastAsia="Malgun Gothic"/>
                <w:lang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2" w:name="OLE_LINK41"/>
            <w:bookmarkStart w:id="23" w:name="OLE_LINK42"/>
            <w:r>
              <w:rPr>
                <w:lang w:val="en-GB"/>
              </w:rPr>
              <w:t xml:space="preserve">discussed in coverage part, i.e., Proposal 4.1, </w:t>
            </w:r>
            <w:bookmarkEnd w:id="22"/>
            <w:bookmarkEnd w:id="23"/>
            <w:r>
              <w:rPr>
                <w:lang w:val="en-GB"/>
              </w:rPr>
              <w:t>based on the harmonization of TN and NTN.</w:t>
            </w:r>
          </w:p>
          <w:p w14:paraId="6ABEC05C" w14:textId="77777777" w:rsidR="00F32662" w:rsidRDefault="00F32662" w:rsidP="00F32662">
            <w:pPr>
              <w:pStyle w:val="ac"/>
              <w:rPr>
                <w:lang w:val="en-GB"/>
              </w:rPr>
            </w:pPr>
            <w:bookmarkStart w:id="24"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5" w:name="OLE_LINK44"/>
            <w:bookmarkStart w:id="26" w:name="OLE_LINK45"/>
            <w:r w:rsidRPr="00D70197">
              <w:rPr>
                <w:lang w:val="en-GB"/>
              </w:rPr>
              <w:t>incorporated into the pre</w:t>
            </w:r>
            <w:r>
              <w:rPr>
                <w:lang w:val="en-GB"/>
              </w:rPr>
              <w:t>vious</w:t>
            </w:r>
            <w:r w:rsidRPr="00D70197">
              <w:rPr>
                <w:lang w:val="en-GB"/>
              </w:rPr>
              <w:t xml:space="preserve"> section</w:t>
            </w:r>
            <w:bookmarkEnd w:id="25"/>
            <w:bookmarkEnd w:id="26"/>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and NTN to achieve the unified air interface.</w:t>
            </w:r>
          </w:p>
          <w:bookmarkEnd w:id="24"/>
          <w:p w14:paraId="32E6710C" w14:textId="77777777" w:rsidR="00F32662" w:rsidRDefault="00F32662" w:rsidP="00F32662">
            <w:pPr>
              <w:pStyle w:val="ac"/>
              <w:rPr>
                <w:lang w:val="en-GB"/>
              </w:rPr>
            </w:pPr>
            <w:r>
              <w:rPr>
                <w:lang w:val="en-GB"/>
              </w:rPr>
              <w:lastRenderedPageBreak/>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bl>
    <w:p w14:paraId="77DEED97" w14:textId="77777777" w:rsidR="00E84F61" w:rsidRPr="003E606A"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lastRenderedPageBreak/>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aff"/>
                <w:rFonts w:ascii="Arial" w:eastAsia="Yu Mincho" w:hAnsi="Arial" w:cs="Arial"/>
                <w:color w:val="0000FF"/>
                <w:sz w:val="16"/>
                <w:szCs w:val="16"/>
                <w:lang w:eastAsia="ja-JP"/>
              </w:rPr>
            </w:pPr>
            <w:hyperlink r:id="rId17" w:history="1">
              <w:r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0A0B" w14:textId="77777777" w:rsidR="00574FCD" w:rsidRDefault="00574FCD">
      <w:pPr>
        <w:spacing w:line="240" w:lineRule="auto"/>
      </w:pPr>
      <w:r>
        <w:separator/>
      </w:r>
    </w:p>
  </w:endnote>
  <w:endnote w:type="continuationSeparator" w:id="0">
    <w:p w14:paraId="425D5FD7" w14:textId="77777777" w:rsidR="00574FCD" w:rsidRDefault="00574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53A6" w14:textId="77777777" w:rsidR="00574FCD" w:rsidRDefault="00574FCD">
      <w:pPr>
        <w:spacing w:after="0"/>
      </w:pPr>
      <w:r>
        <w:separator/>
      </w:r>
    </w:p>
  </w:footnote>
  <w:footnote w:type="continuationSeparator" w:id="0">
    <w:p w14:paraId="0E0A2CAF" w14:textId="77777777" w:rsidR="00574FCD" w:rsidRDefault="00574F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7"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85615287">
    <w:abstractNumId w:val="16"/>
  </w:num>
  <w:num w:numId="2" w16cid:durableId="1280406506">
    <w:abstractNumId w:val="1"/>
  </w:num>
  <w:num w:numId="3" w16cid:durableId="1940983531">
    <w:abstractNumId w:val="0"/>
  </w:num>
  <w:num w:numId="4" w16cid:durableId="721903360">
    <w:abstractNumId w:val="6"/>
  </w:num>
  <w:num w:numId="5" w16cid:durableId="588463606">
    <w:abstractNumId w:val="19"/>
  </w:num>
  <w:num w:numId="6" w16cid:durableId="1087078190">
    <w:abstractNumId w:val="22"/>
    <w:lvlOverride w:ilvl="0">
      <w:startOverride w:val="1"/>
    </w:lvlOverride>
  </w:num>
  <w:num w:numId="7" w16cid:durableId="1747454520">
    <w:abstractNumId w:val="23"/>
  </w:num>
  <w:num w:numId="8" w16cid:durableId="186451976">
    <w:abstractNumId w:val="35"/>
  </w:num>
  <w:num w:numId="9" w16cid:durableId="609241539">
    <w:abstractNumId w:val="44"/>
  </w:num>
  <w:num w:numId="10" w16cid:durableId="1590310055">
    <w:abstractNumId w:val="8"/>
  </w:num>
  <w:num w:numId="11" w16cid:durableId="262108349">
    <w:abstractNumId w:val="32"/>
  </w:num>
  <w:num w:numId="12" w16cid:durableId="370808882">
    <w:abstractNumId w:val="49"/>
  </w:num>
  <w:num w:numId="13" w16cid:durableId="1343119050">
    <w:abstractNumId w:val="20"/>
  </w:num>
  <w:num w:numId="14" w16cid:durableId="334845371">
    <w:abstractNumId w:val="37"/>
  </w:num>
  <w:num w:numId="15" w16cid:durableId="380131087">
    <w:abstractNumId w:val="39"/>
  </w:num>
  <w:num w:numId="16" w16cid:durableId="2081828825">
    <w:abstractNumId w:val="28"/>
  </w:num>
  <w:num w:numId="17" w16cid:durableId="208105905">
    <w:abstractNumId w:val="41"/>
  </w:num>
  <w:num w:numId="18" w16cid:durableId="1048142021">
    <w:abstractNumId w:val="50"/>
  </w:num>
  <w:num w:numId="19" w16cid:durableId="1840077219">
    <w:abstractNumId w:val="29"/>
  </w:num>
  <w:num w:numId="20" w16cid:durableId="1486124233">
    <w:abstractNumId w:val="56"/>
  </w:num>
  <w:num w:numId="21" w16cid:durableId="1544366432">
    <w:abstractNumId w:val="7"/>
  </w:num>
  <w:num w:numId="22" w16cid:durableId="2099327884">
    <w:abstractNumId w:val="53"/>
  </w:num>
  <w:num w:numId="23" w16cid:durableId="2026321724">
    <w:abstractNumId w:val="36"/>
  </w:num>
  <w:num w:numId="24" w16cid:durableId="2035619143">
    <w:abstractNumId w:val="10"/>
  </w:num>
  <w:num w:numId="25" w16cid:durableId="1547137631">
    <w:abstractNumId w:val="43"/>
  </w:num>
  <w:num w:numId="26" w16cid:durableId="1712068798">
    <w:abstractNumId w:val="5"/>
  </w:num>
  <w:num w:numId="27" w16cid:durableId="760181538">
    <w:abstractNumId w:val="25"/>
  </w:num>
  <w:num w:numId="28" w16cid:durableId="811484271">
    <w:abstractNumId w:val="15"/>
  </w:num>
  <w:num w:numId="29" w16cid:durableId="35861710">
    <w:abstractNumId w:val="27"/>
  </w:num>
  <w:num w:numId="30" w16cid:durableId="1581216531">
    <w:abstractNumId w:val="46"/>
  </w:num>
  <w:num w:numId="31" w16cid:durableId="1125806567">
    <w:abstractNumId w:val="48"/>
  </w:num>
  <w:num w:numId="32" w16cid:durableId="1708289892">
    <w:abstractNumId w:val="11"/>
  </w:num>
  <w:num w:numId="33" w16cid:durableId="2112705130">
    <w:abstractNumId w:val="47"/>
  </w:num>
  <w:num w:numId="34" w16cid:durableId="2108116121">
    <w:abstractNumId w:val="55"/>
  </w:num>
  <w:num w:numId="35" w16cid:durableId="405224081">
    <w:abstractNumId w:val="33"/>
  </w:num>
  <w:num w:numId="36" w16cid:durableId="1326207212">
    <w:abstractNumId w:val="26"/>
  </w:num>
  <w:num w:numId="37" w16cid:durableId="488715022">
    <w:abstractNumId w:val="45"/>
  </w:num>
  <w:num w:numId="38" w16cid:durableId="727846410">
    <w:abstractNumId w:val="17"/>
  </w:num>
  <w:num w:numId="39" w16cid:durableId="1459959154">
    <w:abstractNumId w:val="2"/>
  </w:num>
  <w:num w:numId="40" w16cid:durableId="387195522">
    <w:abstractNumId w:val="21"/>
  </w:num>
  <w:num w:numId="41" w16cid:durableId="1526402723">
    <w:abstractNumId w:val="13"/>
  </w:num>
  <w:num w:numId="42" w16cid:durableId="1920365702">
    <w:abstractNumId w:val="12"/>
  </w:num>
  <w:num w:numId="43" w16cid:durableId="1169179251">
    <w:abstractNumId w:val="51"/>
  </w:num>
  <w:num w:numId="44" w16cid:durableId="708452368">
    <w:abstractNumId w:val="38"/>
  </w:num>
  <w:num w:numId="45" w16cid:durableId="1041131879">
    <w:abstractNumId w:val="40"/>
  </w:num>
  <w:num w:numId="46" w16cid:durableId="1062749617">
    <w:abstractNumId w:val="14"/>
  </w:num>
  <w:num w:numId="47" w16cid:durableId="1300191120">
    <w:abstractNumId w:val="4"/>
  </w:num>
  <w:num w:numId="48" w16cid:durableId="1646661506">
    <w:abstractNumId w:val="30"/>
  </w:num>
  <w:num w:numId="49" w16cid:durableId="986201259">
    <w:abstractNumId w:val="42"/>
  </w:num>
  <w:num w:numId="50" w16cid:durableId="388188481">
    <w:abstractNumId w:val="24"/>
  </w:num>
  <w:num w:numId="51" w16cid:durableId="2029720843">
    <w:abstractNumId w:val="31"/>
  </w:num>
  <w:num w:numId="52" w16cid:durableId="2132477094">
    <w:abstractNumId w:val="18"/>
  </w:num>
  <w:num w:numId="53" w16cid:durableId="240915797">
    <w:abstractNumId w:val="9"/>
  </w:num>
  <w:num w:numId="54" w16cid:durableId="2077166676">
    <w:abstractNumId w:val="34"/>
  </w:num>
  <w:num w:numId="55" w16cid:durableId="815072617">
    <w:abstractNumId w:val="54"/>
  </w:num>
  <w:num w:numId="56" w16cid:durableId="512108095">
    <w:abstractNumId w:val="52"/>
  </w:num>
  <w:num w:numId="57" w16cid:durableId="1501853986">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SimSun" w:eastAsia="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C6D0-F76E-472C-870F-933D69D99C7E}">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22</TotalTime>
  <Pages>50</Pages>
  <Words>19252</Words>
  <Characters>109742</Characters>
  <Application>Microsoft Office Word</Application>
  <DocSecurity>0</DocSecurity>
  <Lines>914</Lines>
  <Paragraphs>257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Zhang, Lei/张 磊</cp:lastModifiedBy>
  <cp:revision>48</cp:revision>
  <dcterms:created xsi:type="dcterms:W3CDTF">2025-08-26T12:14:00Z</dcterms:created>
  <dcterms:modified xsi:type="dcterms:W3CDTF">2025-08-26T13:33:00Z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y fmtid="{D5CDD505-2E9C-101B-9397-08002B2CF9AE}" pid="58" name="MSIP_Label_d8bd419f-33b1-4721-99ce-135fcb16684a_Enabled">
    <vt:lpwstr>true</vt:lpwstr>
  </property>
  <property fmtid="{D5CDD505-2E9C-101B-9397-08002B2CF9AE}" pid="59" name="MSIP_Label_d8bd419f-33b1-4721-99ce-135fcb16684a_SetDate">
    <vt:lpwstr>2025-08-26T12:14:32Z</vt:lpwstr>
  </property>
  <property fmtid="{D5CDD505-2E9C-101B-9397-08002B2CF9AE}" pid="60" name="MSIP_Label_d8bd419f-33b1-4721-99ce-135fcb16684a_Method">
    <vt:lpwstr>Privileged</vt:lpwstr>
  </property>
  <property fmtid="{D5CDD505-2E9C-101B-9397-08002B2CF9AE}" pid="61" name="MSIP_Label_d8bd419f-33b1-4721-99ce-135fcb16684a_Name">
    <vt:lpwstr>Public Information</vt:lpwstr>
  </property>
  <property fmtid="{D5CDD505-2E9C-101B-9397-08002B2CF9AE}" pid="62" name="MSIP_Label_d8bd419f-33b1-4721-99ce-135fcb16684a_SiteId">
    <vt:lpwstr>6bf0cd58-ceef-4562-b1b7-c1602ea60d67</vt:lpwstr>
  </property>
  <property fmtid="{D5CDD505-2E9C-101B-9397-08002B2CF9AE}" pid="63" name="MSIP_Label_d8bd419f-33b1-4721-99ce-135fcb16684a_ActionId">
    <vt:lpwstr>0a3bd139-b412-4b5a-baec-e4c78548c0b5</vt:lpwstr>
  </property>
  <property fmtid="{D5CDD505-2E9C-101B-9397-08002B2CF9AE}" pid="64" name="MSIP_Label_d8bd419f-33b1-4721-99ce-135fcb16684a_ContentBits">
    <vt:lpwstr>0</vt:lpwstr>
  </property>
  <property fmtid="{D5CDD505-2E9C-101B-9397-08002B2CF9AE}" pid="65" name="MSIP_Label_d8bd419f-33b1-4721-99ce-135fcb16684a_Tag">
    <vt:lpwstr>10, 0, 1, 1</vt:lpwstr>
  </property>
  <property fmtid="{D5CDD505-2E9C-101B-9397-08002B2CF9AE}" pid="66" name="CWMb0775dd0827611f08000713500007135">
    <vt:lpwstr>CWMvGdL4qnAstC1i+D4KX6S6VVwyLjsE67yUlV47aTO84SXmmyWgSp1BgRIA/wLaCsQQcLQwxq5pkUxdCNpjr6chw==</vt:lpwstr>
  </property>
  <property fmtid="{D5CDD505-2E9C-101B-9397-08002B2CF9AE}" pid="67" name="MSIP_Label_a7295cc1-d279-42ac-ab4d-3b0f4fece050_Enabled">
    <vt:lpwstr>true</vt:lpwstr>
  </property>
  <property fmtid="{D5CDD505-2E9C-101B-9397-08002B2CF9AE}" pid="68" name="MSIP_Label_a7295cc1-d279-42ac-ab4d-3b0f4fece050_SetDate">
    <vt:lpwstr>2025-08-26T13:33:39Z</vt:lpwstr>
  </property>
  <property fmtid="{D5CDD505-2E9C-101B-9397-08002B2CF9AE}" pid="69" name="MSIP_Label_a7295cc1-d279-42ac-ab4d-3b0f4fece050_Method">
    <vt:lpwstr>Standard</vt:lpwstr>
  </property>
  <property fmtid="{D5CDD505-2E9C-101B-9397-08002B2CF9AE}" pid="70" name="MSIP_Label_a7295cc1-d279-42ac-ab4d-3b0f4fece050_Name">
    <vt:lpwstr>FUJITSU-RESTRICTED​</vt:lpwstr>
  </property>
  <property fmtid="{D5CDD505-2E9C-101B-9397-08002B2CF9AE}" pid="71" name="MSIP_Label_a7295cc1-d279-42ac-ab4d-3b0f4fece050_SiteId">
    <vt:lpwstr>a19f121d-81e1-4858-a9d8-736e267fd4c7</vt:lpwstr>
  </property>
  <property fmtid="{D5CDD505-2E9C-101B-9397-08002B2CF9AE}" pid="72" name="MSIP_Label_a7295cc1-d279-42ac-ab4d-3b0f4fece050_ActionId">
    <vt:lpwstr>95b22a2e-dc91-4096-93b1-db7472232ae9</vt:lpwstr>
  </property>
  <property fmtid="{D5CDD505-2E9C-101B-9397-08002B2CF9AE}" pid="73" name="MSIP_Label_a7295cc1-d279-42ac-ab4d-3b0f4fece050_ContentBits">
    <vt:lpwstr>0</vt:lpwstr>
  </property>
  <property fmtid="{D5CDD505-2E9C-101B-9397-08002B2CF9AE}" pid="74" name="MSIP_Label_a7295cc1-d279-42ac-ab4d-3b0f4fece050_Tag">
    <vt:lpwstr>10, 3, 0, 1</vt:lpwstr>
  </property>
</Properties>
</file>