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3BA2ACBA">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OLE_LINK5"/>
            <w:r w:rsidRPr="006A4926">
              <w:rPr>
                <w:rFonts w:ascii="Times" w:eastAsia="等线" w:hAnsi="Times"/>
                <w:szCs w:val="24"/>
                <w:lang w:eastAsia="zh-CN"/>
              </w:rPr>
              <w:t>Device type</w:t>
            </w:r>
            <w:bookmarkEnd w:id="7"/>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66"/>
            <w:bookmarkStart w:id="9"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_Hlk199342355"/>
            <w:bookmarkEnd w:id="9"/>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75"/>
            <w:bookmarkEnd w:id="10"/>
            <w:r w:rsidRPr="006A4926">
              <w:rPr>
                <w:rFonts w:ascii="Times" w:eastAsia="等线" w:hAnsi="Times"/>
                <w:szCs w:val="24"/>
                <w:lang w:eastAsia="zh-CN"/>
              </w:rPr>
              <w:t>Supp</w:t>
            </w:r>
            <w:bookmarkStart w:id="12" w:name="OLE_LINK74"/>
            <w:r w:rsidRPr="006A4926">
              <w:rPr>
                <w:rFonts w:ascii="Times" w:eastAsia="等线"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3"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3"/>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4"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_Hlk199341983"/>
            <w:r w:rsidRPr="006A4926">
              <w:rPr>
                <w:rFonts w:ascii="Times" w:eastAsia="等线" w:hAnsi="Times"/>
                <w:szCs w:val="24"/>
                <w:lang w:eastAsia="zh-CN"/>
              </w:rPr>
              <w:lastRenderedPageBreak/>
              <w:t xml:space="preserve">Supported maximum </w:t>
            </w:r>
            <w:bookmarkStart w:id="16" w:name="OLE_LINK76"/>
            <w:r w:rsidRPr="006A4926">
              <w:rPr>
                <w:rFonts w:ascii="Times" w:eastAsia="等线" w:hAnsi="Times"/>
                <w:szCs w:val="24"/>
                <w:lang w:eastAsia="zh-CN"/>
              </w:rPr>
              <w:t xml:space="preserve">uplink </w:t>
            </w:r>
            <w:bookmarkEnd w:id="16"/>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7" w:name="OLE_LINK77"/>
            <w:r w:rsidRPr="006A4926">
              <w:rPr>
                <w:rFonts w:ascii="Times" w:eastAsia="等线" w:hAnsi="Times"/>
                <w:szCs w:val="24"/>
                <w:lang w:eastAsia="zh-CN"/>
              </w:rPr>
              <w:t xml:space="preserve">100 </w:t>
            </w:r>
            <w:bookmarkEnd w:id="17"/>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69"/>
            <w:r w:rsidRPr="006A4926">
              <w:rPr>
                <w:rFonts w:ascii="Times" w:eastAsia="等线" w:hAnsi="Times"/>
                <w:szCs w:val="24"/>
                <w:lang w:eastAsia="zh-CN"/>
              </w:rPr>
              <w:t xml:space="preserve">Supported maximum Uplink MIMO </w:t>
            </w:r>
            <w:bookmarkEnd w:id="18"/>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hint="eastAsia"/>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hint="eastAsia"/>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bl>
    <w:p w14:paraId="37073A98" w14:textId="77777777" w:rsidR="00DE2ADA" w:rsidRPr="005F6E72"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lastRenderedPageBreak/>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lastRenderedPageBreak/>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lastRenderedPageBreak/>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w:t>
            </w:r>
            <w:r w:rsidR="007031A1">
              <w:rPr>
                <w:rFonts w:eastAsiaTheme="minorEastAsia" w:hint="eastAsia"/>
                <w:lang w:val="en-GB" w:eastAsia="zh-CN"/>
              </w:rPr>
              <w:lastRenderedPageBreak/>
              <w:t>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w:t>
            </w:r>
            <w:r>
              <w:rPr>
                <w:lang w:val="en-GB"/>
              </w:rPr>
              <w:lastRenderedPageBreak/>
              <w:t xml:space="preserve">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lastRenderedPageBreak/>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hint="eastAsia"/>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hint="eastAsia"/>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bl>
    <w:p w14:paraId="3C5394DA" w14:textId="77777777" w:rsidR="00102D7D" w:rsidRPr="004F3DBE" w:rsidRDefault="00102D7D"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aff3"/>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hint="eastAsia"/>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hint="eastAsia"/>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bl>
    <w:p w14:paraId="0BEB8C6D" w14:textId="77777777" w:rsidR="00C93E9A" w:rsidRPr="004F3DBE" w:rsidRDefault="00C93E9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Before discussing whether to share or split, we need first to discuss the MRSS use cases, e.g. which signal/channel are going to be shared/rate mated. Once </w:t>
            </w:r>
            <w:r>
              <w:rPr>
                <w:rFonts w:eastAsiaTheme="minorEastAsia" w:hint="eastAsia"/>
                <w:lang w:val="en-GB" w:eastAsia="zh-CN"/>
              </w:rPr>
              <w:lastRenderedPageBreak/>
              <w:t>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 xml:space="preserve">For Option 2, similar view as CTC. We prefer not to support signals/channels sharing between 5G and 6G. It would complicate the 6G design and UE </w:t>
            </w:r>
            <w:r w:rsidRPr="001743CF">
              <w:rPr>
                <w:rFonts w:eastAsiaTheme="minorEastAsia"/>
                <w:lang w:val="en-GB" w:eastAsia="zh-CN"/>
              </w:rPr>
              <w:lastRenderedPageBreak/>
              <w:t>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lastRenderedPageBreak/>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076341">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aff3"/>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bl>
    <w:p w14:paraId="18C818E1" w14:textId="77777777" w:rsidR="00A768D0" w:rsidRPr="003E606A"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lastRenderedPageBreak/>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w:t>
            </w:r>
            <w:r>
              <w:rPr>
                <w:lang w:val="en-GB"/>
              </w:rPr>
              <w:lastRenderedPageBreak/>
              <w:t xml:space="preserve">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DD478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bl>
    <w:p w14:paraId="33EFD351" w14:textId="77777777" w:rsidR="00B87560" w:rsidRPr="003E606A"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w:t>
      </w:r>
      <w:r w:rsidR="000A3585" w:rsidRPr="00A42865">
        <w:rPr>
          <w:rFonts w:hint="eastAsia"/>
          <w:highlight w:val="magenta"/>
          <w:lang w:val="en-US"/>
        </w:rPr>
        <w:lastRenderedPageBreak/>
        <w:t>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aff3"/>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bl>
    <w:p w14:paraId="2DCA199B" w14:textId="77777777" w:rsidR="00191056" w:rsidRPr="003E606A" w:rsidRDefault="00191056" w:rsidP="00C93E9A">
      <w:pPr>
        <w:pStyle w:val="ac"/>
        <w:rPr>
          <w:lang w:val="en-US"/>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lastRenderedPageBreak/>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bl>
    <w:p w14:paraId="2DF48AE2" w14:textId="77777777" w:rsidR="00C04E80" w:rsidRPr="003E606A" w:rsidRDefault="00C04E80" w:rsidP="00C93E9A">
      <w:pPr>
        <w:pStyle w:val="ac"/>
        <w:rPr>
          <w:lang w:val="en-US"/>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lastRenderedPageBreak/>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1" w:name="_Hlk170725311"/>
            <w:r w:rsidRPr="00582A6D">
              <w:rPr>
                <w:rFonts w:eastAsia="微软雅黑"/>
                <w:b w:val="0"/>
                <w:sz w:val="20"/>
                <w:szCs w:val="20"/>
                <w:lang w:val="en-GB"/>
              </w:rPr>
              <w:t xml:space="preserve">UE-perceived </w:t>
            </w:r>
            <w:bookmarkEnd w:id="21"/>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lastRenderedPageBreak/>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ac"/>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w:t>
            </w:r>
            <w:proofErr w:type="spellStart"/>
            <w:r w:rsidRPr="004821DF">
              <w:rPr>
                <w:rFonts w:eastAsia="Malgun Gothic"/>
                <w:lang w:val="en-GB" w:eastAsia="ko-KR"/>
              </w:rPr>
              <w:t>RedCap</w:t>
            </w:r>
            <w:proofErr w:type="spellEnd"/>
            <w:r w:rsidRPr="004821DF">
              <w:rPr>
                <w:rFonts w:eastAsia="Malgun Gothic"/>
                <w:lang w:val="en-GB" w:eastAsia="ko-KR"/>
              </w:rPr>
              <w:t>)</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w:t>
            </w:r>
            <w:proofErr w:type="spellStart"/>
            <w:r w:rsidRPr="004821DF">
              <w:rPr>
                <w:rFonts w:eastAsia="Malgun Gothic" w:hint="eastAsia"/>
                <w:lang w:val="en-GB" w:eastAsia="ko-KR"/>
              </w:rPr>
              <w:t>gNB</w:t>
            </w:r>
            <w:proofErr w:type="spellEnd"/>
            <w:r w:rsidRPr="004821DF">
              <w:rPr>
                <w:rFonts w:eastAsia="Malgun Gothic" w:hint="eastAsia"/>
                <w:lang w:val="en-GB" w:eastAsia="ko-KR"/>
              </w:rPr>
              <w:t xml:space="preserve">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w:t>
            </w:r>
            <w:proofErr w:type="spellStart"/>
            <w:r w:rsidRPr="004821DF">
              <w:rPr>
                <w:rFonts w:eastAsia="Malgun Gothic" w:hint="eastAsia"/>
                <w:lang w:val="en-GB" w:eastAsia="ko-KR"/>
              </w:rPr>
              <w:t>gNB</w:t>
            </w:r>
            <w:proofErr w:type="spellEnd"/>
            <w:r w:rsidRPr="004821DF">
              <w:rPr>
                <w:rFonts w:eastAsia="Malgun Gothic" w:hint="eastAsia"/>
                <w:lang w:val="en-GB" w:eastAsia="ko-KR"/>
              </w:rPr>
              <w:t xml:space="preserve">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xml:space="preserve">, even though we prefer including UE SBFD and </w:t>
            </w:r>
            <w:proofErr w:type="spellStart"/>
            <w:r w:rsidRPr="004821DF">
              <w:rPr>
                <w:rFonts w:eastAsia="Malgun Gothic" w:hint="eastAsia"/>
                <w:lang w:val="en-GB" w:eastAsia="ko-KR"/>
              </w:rPr>
              <w:t>gNB</w:t>
            </w:r>
            <w:proofErr w:type="spellEnd"/>
            <w:r w:rsidRPr="004821DF">
              <w:rPr>
                <w:rFonts w:eastAsia="Malgun Gothic" w:hint="eastAsia"/>
                <w:lang w:val="en-GB" w:eastAsia="ko-KR"/>
              </w:rPr>
              <w:t xml:space="preserve">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hint="eastAsia"/>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hint="eastAsia"/>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bl>
    <w:p w14:paraId="4ADFE879" w14:textId="77777777" w:rsidR="00C04E80" w:rsidRPr="003E606A"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w:t>
      </w:r>
      <w:r w:rsidR="00397F02">
        <w:rPr>
          <w:rFonts w:hint="eastAsia"/>
          <w:lang w:val="en-US"/>
        </w:rPr>
        <w:lastRenderedPageBreak/>
        <w:t xml:space="preserve">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lastRenderedPageBreak/>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lastRenderedPageBreak/>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lastRenderedPageBreak/>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hint="eastAsia"/>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hint="eastAsia"/>
                <w:sz w:val="21"/>
                <w:szCs w:val="21"/>
                <w:lang w:eastAsia="zh-CN"/>
              </w:rPr>
            </w:pPr>
            <w:r>
              <w:rPr>
                <w:rFonts w:eastAsiaTheme="minorEastAsia" w:hint="eastAsia"/>
                <w:sz w:val="21"/>
                <w:szCs w:val="21"/>
                <w:lang w:eastAsia="zh-CN"/>
              </w:rPr>
              <w:t>Y</w:t>
            </w:r>
            <w:bookmarkStart w:id="22" w:name="_GoBack"/>
            <w:bookmarkEnd w:id="22"/>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hint="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ac"/>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5"/>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hint="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bl>
    <w:p w14:paraId="77DEED97" w14:textId="77777777" w:rsidR="00E84F61" w:rsidRPr="003E606A"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lastRenderedPageBreak/>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2E7572"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2E7572"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E7572"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E7572"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E7572"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E7572"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E7572"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E7572"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E7572"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E7572"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E7572"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E7572"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E7572"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E7572"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E7572"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E7572"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E7572"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E7572"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E7572"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E7572"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E7572"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E7572"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E7572"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E7572"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E7572"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E7572"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E7572"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E7572"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E7572"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E7572"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E7572"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E7572"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E7572"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E7572"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E7572"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E7572"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E7572"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E7572"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E7572"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E7572"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E7572"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E7572"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E7572"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E7572"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E7572"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E7572"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E7572"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E7572"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E7572"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E7572"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E7572"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E7572"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E7572"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E7572"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E7572"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E7572"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E7572"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781A" w14:textId="77777777" w:rsidR="002E7572" w:rsidRDefault="002E7572">
      <w:pPr>
        <w:spacing w:line="240" w:lineRule="auto"/>
      </w:pPr>
      <w:r>
        <w:separator/>
      </w:r>
    </w:p>
  </w:endnote>
  <w:endnote w:type="continuationSeparator" w:id="0">
    <w:p w14:paraId="625A1BF4" w14:textId="77777777" w:rsidR="002E7572" w:rsidRDefault="002E7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26FDE" w14:textId="77777777" w:rsidR="002E7572" w:rsidRDefault="002E7572">
      <w:pPr>
        <w:spacing w:after="0"/>
      </w:pPr>
      <w:r>
        <w:separator/>
      </w:r>
    </w:p>
  </w:footnote>
  <w:footnote w:type="continuationSeparator" w:id="0">
    <w:p w14:paraId="309150B3" w14:textId="77777777" w:rsidR="002E7572" w:rsidRDefault="002E75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7"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9"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5"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8"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6"/>
  </w:num>
  <w:num w:numId="5">
    <w:abstractNumId w:val="19"/>
  </w:num>
  <w:num w:numId="6">
    <w:abstractNumId w:val="22"/>
    <w:lvlOverride w:ilvl="0">
      <w:startOverride w:val="1"/>
    </w:lvlOverride>
  </w:num>
  <w:num w:numId="7">
    <w:abstractNumId w:val="23"/>
  </w:num>
  <w:num w:numId="8">
    <w:abstractNumId w:val="35"/>
  </w:num>
  <w:num w:numId="9">
    <w:abstractNumId w:val="44"/>
  </w:num>
  <w:num w:numId="10">
    <w:abstractNumId w:val="8"/>
  </w:num>
  <w:num w:numId="11">
    <w:abstractNumId w:val="32"/>
  </w:num>
  <w:num w:numId="12">
    <w:abstractNumId w:val="49"/>
  </w:num>
  <w:num w:numId="13">
    <w:abstractNumId w:val="20"/>
  </w:num>
  <w:num w:numId="14">
    <w:abstractNumId w:val="37"/>
  </w:num>
  <w:num w:numId="15">
    <w:abstractNumId w:val="39"/>
  </w:num>
  <w:num w:numId="16">
    <w:abstractNumId w:val="28"/>
  </w:num>
  <w:num w:numId="17">
    <w:abstractNumId w:val="41"/>
  </w:num>
  <w:num w:numId="18">
    <w:abstractNumId w:val="50"/>
  </w:num>
  <w:num w:numId="19">
    <w:abstractNumId w:val="29"/>
  </w:num>
  <w:num w:numId="20">
    <w:abstractNumId w:val="56"/>
  </w:num>
  <w:num w:numId="21">
    <w:abstractNumId w:val="7"/>
  </w:num>
  <w:num w:numId="22">
    <w:abstractNumId w:val="53"/>
  </w:num>
  <w:num w:numId="23">
    <w:abstractNumId w:val="36"/>
  </w:num>
  <w:num w:numId="24">
    <w:abstractNumId w:val="10"/>
  </w:num>
  <w:num w:numId="25">
    <w:abstractNumId w:val="43"/>
  </w:num>
  <w:num w:numId="26">
    <w:abstractNumId w:val="5"/>
  </w:num>
  <w:num w:numId="27">
    <w:abstractNumId w:val="25"/>
  </w:num>
  <w:num w:numId="28">
    <w:abstractNumId w:val="15"/>
  </w:num>
  <w:num w:numId="29">
    <w:abstractNumId w:val="27"/>
  </w:num>
  <w:num w:numId="30">
    <w:abstractNumId w:val="46"/>
  </w:num>
  <w:num w:numId="31">
    <w:abstractNumId w:val="48"/>
  </w:num>
  <w:num w:numId="32">
    <w:abstractNumId w:val="11"/>
  </w:num>
  <w:num w:numId="33">
    <w:abstractNumId w:val="47"/>
  </w:num>
  <w:num w:numId="34">
    <w:abstractNumId w:val="55"/>
  </w:num>
  <w:num w:numId="35">
    <w:abstractNumId w:val="33"/>
  </w:num>
  <w:num w:numId="36">
    <w:abstractNumId w:val="26"/>
  </w:num>
  <w:num w:numId="37">
    <w:abstractNumId w:val="45"/>
  </w:num>
  <w:num w:numId="38">
    <w:abstractNumId w:val="17"/>
  </w:num>
  <w:num w:numId="39">
    <w:abstractNumId w:val="2"/>
  </w:num>
  <w:num w:numId="40">
    <w:abstractNumId w:val="21"/>
  </w:num>
  <w:num w:numId="41">
    <w:abstractNumId w:val="13"/>
  </w:num>
  <w:num w:numId="42">
    <w:abstractNumId w:val="12"/>
  </w:num>
  <w:num w:numId="43">
    <w:abstractNumId w:val="51"/>
  </w:num>
  <w:num w:numId="44">
    <w:abstractNumId w:val="38"/>
  </w:num>
  <w:num w:numId="45">
    <w:abstractNumId w:val="40"/>
  </w:num>
  <w:num w:numId="46">
    <w:abstractNumId w:val="14"/>
  </w:num>
  <w:num w:numId="47">
    <w:abstractNumId w:val="4"/>
  </w:num>
  <w:num w:numId="48">
    <w:abstractNumId w:val="30"/>
  </w:num>
  <w:num w:numId="49">
    <w:abstractNumId w:val="42"/>
  </w:num>
  <w:num w:numId="50">
    <w:abstractNumId w:val="24"/>
  </w:num>
  <w:num w:numId="51">
    <w:abstractNumId w:val="31"/>
  </w:num>
  <w:num w:numId="52">
    <w:abstractNumId w:val="18"/>
  </w:num>
  <w:num w:numId="53">
    <w:abstractNumId w:val="9"/>
  </w:num>
  <w:num w:numId="54">
    <w:abstractNumId w:val="34"/>
  </w:num>
  <w:num w:numId="55">
    <w:abstractNumId w:val="54"/>
  </w:num>
  <w:num w:numId="56">
    <w:abstractNumId w:val="52"/>
  </w:num>
  <w:num w:numId="57">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C6D0-F76E-472C-870F-933D69D99C7E}">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19</TotalTime>
  <Pages>49</Pages>
  <Words>19054</Words>
  <Characters>108612</Characters>
  <Application>Microsoft Office Word</Application>
  <DocSecurity>0</DocSecurity>
  <Lines>905</Lines>
  <Paragraphs>254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Dell</cp:lastModifiedBy>
  <cp:revision>47</cp:revision>
  <dcterms:created xsi:type="dcterms:W3CDTF">2025-08-26T12:14:00Z</dcterms:created>
  <dcterms:modified xsi:type="dcterms:W3CDTF">2025-08-26T13:25:00Z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ies>
</file>