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2"/>
        <w:tblW w:w="9026"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6668"/>
        <w:gridCol w:w="2358"/>
      </w:tblGrid>
      <w:tr w:rsidR="00321CF0" w:rsidRPr="00FB13A8" w14:paraId="382AF4A8" w14:textId="77777777" w:rsidTr="00217056">
        <w:tc>
          <w:tcPr>
            <w:tcW w:w="6668" w:type="dxa"/>
          </w:tcPr>
          <w:p w14:paraId="178CB942" w14:textId="77777777" w:rsidR="00321CF0" w:rsidRPr="00FB13A8" w:rsidRDefault="00321CF0" w:rsidP="00217056">
            <w:pPr>
              <w:ind w:left="-113"/>
              <w:rPr>
                <w:rFonts w:asciiTheme="majorHAnsi" w:hAnsiTheme="majorHAnsi" w:cstheme="majorHAnsi"/>
              </w:rPr>
            </w:pPr>
            <w:r w:rsidRPr="00FB13A8">
              <w:rPr>
                <w:rFonts w:asciiTheme="majorHAnsi" w:hAnsiTheme="majorHAnsi" w:cstheme="majorHAnsi"/>
                <w:b/>
                <w:sz w:val="32"/>
                <w:szCs w:val="32"/>
              </w:rPr>
              <w:t>3GPP TSG RAN WG1 Meeting #12</w:t>
            </w:r>
            <w:r>
              <w:rPr>
                <w:rFonts w:asciiTheme="majorHAnsi" w:hAnsiTheme="majorHAnsi" w:cstheme="majorHAnsi"/>
                <w:b/>
                <w:sz w:val="32"/>
                <w:szCs w:val="32"/>
              </w:rPr>
              <w:t>3</w:t>
            </w:r>
          </w:p>
        </w:tc>
        <w:tc>
          <w:tcPr>
            <w:tcW w:w="2358" w:type="dxa"/>
          </w:tcPr>
          <w:p w14:paraId="0CABDC31" w14:textId="5813B03E" w:rsidR="00321CF0" w:rsidRPr="00FB13A8" w:rsidRDefault="00321CF0" w:rsidP="00217056">
            <w:pPr>
              <w:ind w:right="-115"/>
              <w:jc w:val="right"/>
              <w:rPr>
                <w:rFonts w:asciiTheme="majorHAnsi" w:hAnsiTheme="majorHAnsi" w:cstheme="majorHAnsi"/>
              </w:rPr>
            </w:pPr>
            <w:r w:rsidRPr="00FB13A8">
              <w:rPr>
                <w:rFonts w:asciiTheme="majorHAnsi" w:hAnsiTheme="majorHAnsi" w:cstheme="majorHAnsi"/>
                <w:b/>
                <w:sz w:val="32"/>
                <w:szCs w:val="32"/>
              </w:rPr>
              <w:t>R1-25</w:t>
            </w:r>
            <w:r>
              <w:rPr>
                <w:rFonts w:asciiTheme="majorHAnsi" w:hAnsiTheme="majorHAnsi" w:cstheme="majorHAnsi"/>
                <w:b/>
                <w:sz w:val="32"/>
                <w:szCs w:val="32"/>
              </w:rPr>
              <w:t>08</w:t>
            </w:r>
            <w:r w:rsidR="00A37A99">
              <w:rPr>
                <w:rFonts w:asciiTheme="majorHAnsi" w:hAnsiTheme="majorHAnsi" w:cstheme="majorHAnsi"/>
                <w:b/>
                <w:sz w:val="32"/>
                <w:szCs w:val="32"/>
              </w:rPr>
              <w:t>913</w:t>
            </w:r>
          </w:p>
        </w:tc>
      </w:tr>
      <w:tr w:rsidR="00321CF0" w:rsidRPr="00FB13A8" w14:paraId="7578A472" w14:textId="77777777" w:rsidTr="00217056">
        <w:tc>
          <w:tcPr>
            <w:tcW w:w="9026" w:type="dxa"/>
            <w:gridSpan w:val="2"/>
          </w:tcPr>
          <w:p w14:paraId="62F894FD" w14:textId="77777777" w:rsidR="00321CF0" w:rsidRPr="00FB13A8" w:rsidRDefault="00321CF0" w:rsidP="00217056">
            <w:pPr>
              <w:ind w:left="-113"/>
              <w:jc w:val="both"/>
              <w:rPr>
                <w:rFonts w:asciiTheme="majorHAnsi" w:hAnsiTheme="majorHAnsi" w:cstheme="majorHAnsi"/>
              </w:rPr>
            </w:pPr>
            <w:r>
              <w:rPr>
                <w:rFonts w:asciiTheme="majorHAnsi" w:hAnsiTheme="majorHAnsi" w:cstheme="majorHAnsi"/>
                <w:b/>
                <w:sz w:val="32"/>
                <w:szCs w:val="32"/>
              </w:rPr>
              <w:t>Dallas, USA</w:t>
            </w:r>
            <w:r w:rsidRPr="00FB13A8">
              <w:rPr>
                <w:rFonts w:asciiTheme="majorHAnsi" w:hAnsiTheme="majorHAnsi" w:cstheme="majorHAnsi"/>
                <w:b/>
                <w:sz w:val="32"/>
                <w:szCs w:val="32"/>
              </w:rPr>
              <w:t xml:space="preserve">, </w:t>
            </w:r>
            <w:r>
              <w:rPr>
                <w:rFonts w:asciiTheme="majorHAnsi" w:hAnsiTheme="majorHAnsi" w:cstheme="majorHAnsi"/>
                <w:b/>
                <w:sz w:val="32"/>
                <w:szCs w:val="32"/>
              </w:rPr>
              <w:t>November</w:t>
            </w:r>
            <w:r w:rsidRPr="00FB13A8">
              <w:rPr>
                <w:rFonts w:asciiTheme="majorHAnsi" w:hAnsiTheme="majorHAnsi" w:cstheme="majorHAnsi"/>
                <w:b/>
                <w:sz w:val="32"/>
                <w:szCs w:val="32"/>
              </w:rPr>
              <w:t xml:space="preserve"> 1</w:t>
            </w:r>
            <w:r>
              <w:rPr>
                <w:rFonts w:asciiTheme="majorHAnsi" w:hAnsiTheme="majorHAnsi" w:cstheme="majorHAnsi"/>
                <w:b/>
                <w:sz w:val="32"/>
                <w:szCs w:val="32"/>
              </w:rPr>
              <w:t>7</w:t>
            </w:r>
            <w:r w:rsidRPr="00FB13A8">
              <w:rPr>
                <w:rFonts w:asciiTheme="majorHAnsi" w:hAnsiTheme="majorHAnsi" w:cstheme="majorHAnsi"/>
                <w:b/>
                <w:sz w:val="32"/>
                <w:szCs w:val="32"/>
                <w:vertAlign w:val="superscript"/>
              </w:rPr>
              <w:t>th</w:t>
            </w:r>
            <w:r w:rsidRPr="00FB13A8">
              <w:rPr>
                <w:rFonts w:asciiTheme="majorHAnsi" w:hAnsiTheme="majorHAnsi" w:cstheme="majorHAnsi"/>
                <w:b/>
                <w:sz w:val="32"/>
                <w:szCs w:val="32"/>
              </w:rPr>
              <w:t xml:space="preserve"> – </w:t>
            </w:r>
            <w:r>
              <w:rPr>
                <w:rFonts w:asciiTheme="majorHAnsi" w:hAnsiTheme="majorHAnsi" w:cstheme="majorHAnsi"/>
                <w:b/>
                <w:sz w:val="32"/>
                <w:szCs w:val="32"/>
              </w:rPr>
              <w:t>2</w:t>
            </w:r>
            <w:r w:rsidRPr="00FB13A8">
              <w:rPr>
                <w:rFonts w:asciiTheme="majorHAnsi" w:hAnsiTheme="majorHAnsi" w:cstheme="majorHAnsi"/>
                <w:b/>
                <w:sz w:val="32"/>
                <w:szCs w:val="32"/>
              </w:rPr>
              <w:t>1</w:t>
            </w:r>
            <w:r>
              <w:rPr>
                <w:rFonts w:asciiTheme="majorHAnsi" w:hAnsiTheme="majorHAnsi" w:cstheme="majorHAnsi"/>
                <w:b/>
                <w:sz w:val="32"/>
                <w:szCs w:val="32"/>
                <w:vertAlign w:val="superscript"/>
              </w:rPr>
              <w:t>st</w:t>
            </w:r>
            <w:r w:rsidRPr="00FB13A8">
              <w:rPr>
                <w:rFonts w:asciiTheme="majorHAnsi" w:hAnsiTheme="majorHAnsi" w:cstheme="majorHAnsi"/>
                <w:b/>
                <w:sz w:val="32"/>
                <w:szCs w:val="32"/>
              </w:rPr>
              <w:t>, 2025</w:t>
            </w:r>
          </w:p>
        </w:tc>
      </w:tr>
    </w:tbl>
    <w:p w14:paraId="304990E4" w14:textId="77777777" w:rsidR="00321CF0" w:rsidRPr="00FB13A8" w:rsidRDefault="00321CF0" w:rsidP="00321CF0">
      <w:pPr>
        <w:jc w:val="both"/>
        <w:rPr>
          <w:rFonts w:asciiTheme="majorHAnsi" w:hAnsiTheme="majorHAnsi" w:cstheme="majorHAnsi"/>
        </w:rPr>
      </w:pPr>
    </w:p>
    <w:tbl>
      <w:tblPr>
        <w:tblStyle w:val="1"/>
        <w:tblW w:w="9360" w:type="dxa"/>
        <w:tblInd w:w="0" w:type="dxa"/>
        <w:tblBorders>
          <w:top w:val="single" w:sz="4" w:space="0" w:color="000000"/>
          <w:bottom w:val="single" w:sz="4" w:space="0" w:color="000000"/>
        </w:tblBorders>
        <w:tblLayout w:type="fixed"/>
        <w:tblLook w:val="06A0" w:firstRow="1" w:lastRow="0" w:firstColumn="1" w:lastColumn="0" w:noHBand="1" w:noVBand="1"/>
      </w:tblPr>
      <w:tblGrid>
        <w:gridCol w:w="1701"/>
        <w:gridCol w:w="7659"/>
      </w:tblGrid>
      <w:tr w:rsidR="00321CF0" w:rsidRPr="00FB13A8" w14:paraId="374202AA" w14:textId="77777777" w:rsidTr="00217056">
        <w:trPr>
          <w:cnfStyle w:val="100000000000" w:firstRow="1" w:lastRow="0" w:firstColumn="0" w:lastColumn="0" w:oddVBand="0" w:evenVBand="0" w:oddHBand="0" w:evenHBand="0" w:firstRowFirstColumn="0" w:firstRowLastColumn="0" w:lastRowFirstColumn="0" w:lastRowLastColumn="0"/>
          <w:trHeight w:val="153"/>
        </w:trPr>
        <w:tc>
          <w:tcPr>
            <w:cnfStyle w:val="001000000000" w:firstRow="0" w:lastRow="0" w:firstColumn="1" w:lastColumn="0" w:oddVBand="0" w:evenVBand="0" w:oddHBand="0" w:evenHBand="0" w:firstRowFirstColumn="0" w:firstRowLastColumn="0" w:lastRowFirstColumn="0" w:lastRowLastColumn="0"/>
            <w:tcW w:w="1701" w:type="dxa"/>
          </w:tcPr>
          <w:p w14:paraId="11484ED3" w14:textId="77777777" w:rsidR="00321CF0" w:rsidRPr="00FB13A8" w:rsidRDefault="00321CF0" w:rsidP="00217056">
            <w:pPr>
              <w:ind w:left="-113"/>
              <w:rPr>
                <w:rFonts w:asciiTheme="majorHAnsi" w:hAnsiTheme="majorHAnsi" w:cstheme="majorHAnsi"/>
                <w:sz w:val="24"/>
              </w:rPr>
            </w:pPr>
            <w:r w:rsidRPr="00FB13A8">
              <w:rPr>
                <w:rFonts w:asciiTheme="majorHAnsi" w:hAnsiTheme="majorHAnsi" w:cstheme="majorHAnsi"/>
                <w:sz w:val="24"/>
              </w:rPr>
              <w:t>Agenda Item:</w:t>
            </w:r>
          </w:p>
        </w:tc>
        <w:tc>
          <w:tcPr>
            <w:tcW w:w="7659" w:type="dxa"/>
          </w:tcPr>
          <w:p w14:paraId="1E04BFE2" w14:textId="51352136" w:rsidR="00321CF0" w:rsidRPr="00FB13A8" w:rsidRDefault="00321CF0" w:rsidP="00217056">
            <w:pPr>
              <w:ind w:left="-113"/>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24"/>
              </w:rPr>
            </w:pPr>
            <w:r w:rsidRPr="00FB13A8">
              <w:rPr>
                <w:rFonts w:asciiTheme="majorHAnsi" w:hAnsiTheme="majorHAnsi" w:cstheme="majorHAnsi"/>
                <w:b w:val="0"/>
                <w:sz w:val="24"/>
              </w:rPr>
              <w:t>1</w:t>
            </w:r>
            <w:r w:rsidR="00C80014">
              <w:rPr>
                <w:rFonts w:asciiTheme="majorHAnsi" w:hAnsiTheme="majorHAnsi" w:cstheme="majorHAnsi"/>
                <w:b w:val="0"/>
                <w:sz w:val="24"/>
              </w:rPr>
              <w:t>0.4</w:t>
            </w:r>
            <w:r w:rsidRPr="00FB13A8">
              <w:rPr>
                <w:rFonts w:asciiTheme="majorHAnsi" w:hAnsiTheme="majorHAnsi" w:cstheme="majorHAnsi"/>
                <w:b w:val="0"/>
                <w:sz w:val="24"/>
              </w:rPr>
              <w:t>.1</w:t>
            </w:r>
          </w:p>
        </w:tc>
      </w:tr>
      <w:tr w:rsidR="00321CF0" w:rsidRPr="00FB13A8" w14:paraId="639188AF" w14:textId="77777777" w:rsidTr="00217056">
        <w:tc>
          <w:tcPr>
            <w:cnfStyle w:val="001000000000" w:firstRow="0" w:lastRow="0" w:firstColumn="1" w:lastColumn="0" w:oddVBand="0" w:evenVBand="0" w:oddHBand="0" w:evenHBand="0" w:firstRowFirstColumn="0" w:firstRowLastColumn="0" w:lastRowFirstColumn="0" w:lastRowLastColumn="0"/>
            <w:tcW w:w="1701" w:type="dxa"/>
          </w:tcPr>
          <w:p w14:paraId="7A6D0B1F" w14:textId="77777777" w:rsidR="00321CF0" w:rsidRPr="00FB13A8" w:rsidRDefault="00321CF0" w:rsidP="00217056">
            <w:pPr>
              <w:ind w:left="-113"/>
              <w:rPr>
                <w:rFonts w:asciiTheme="majorHAnsi" w:hAnsiTheme="majorHAnsi" w:cstheme="majorHAnsi"/>
                <w:sz w:val="24"/>
              </w:rPr>
            </w:pPr>
            <w:r w:rsidRPr="00FB13A8">
              <w:rPr>
                <w:rFonts w:asciiTheme="majorHAnsi" w:hAnsiTheme="majorHAnsi" w:cstheme="majorHAnsi"/>
                <w:sz w:val="24"/>
              </w:rPr>
              <w:t>Source:</w:t>
            </w:r>
          </w:p>
        </w:tc>
        <w:tc>
          <w:tcPr>
            <w:tcW w:w="7659" w:type="dxa"/>
          </w:tcPr>
          <w:p w14:paraId="44509C86" w14:textId="77777777" w:rsidR="00321CF0" w:rsidRPr="00B72F91" w:rsidRDefault="00321CF0" w:rsidP="00217056">
            <w:pPr>
              <w:ind w:left="-113"/>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sz w:val="24"/>
              </w:rPr>
            </w:pPr>
            <w:r w:rsidRPr="00B72F91">
              <w:rPr>
                <w:rFonts w:asciiTheme="majorHAnsi" w:hAnsiTheme="majorHAnsi" w:cstheme="majorHAnsi"/>
                <w:b/>
                <w:bCs/>
                <w:sz w:val="24"/>
              </w:rPr>
              <w:t>WiSig and IITH</w:t>
            </w:r>
          </w:p>
        </w:tc>
      </w:tr>
      <w:tr w:rsidR="00321CF0" w:rsidRPr="00FB13A8" w14:paraId="0F6997F1" w14:textId="77777777" w:rsidTr="00217056">
        <w:tc>
          <w:tcPr>
            <w:cnfStyle w:val="001000000000" w:firstRow="0" w:lastRow="0" w:firstColumn="1" w:lastColumn="0" w:oddVBand="0" w:evenVBand="0" w:oddHBand="0" w:evenHBand="0" w:firstRowFirstColumn="0" w:firstRowLastColumn="0" w:lastRowFirstColumn="0" w:lastRowLastColumn="0"/>
            <w:tcW w:w="1701" w:type="dxa"/>
          </w:tcPr>
          <w:p w14:paraId="613590C4" w14:textId="77777777" w:rsidR="00321CF0" w:rsidRPr="00FB13A8" w:rsidRDefault="00321CF0" w:rsidP="00217056">
            <w:pPr>
              <w:ind w:left="-113"/>
              <w:rPr>
                <w:rFonts w:asciiTheme="majorHAnsi" w:hAnsiTheme="majorHAnsi" w:cstheme="majorHAnsi"/>
                <w:sz w:val="24"/>
              </w:rPr>
            </w:pPr>
            <w:r w:rsidRPr="00FB13A8">
              <w:rPr>
                <w:rFonts w:asciiTheme="majorHAnsi" w:hAnsiTheme="majorHAnsi" w:cstheme="majorHAnsi"/>
                <w:sz w:val="24"/>
              </w:rPr>
              <w:t>Title:</w:t>
            </w:r>
          </w:p>
        </w:tc>
        <w:tc>
          <w:tcPr>
            <w:tcW w:w="7659" w:type="dxa"/>
          </w:tcPr>
          <w:p w14:paraId="5EFF9E52" w14:textId="00F9EBFA" w:rsidR="00321CF0" w:rsidRPr="00B72F91" w:rsidRDefault="00A37A99" w:rsidP="00217056">
            <w:pPr>
              <w:ind w:left="-113"/>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sz w:val="24"/>
              </w:rPr>
            </w:pPr>
            <w:r>
              <w:rPr>
                <w:rFonts w:asciiTheme="majorHAnsi" w:hAnsiTheme="majorHAnsi" w:cstheme="majorHAnsi"/>
                <w:b/>
                <w:bCs/>
                <w:sz w:val="24"/>
              </w:rPr>
              <w:t>MCS entries for pi/2-BPSK</w:t>
            </w:r>
          </w:p>
        </w:tc>
      </w:tr>
      <w:tr w:rsidR="00321CF0" w:rsidRPr="00FB13A8" w14:paraId="08658A7A" w14:textId="77777777" w:rsidTr="00217056">
        <w:tc>
          <w:tcPr>
            <w:cnfStyle w:val="001000000000" w:firstRow="0" w:lastRow="0" w:firstColumn="1" w:lastColumn="0" w:oddVBand="0" w:evenVBand="0" w:oddHBand="0" w:evenHBand="0" w:firstRowFirstColumn="0" w:firstRowLastColumn="0" w:lastRowFirstColumn="0" w:lastRowLastColumn="0"/>
            <w:tcW w:w="1701" w:type="dxa"/>
          </w:tcPr>
          <w:p w14:paraId="60F6BE75" w14:textId="77777777" w:rsidR="00321CF0" w:rsidRPr="00FB13A8" w:rsidRDefault="00321CF0" w:rsidP="00217056">
            <w:pPr>
              <w:ind w:left="-113"/>
              <w:rPr>
                <w:rFonts w:asciiTheme="majorHAnsi" w:hAnsiTheme="majorHAnsi" w:cstheme="majorHAnsi"/>
                <w:sz w:val="24"/>
              </w:rPr>
            </w:pPr>
            <w:r w:rsidRPr="00FB13A8">
              <w:rPr>
                <w:rFonts w:asciiTheme="majorHAnsi" w:hAnsiTheme="majorHAnsi" w:cstheme="majorHAnsi"/>
                <w:sz w:val="24"/>
              </w:rPr>
              <w:t>Document for:</w:t>
            </w:r>
          </w:p>
        </w:tc>
        <w:tc>
          <w:tcPr>
            <w:tcW w:w="7659" w:type="dxa"/>
          </w:tcPr>
          <w:p w14:paraId="74F57A66" w14:textId="77777777" w:rsidR="00321CF0" w:rsidRPr="00FB13A8" w:rsidRDefault="00321CF0" w:rsidP="00217056">
            <w:pPr>
              <w:ind w:left="-113"/>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4"/>
              </w:rPr>
            </w:pPr>
            <w:r w:rsidRPr="00FB13A8">
              <w:rPr>
                <w:rFonts w:asciiTheme="majorHAnsi" w:hAnsiTheme="majorHAnsi" w:cstheme="majorHAnsi"/>
                <w:sz w:val="24"/>
              </w:rPr>
              <w:t>Discussion</w:t>
            </w:r>
          </w:p>
        </w:tc>
      </w:tr>
    </w:tbl>
    <w:p w14:paraId="15AC8C3D" w14:textId="77777777" w:rsidR="00321CF0" w:rsidRDefault="00321CF0" w:rsidP="00A74BC4">
      <w:pPr>
        <w:spacing w:before="120" w:after="120"/>
        <w:rPr>
          <w:sz w:val="20"/>
          <w:szCs w:val="20"/>
          <w:lang w:eastAsia="en-US"/>
        </w:rPr>
      </w:pPr>
    </w:p>
    <w:p w14:paraId="442E0FD3" w14:textId="07C1176E" w:rsidR="00A74BC4" w:rsidRDefault="00A74BC4" w:rsidP="00A74BC4">
      <w:pPr>
        <w:spacing w:before="120" w:after="120"/>
        <w:rPr>
          <w:sz w:val="20"/>
          <w:szCs w:val="20"/>
        </w:rPr>
      </w:pPr>
      <w:r>
        <w:rPr>
          <w:sz w:val="20"/>
          <w:szCs w:val="20"/>
        </w:rPr>
        <w:t>In this contribution we provide our views on coverage enhancement phase 3 work item which was agreed in RAN#108 [1] with the following objectives:</w:t>
      </w:r>
    </w:p>
    <w:tbl>
      <w:tblPr>
        <w:tblStyle w:val="TableGrid"/>
        <w:tblW w:w="0" w:type="auto"/>
        <w:tblLook w:val="04A0" w:firstRow="1" w:lastRow="0" w:firstColumn="1" w:lastColumn="0" w:noHBand="0" w:noVBand="1"/>
      </w:tblPr>
      <w:tblGrid>
        <w:gridCol w:w="9016"/>
      </w:tblGrid>
      <w:tr w:rsidR="00A74BC4" w:rsidRPr="00223C13" w14:paraId="173D0371" w14:textId="77777777" w:rsidTr="006A4227">
        <w:tc>
          <w:tcPr>
            <w:tcW w:w="9890" w:type="dxa"/>
          </w:tcPr>
          <w:p w14:paraId="45F6F06D" w14:textId="77777777" w:rsidR="00A74BC4" w:rsidRPr="00990AEC" w:rsidRDefault="00A74BC4" w:rsidP="00A74BC4">
            <w:pPr>
              <w:numPr>
                <w:ilvl w:val="0"/>
                <w:numId w:val="1"/>
              </w:numPr>
              <w:spacing w:before="120" w:after="120" w:line="276" w:lineRule="auto"/>
              <w:jc w:val="both"/>
              <w:rPr>
                <w:sz w:val="20"/>
                <w:szCs w:val="20"/>
              </w:rPr>
            </w:pPr>
            <w:r w:rsidRPr="00990AEC">
              <w:rPr>
                <w:sz w:val="20"/>
                <w:szCs w:val="20"/>
              </w:rPr>
              <w:t>Specify enhancements to improve PUSCH coverage for higher uplink data rate by extending pi/2-BPSK to more MCS entries in MCS tables [RAN1]</w:t>
            </w:r>
          </w:p>
          <w:p w14:paraId="2D725BEB" w14:textId="77777777" w:rsidR="00A74BC4" w:rsidRDefault="00A74BC4" w:rsidP="006A4227">
            <w:pPr>
              <w:overflowPunct w:val="0"/>
              <w:autoSpaceDE w:val="0"/>
              <w:autoSpaceDN w:val="0"/>
              <w:adjustRightInd w:val="0"/>
              <w:spacing w:before="120"/>
              <w:jc w:val="both"/>
              <w:textAlignment w:val="baseline"/>
              <w:rPr>
                <w:sz w:val="20"/>
                <w:szCs w:val="20"/>
              </w:rPr>
            </w:pPr>
          </w:p>
        </w:tc>
      </w:tr>
    </w:tbl>
    <w:p w14:paraId="401F937F" w14:textId="67E29C20" w:rsidR="00A74BC4" w:rsidRPr="00223C13" w:rsidRDefault="00A74BC4" w:rsidP="00A74BC4">
      <w:pPr>
        <w:rPr>
          <w:sz w:val="20"/>
          <w:szCs w:val="20"/>
        </w:rPr>
      </w:pPr>
    </w:p>
    <w:p w14:paraId="166A4395" w14:textId="77777777" w:rsidR="00A74BC4" w:rsidRPr="00223C13" w:rsidRDefault="00A74BC4" w:rsidP="00A74BC4">
      <w:pPr>
        <w:rPr>
          <w:sz w:val="20"/>
          <w:szCs w:val="20"/>
        </w:rPr>
      </w:pPr>
    </w:p>
    <w:p w14:paraId="6275928A" w14:textId="5C67F291" w:rsidR="009228D3" w:rsidRDefault="00A74BC4" w:rsidP="00223C13">
      <w:pPr>
        <w:jc w:val="both"/>
        <w:rPr>
          <w:sz w:val="20"/>
          <w:szCs w:val="20"/>
        </w:rPr>
      </w:pPr>
      <w:r w:rsidRPr="00223C13">
        <w:rPr>
          <w:sz w:val="20"/>
          <w:szCs w:val="20"/>
        </w:rPr>
        <w:t xml:space="preserve">Existing MCS tables </w:t>
      </w:r>
      <w:r w:rsidRPr="00A74BC4">
        <w:rPr>
          <w:sz w:val="20"/>
          <w:szCs w:val="20"/>
        </w:rPr>
        <w:t xml:space="preserve">the MCS Table 6.1.4.1-1, and the MCS Table 6.1.4.1-2 do not allow Pi/2 BPSK to be used for higher MCS values. </w:t>
      </w:r>
      <w:r>
        <w:rPr>
          <w:sz w:val="20"/>
          <w:szCs w:val="20"/>
        </w:rPr>
        <w:t xml:space="preserve">pi/2 BPSK </w:t>
      </w:r>
      <w:r w:rsidR="00797157">
        <w:rPr>
          <w:sz w:val="20"/>
          <w:szCs w:val="20"/>
        </w:rPr>
        <w:t>p</w:t>
      </w:r>
      <w:r>
        <w:rPr>
          <w:sz w:val="20"/>
          <w:szCs w:val="20"/>
        </w:rPr>
        <w:t>ower boosting increases the overall SNR at the base station</w:t>
      </w:r>
      <w:r w:rsidR="00797157">
        <w:rPr>
          <w:sz w:val="20"/>
          <w:szCs w:val="20"/>
        </w:rPr>
        <w:t>,</w:t>
      </w:r>
      <w:r>
        <w:rPr>
          <w:sz w:val="20"/>
          <w:szCs w:val="20"/>
        </w:rPr>
        <w:t xml:space="preserve"> compared to QPSK</w:t>
      </w:r>
      <w:r w:rsidR="00797157">
        <w:rPr>
          <w:sz w:val="20"/>
          <w:szCs w:val="20"/>
        </w:rPr>
        <w:t>,</w:t>
      </w:r>
      <w:r>
        <w:rPr>
          <w:sz w:val="20"/>
          <w:szCs w:val="20"/>
        </w:rPr>
        <w:t xml:space="preserve"> and results in an increase data rate. The existing MCS tables do not allow pi/2 BPSK to be used to increase the spectrum efficiency. </w:t>
      </w:r>
      <w:r w:rsidR="00321CF0">
        <w:rPr>
          <w:sz w:val="20"/>
          <w:szCs w:val="20"/>
        </w:rPr>
        <w:t>Adhering to that the following agreements were made in RAN1#122b.</w:t>
      </w:r>
      <w:r w:rsidR="009228D3">
        <w:rPr>
          <w:sz w:val="20"/>
          <w:szCs w:val="20"/>
        </w:rPr>
        <w:t>This should be remedied and the UE should be allowed to use higher MCS entries so that the higher transmit power results in net increase in data rate. The maximum SE supported by pi/2 BPSK in both MCS tables is determined using simulations.</w:t>
      </w:r>
    </w:p>
    <w:p w14:paraId="17218AC0" w14:textId="77777777" w:rsidR="00C80014" w:rsidRDefault="00C80014" w:rsidP="00223C13">
      <w:pPr>
        <w:jc w:val="both"/>
        <w:rPr>
          <w:sz w:val="20"/>
          <w:szCs w:val="20"/>
        </w:rPr>
      </w:pPr>
    </w:p>
    <w:p w14:paraId="0E9A9B71" w14:textId="77777777" w:rsidR="00C80014" w:rsidRDefault="00C80014" w:rsidP="00C80014">
      <w:pPr>
        <w:pStyle w:val="Heading1"/>
        <w:spacing w:before="120" w:after="0"/>
        <w:rPr>
          <w:rFonts w:cs="Arial"/>
          <w:sz w:val="32"/>
          <w:szCs w:val="18"/>
        </w:rPr>
      </w:pPr>
      <w:r>
        <w:rPr>
          <w:rFonts w:cs="Arial"/>
          <w:sz w:val="32"/>
          <w:szCs w:val="18"/>
        </w:rPr>
        <w:t>Reference</w:t>
      </w:r>
    </w:p>
    <w:p w14:paraId="5C49F127" w14:textId="77777777" w:rsidR="00C80014" w:rsidRPr="00F40A86" w:rsidRDefault="00C80014" w:rsidP="00C80014">
      <w:pPr>
        <w:pStyle w:val="References"/>
        <w:spacing w:before="120" w:after="0"/>
        <w:rPr>
          <w:szCs w:val="20"/>
        </w:rPr>
      </w:pPr>
      <w:bookmarkStart w:id="0" w:name="_Ref162534168"/>
      <w:r w:rsidRPr="00452524">
        <w:rPr>
          <w:szCs w:val="20"/>
        </w:rPr>
        <w:t>RP-2</w:t>
      </w:r>
      <w:r>
        <w:rPr>
          <w:szCs w:val="20"/>
        </w:rPr>
        <w:t>51862</w:t>
      </w:r>
      <w:r w:rsidRPr="00E337C6">
        <w:rPr>
          <w:szCs w:val="20"/>
        </w:rPr>
        <w:t xml:space="preserve">, </w:t>
      </w:r>
      <w:r>
        <w:rPr>
          <w:szCs w:val="20"/>
        </w:rPr>
        <w:t>New WID: Coverage enhancements for NR Phase 3</w:t>
      </w:r>
      <w:bookmarkEnd w:id="0"/>
      <w:r>
        <w:rPr>
          <w:szCs w:val="20"/>
        </w:rPr>
        <w:t>.</w:t>
      </w:r>
    </w:p>
    <w:p w14:paraId="024E3D84" w14:textId="77777777" w:rsidR="00C80014" w:rsidRPr="005D546C" w:rsidRDefault="00C80014" w:rsidP="00223C13">
      <w:pPr>
        <w:jc w:val="both"/>
        <w:rPr>
          <w:sz w:val="20"/>
          <w:szCs w:val="20"/>
        </w:rPr>
      </w:pPr>
    </w:p>
    <w:p w14:paraId="498DDD74" w14:textId="77777777" w:rsidR="009228D3" w:rsidRPr="00321CF0" w:rsidRDefault="009228D3" w:rsidP="00321CF0">
      <w:pPr>
        <w:rPr>
          <w:rFonts w:eastAsia="Batang"/>
          <w:sz w:val="20"/>
          <w:szCs w:val="20"/>
          <w:lang w:eastAsia="en-US"/>
        </w:rPr>
      </w:pPr>
    </w:p>
    <w:p w14:paraId="052502B3" w14:textId="77777777" w:rsidR="00321CF0" w:rsidRPr="00321CF0" w:rsidRDefault="00321CF0">
      <w:pPr>
        <w:rPr>
          <w:sz w:val="20"/>
          <w:szCs w:val="20"/>
          <w:lang w:val="en-GB"/>
        </w:rPr>
      </w:pPr>
    </w:p>
    <w:sectPr w:rsidR="00321CF0" w:rsidRPr="00321CF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609051285">
    <w:abstractNumId w:val="0"/>
  </w:num>
  <w:num w:numId="2" w16cid:durableId="795636835">
    <w:abstractNumId w:val="1"/>
    <w:lvlOverride w:ilvl="0"/>
    <w:lvlOverride w:ilvl="1"/>
    <w:lvlOverride w:ilvl="2"/>
    <w:lvlOverride w:ilvl="3"/>
    <w:lvlOverride w:ilvl="4"/>
    <w:lvlOverride w:ilvl="5"/>
    <w:lvlOverride w:ilvl="6"/>
    <w:lvlOverride w:ilvl="7"/>
    <w:lvlOverride w:ilvl="8"/>
  </w:num>
  <w:num w:numId="3" w16cid:durableId="880241587">
    <w:abstractNumId w:val="2"/>
    <w:lvlOverride w:ilvl="0"/>
    <w:lvlOverride w:ilvl="1"/>
    <w:lvlOverride w:ilvl="2"/>
    <w:lvlOverride w:ilvl="3"/>
    <w:lvlOverride w:ilvl="4"/>
    <w:lvlOverride w:ilvl="5"/>
    <w:lvlOverride w:ilvl="6"/>
    <w:lvlOverride w:ilvl="7"/>
    <w:lvlOverride w:ilvl="8"/>
  </w:num>
  <w:num w:numId="4" w16cid:durableId="123156726">
    <w:abstractNumId w:val="4"/>
    <w:lvlOverride w:ilvl="0"/>
    <w:lvlOverride w:ilvl="1"/>
    <w:lvlOverride w:ilvl="2"/>
    <w:lvlOverride w:ilvl="3"/>
    <w:lvlOverride w:ilvl="4"/>
    <w:lvlOverride w:ilvl="5"/>
    <w:lvlOverride w:ilvl="6"/>
    <w:lvlOverride w:ilvl="7"/>
    <w:lvlOverride w:ilvl="8"/>
  </w:num>
  <w:num w:numId="5" w16cid:durableId="211330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BC4"/>
    <w:rsid w:val="00223C13"/>
    <w:rsid w:val="00321CF0"/>
    <w:rsid w:val="0050296C"/>
    <w:rsid w:val="005D546C"/>
    <w:rsid w:val="00611AD5"/>
    <w:rsid w:val="00797157"/>
    <w:rsid w:val="009228D3"/>
    <w:rsid w:val="009A4866"/>
    <w:rsid w:val="00A22A58"/>
    <w:rsid w:val="00A37A99"/>
    <w:rsid w:val="00A74BC4"/>
    <w:rsid w:val="00C80014"/>
    <w:rsid w:val="00E958C4"/>
    <w:rsid w:val="00FD0D28"/>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D499B"/>
  <w15:chartTrackingRefBased/>
  <w15:docId w15:val="{A4E3DE34-C97E-4E04-90AC-02C93E745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BC4"/>
    <w:pPr>
      <w:spacing w:after="0" w:line="240" w:lineRule="auto"/>
    </w:pPr>
    <w:rPr>
      <w:rFonts w:ascii="Times New Roman" w:eastAsia="Times New Roman" w:hAnsi="Times New Roman" w:cs="Times New Roman"/>
      <w:kern w:val="0"/>
      <w:szCs w:val="24"/>
      <w:lang w:val="en-US" w:eastAsia="zh-CN" w:bidi="ar-SA"/>
      <w14:ligatures w14:val="none"/>
    </w:rPr>
  </w:style>
  <w:style w:type="paragraph" w:styleId="Heading1">
    <w:name w:val="heading 1"/>
    <w:basedOn w:val="Normal"/>
    <w:next w:val="Normal"/>
    <w:link w:val="Heading1Char"/>
    <w:uiPriority w:val="9"/>
    <w:qFormat/>
    <w:rsid w:val="00A74BC4"/>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A74BC4"/>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A74BC4"/>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A74BC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4BC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4BC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4BC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4BC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4BC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4BC4"/>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A74BC4"/>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A74BC4"/>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A74BC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4BC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4B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4B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4B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4BC4"/>
    <w:rPr>
      <w:rFonts w:eastAsiaTheme="majorEastAsia" w:cstheme="majorBidi"/>
      <w:color w:val="272727" w:themeColor="text1" w:themeTint="D8"/>
    </w:rPr>
  </w:style>
  <w:style w:type="paragraph" w:styleId="Title">
    <w:name w:val="Title"/>
    <w:basedOn w:val="Normal"/>
    <w:next w:val="Normal"/>
    <w:link w:val="TitleChar"/>
    <w:uiPriority w:val="10"/>
    <w:qFormat/>
    <w:rsid w:val="00A74BC4"/>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A74BC4"/>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A74BC4"/>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A74BC4"/>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A74BC4"/>
    <w:pPr>
      <w:spacing w:before="160"/>
      <w:jc w:val="center"/>
    </w:pPr>
    <w:rPr>
      <w:i/>
      <w:iCs/>
      <w:color w:val="404040" w:themeColor="text1" w:themeTint="BF"/>
    </w:rPr>
  </w:style>
  <w:style w:type="character" w:customStyle="1" w:styleId="QuoteChar">
    <w:name w:val="Quote Char"/>
    <w:basedOn w:val="DefaultParagraphFont"/>
    <w:link w:val="Quote"/>
    <w:uiPriority w:val="29"/>
    <w:rsid w:val="00A74BC4"/>
    <w:rPr>
      <w:i/>
      <w:iCs/>
      <w:color w:val="404040" w:themeColor="text1" w:themeTint="BF"/>
    </w:rPr>
  </w:style>
  <w:style w:type="paragraph" w:styleId="ListParagraph">
    <w:name w:val="List Paragraph"/>
    <w:basedOn w:val="Normal"/>
    <w:uiPriority w:val="34"/>
    <w:qFormat/>
    <w:rsid w:val="00A74BC4"/>
    <w:pPr>
      <w:ind w:left="720"/>
      <w:contextualSpacing/>
    </w:pPr>
  </w:style>
  <w:style w:type="character" w:styleId="IntenseEmphasis">
    <w:name w:val="Intense Emphasis"/>
    <w:basedOn w:val="DefaultParagraphFont"/>
    <w:uiPriority w:val="21"/>
    <w:qFormat/>
    <w:rsid w:val="00A74BC4"/>
    <w:rPr>
      <w:i/>
      <w:iCs/>
      <w:color w:val="0F4761" w:themeColor="accent1" w:themeShade="BF"/>
    </w:rPr>
  </w:style>
  <w:style w:type="paragraph" w:styleId="IntenseQuote">
    <w:name w:val="Intense Quote"/>
    <w:basedOn w:val="Normal"/>
    <w:next w:val="Normal"/>
    <w:link w:val="IntenseQuoteChar"/>
    <w:uiPriority w:val="30"/>
    <w:qFormat/>
    <w:rsid w:val="00A74B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4BC4"/>
    <w:rPr>
      <w:i/>
      <w:iCs/>
      <w:color w:val="0F4761" w:themeColor="accent1" w:themeShade="BF"/>
    </w:rPr>
  </w:style>
  <w:style w:type="character" w:styleId="IntenseReference">
    <w:name w:val="Intense Reference"/>
    <w:basedOn w:val="DefaultParagraphFont"/>
    <w:uiPriority w:val="32"/>
    <w:qFormat/>
    <w:rsid w:val="00A74BC4"/>
    <w:rPr>
      <w:b/>
      <w:bCs/>
      <w:smallCaps/>
      <w:color w:val="0F4761" w:themeColor="accent1" w:themeShade="BF"/>
      <w:spacing w:val="5"/>
    </w:rPr>
  </w:style>
  <w:style w:type="table" w:styleId="TableGrid">
    <w:name w:val="Table Grid"/>
    <w:aliases w:val="TableGrid,ST Table,Check(v),Table-Text,x Tableau page de garde"/>
    <w:basedOn w:val="TableNormal"/>
    <w:qFormat/>
    <w:rsid w:val="00A74BC4"/>
    <w:pPr>
      <w:spacing w:after="0" w:line="240" w:lineRule="auto"/>
    </w:pPr>
    <w:rPr>
      <w:kern w:val="0"/>
      <w:sz w:val="22"/>
      <w:szCs w:val="22"/>
      <w:lang w:val="en-US" w:bidi="ar-S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2"/>
    <w:basedOn w:val="TableNormal"/>
    <w:rsid w:val="00321CF0"/>
    <w:pPr>
      <w:spacing w:after="0" w:line="240" w:lineRule="auto"/>
    </w:pPr>
    <w:rPr>
      <w:rFonts w:ascii="Calibri" w:eastAsia="Calibri" w:hAnsi="Calibri" w:cs="Calibri"/>
      <w:kern w:val="0"/>
      <w:sz w:val="22"/>
      <w:szCs w:val="22"/>
      <w:lang w:eastAsia="en-IN"/>
      <w14:ligatures w14:val="none"/>
    </w:rPr>
    <w:tblPr>
      <w:tblStyleRowBandSize w:val="1"/>
      <w:tblStyleColBandSize w:val="1"/>
      <w:tblInd w:w="0" w:type="nil"/>
    </w:tblPr>
  </w:style>
  <w:style w:type="table" w:customStyle="1" w:styleId="1">
    <w:name w:val="1"/>
    <w:basedOn w:val="TableNormal"/>
    <w:rsid w:val="00321CF0"/>
    <w:pPr>
      <w:spacing w:after="0" w:line="240" w:lineRule="auto"/>
    </w:pPr>
    <w:rPr>
      <w:rFonts w:ascii="Calibri" w:eastAsia="Calibri" w:hAnsi="Calibri" w:cs="Calibri"/>
      <w:kern w:val="0"/>
      <w:sz w:val="22"/>
      <w:szCs w:val="22"/>
      <w:lang w:eastAsia="en-IN"/>
      <w14:ligatures w14:val="none"/>
    </w:rPr>
    <w:tblPr>
      <w:tblStyleRowBandSize w:val="1"/>
      <w:tblStyleColBandSize w:val="1"/>
      <w:tblInd w:w="0" w:type="nil"/>
    </w:tblPr>
    <w:tblStylePr w:type="firstRow">
      <w:rPr>
        <w:b/>
      </w:rPr>
    </w:tblStylePr>
    <w:tblStylePr w:type="lastRow">
      <w:rPr>
        <w:b/>
      </w:r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paragraph" w:customStyle="1" w:styleId="References">
    <w:name w:val="References"/>
    <w:basedOn w:val="Normal"/>
    <w:qFormat/>
    <w:rsid w:val="00C80014"/>
    <w:pPr>
      <w:numPr>
        <w:numId w:val="5"/>
      </w:numPr>
      <w:autoSpaceDE w:val="0"/>
      <w:autoSpaceDN w:val="0"/>
      <w:snapToGrid w:val="0"/>
      <w:spacing w:after="60"/>
      <w:jc w:val="both"/>
    </w:pPr>
    <w:rPr>
      <w:rFonts w:eastAsia="SimSun"/>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80</TotalTime>
  <Pages>1</Pages>
  <Words>180</Words>
  <Characters>1031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kiran kumar kuchi</dc:creator>
  <cp:keywords/>
  <dc:description/>
  <cp:lastModifiedBy>Koteswara Rao</cp:lastModifiedBy>
  <cp:revision>4</cp:revision>
  <dcterms:created xsi:type="dcterms:W3CDTF">2025-11-07T05:43:00Z</dcterms:created>
  <dcterms:modified xsi:type="dcterms:W3CDTF">2025-11-07T07:07:00Z</dcterms:modified>
</cp:coreProperties>
</file>