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D807C" w14:textId="580711A5" w:rsidR="00B10874" w:rsidRDefault="00A13B5A">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Pr>
          <w:rFonts w:ascii="Arial" w:hAnsi="Arial" w:hint="eastAsia"/>
          <w:b/>
          <w:sz w:val="24"/>
          <w:lang w:val="en-US" w:eastAsia="ja-JP"/>
        </w:rPr>
        <w:t>3GPP TSG RAN WG1 #1</w:t>
      </w:r>
      <w:r>
        <w:rPr>
          <w:rFonts w:ascii="Arial" w:hAnsi="Arial"/>
          <w:b/>
          <w:sz w:val="24"/>
          <w:lang w:val="en-US" w:eastAsia="ja-JP"/>
        </w:rPr>
        <w:t>22</w:t>
      </w:r>
      <w:r w:rsidR="009B044B">
        <w:rPr>
          <w:rFonts w:ascii="Arial" w:hAnsi="Arial"/>
          <w:b/>
          <w:sz w:val="24"/>
          <w:lang w:val="en-US" w:eastAsia="ja-JP"/>
        </w:rPr>
        <w:t xml:space="preserve"> bis</w:t>
      </w:r>
      <w:r>
        <w:rPr>
          <w:rFonts w:ascii="Arial" w:hAnsi="Arial"/>
          <w:b/>
          <w:sz w:val="24"/>
          <w:lang w:val="en-US" w:eastAsia="ja-JP"/>
        </w:rPr>
        <w:tab/>
      </w:r>
      <w:r>
        <w:rPr>
          <w:rFonts w:ascii="Arial" w:hAnsi="Arial" w:hint="eastAsia"/>
          <w:b/>
          <w:sz w:val="24"/>
          <w:lang w:val="en-US" w:eastAsia="ja-JP"/>
        </w:rPr>
        <w:t>R1-25</w:t>
      </w:r>
      <w:r w:rsidR="00020B6F">
        <w:rPr>
          <w:rFonts w:ascii="Arial" w:hAnsi="Arial"/>
          <w:b/>
          <w:sz w:val="24"/>
          <w:lang w:val="en-US" w:eastAsia="ja-JP"/>
        </w:rPr>
        <w:t>07620</w:t>
      </w:r>
    </w:p>
    <w:p w14:paraId="0E0FD430" w14:textId="77777777" w:rsidR="009B044B" w:rsidRDefault="009B044B">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bookmarkStart w:id="1" w:name="OLE_LINK3"/>
      <w:bookmarkStart w:id="2" w:name="OLE_LINK4"/>
      <w:bookmarkEnd w:id="0"/>
      <w:r w:rsidRPr="009B044B">
        <w:rPr>
          <w:rFonts w:ascii="Arial" w:hAnsi="Arial"/>
          <w:b/>
          <w:sz w:val="24"/>
          <w:lang w:val="en-US" w:eastAsia="ja-JP"/>
        </w:rPr>
        <w:t>Prague, Czech Republic, Oct 13th - 17th, 2025</w:t>
      </w:r>
    </w:p>
    <w:p w14:paraId="49D75A54" w14:textId="77777777" w:rsidR="009B044B" w:rsidRDefault="009B044B">
      <w:pPr>
        <w:tabs>
          <w:tab w:val="left" w:pos="1985"/>
        </w:tabs>
        <w:overflowPunct w:val="0"/>
        <w:autoSpaceDE w:val="0"/>
        <w:autoSpaceDN w:val="0"/>
        <w:adjustRightInd w:val="0"/>
        <w:spacing w:beforeLines="0" w:before="0" w:line="240" w:lineRule="auto"/>
        <w:jc w:val="both"/>
        <w:textAlignment w:val="baseline"/>
        <w:rPr>
          <w:rFonts w:ascii="Arial" w:hAnsi="Arial"/>
          <w:b/>
          <w:sz w:val="24"/>
          <w:lang w:val="en-US" w:eastAsia="ja-JP"/>
        </w:rPr>
      </w:pPr>
    </w:p>
    <w:p w14:paraId="632E1E28" w14:textId="5457BE4F"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 xml:space="preserve">Source: </w:t>
      </w:r>
      <w:r>
        <w:rPr>
          <w:rFonts w:ascii="Arial" w:hAnsi="Arial"/>
          <w:b/>
          <w:sz w:val="22"/>
          <w:szCs w:val="22"/>
          <w:lang w:val="en-US"/>
        </w:rPr>
        <w:tab/>
      </w:r>
      <w:r w:rsidR="00314D03" w:rsidRPr="00314D03">
        <w:rPr>
          <w:rFonts w:ascii="Arial" w:hAnsi="Arial"/>
          <w:b/>
          <w:sz w:val="22"/>
          <w:szCs w:val="22"/>
          <w:lang w:val="en-US"/>
        </w:rPr>
        <w:t>MediaTek Inc.</w:t>
      </w:r>
    </w:p>
    <w:p w14:paraId="7B47C88F" w14:textId="4D96F5CF"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sidR="009B044B">
        <w:rPr>
          <w:rFonts w:ascii="Arial" w:hAnsi="Arial"/>
          <w:b/>
          <w:sz w:val="22"/>
          <w:szCs w:val="22"/>
          <w:lang w:val="en-US" w:eastAsia="zh-CN"/>
        </w:rPr>
        <w:t>Study of</w:t>
      </w:r>
      <w:r>
        <w:rPr>
          <w:rFonts w:ascii="Arial" w:hAnsi="Arial" w:hint="eastAsia"/>
          <w:b/>
          <w:sz w:val="22"/>
          <w:szCs w:val="22"/>
          <w:lang w:val="en-US" w:eastAsia="zh-CN"/>
        </w:rPr>
        <w:t xml:space="preserve"> air interface for Device 2b/</w:t>
      </w:r>
      <w:r w:rsidR="009B044B">
        <w:rPr>
          <w:rFonts w:ascii="Arial" w:hAnsi="Arial"/>
          <w:b/>
          <w:sz w:val="22"/>
          <w:szCs w:val="22"/>
          <w:lang w:val="en-US" w:eastAsia="zh-CN"/>
        </w:rPr>
        <w:t>C</w:t>
      </w:r>
    </w:p>
    <w:p w14:paraId="0BE60299" w14:textId="77777777" w:rsidR="00B10874" w:rsidRDefault="00A13B5A">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10.3.2</w:t>
      </w:r>
    </w:p>
    <w:bookmarkEnd w:id="1"/>
    <w:bookmarkEnd w:id="2"/>
    <w:p w14:paraId="11FE69BF" w14:textId="77777777" w:rsidR="00B10874" w:rsidRDefault="00A13B5A">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82B86C5"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59235EB2" w14:textId="4199458D" w:rsidR="00C3224A" w:rsidRDefault="00C3224A" w:rsidP="00C3224A">
      <w:pPr>
        <w:spacing w:before="120" w:after="120"/>
        <w:jc w:val="both"/>
        <w:rPr>
          <w:rFonts w:eastAsiaTheme="minorEastAsia"/>
          <w:lang w:val="en-US" w:eastAsia="zh-CN"/>
        </w:rPr>
      </w:pPr>
      <w:r>
        <w:rPr>
          <w:rFonts w:eastAsiaTheme="minorEastAsia"/>
          <w:lang w:eastAsia="zh-CN"/>
        </w:rPr>
        <w:t>In RAN #109, the revised SID on enhancements for solutions for Ambient IoT in NR outdoor for active devices was described in the</w:t>
      </w:r>
      <w:r w:rsidR="00314D03">
        <w:rPr>
          <w:rFonts w:eastAsiaTheme="minorEastAsia"/>
          <w:lang w:eastAsia="zh-CN"/>
        </w:rPr>
        <w:t xml:space="preserve"> </w:t>
      </w:r>
      <w:r w:rsidR="00314D03">
        <w:rPr>
          <w:rFonts w:eastAsiaTheme="minorEastAsia"/>
          <w:lang w:eastAsia="zh-CN"/>
        </w:rPr>
        <w:fldChar w:fldCharType="begin"/>
      </w:r>
      <w:r w:rsidR="00314D03">
        <w:rPr>
          <w:rFonts w:eastAsiaTheme="minorEastAsia"/>
          <w:lang w:eastAsia="zh-CN"/>
        </w:rPr>
        <w:instrText xml:space="preserve"> REF _Ref210301666 \r \h </w:instrText>
      </w:r>
      <w:r w:rsidR="00314D03">
        <w:rPr>
          <w:rFonts w:eastAsiaTheme="minorEastAsia"/>
          <w:lang w:eastAsia="zh-CN"/>
        </w:rPr>
      </w:r>
      <w:r w:rsidR="00314D03">
        <w:rPr>
          <w:rFonts w:eastAsiaTheme="minorEastAsia"/>
          <w:lang w:eastAsia="zh-CN"/>
        </w:rPr>
        <w:fldChar w:fldCharType="separate"/>
      </w:r>
      <w:r w:rsidR="00B1614C">
        <w:rPr>
          <w:rFonts w:eastAsiaTheme="minorEastAsia"/>
          <w:lang w:eastAsia="zh-CN"/>
        </w:rPr>
        <w:t>[1]</w:t>
      </w:r>
      <w:r w:rsidR="00314D03">
        <w:rPr>
          <w:rFonts w:eastAsiaTheme="minorEastAsia"/>
          <w:lang w:eastAsia="zh-CN"/>
        </w:rPr>
        <w:fldChar w:fldCharType="end"/>
      </w:r>
      <w:r>
        <w:rPr>
          <w:rFonts w:eastAsiaTheme="minorEastAsia"/>
          <w:lang w:eastAsia="zh-CN"/>
        </w:rPr>
        <w:t>:</w:t>
      </w:r>
    </w:p>
    <w:tbl>
      <w:tblPr>
        <w:tblStyle w:val="af0"/>
        <w:tblW w:w="0" w:type="auto"/>
        <w:tblLook w:val="04A0" w:firstRow="1" w:lastRow="0" w:firstColumn="1" w:lastColumn="0" w:noHBand="0" w:noVBand="1"/>
      </w:tblPr>
      <w:tblGrid>
        <w:gridCol w:w="9286"/>
      </w:tblGrid>
      <w:tr w:rsidR="00C3224A" w14:paraId="664F7087" w14:textId="77777777" w:rsidTr="00C3224A">
        <w:tc>
          <w:tcPr>
            <w:tcW w:w="9286" w:type="dxa"/>
            <w:tcBorders>
              <w:top w:val="single" w:sz="4" w:space="0" w:color="000000"/>
              <w:left w:val="single" w:sz="4" w:space="0" w:color="000000"/>
              <w:bottom w:val="single" w:sz="4" w:space="0" w:color="000000"/>
              <w:right w:val="single" w:sz="4" w:space="0" w:color="000000"/>
            </w:tcBorders>
          </w:tcPr>
          <w:p w14:paraId="3CF4AA68" w14:textId="77777777" w:rsidR="00C3224A" w:rsidRDefault="00C3224A">
            <w:pPr>
              <w:spacing w:before="120" w:after="120"/>
              <w:rPr>
                <w:rFonts w:eastAsia="等线"/>
                <w:u w:val="single"/>
                <w:lang w:eastAsia="en-GB"/>
              </w:rPr>
            </w:pPr>
            <w:r>
              <w:rPr>
                <w:rFonts w:eastAsia="等线"/>
                <w:u w:val="single"/>
              </w:rPr>
              <w:t>Objectives</w:t>
            </w:r>
          </w:p>
          <w:p w14:paraId="113A2629"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Study necessary and feasible changes to the Rel-19 A-IoT specifications to support A-IoT in outdoor scenarios under the following conditions [RAN1-led]:</w:t>
            </w:r>
          </w:p>
          <w:p w14:paraId="7ED6A638"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Deployment scenario 4 with topology 1 with no external carrier wave.</w:t>
            </w:r>
          </w:p>
          <w:p w14:paraId="0BB39C7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Traffic types DO-DTT, DT, DO-A.</w:t>
            </w:r>
          </w:p>
          <w:p w14:paraId="04857CB0"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Representative use cases rUC5 (outdoor inventory), rUC6 (outdoor sensor), and rUC8 (outdoor command).</w:t>
            </w:r>
          </w:p>
          <w:p w14:paraId="100D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Assumption that A-IoT BS readers are deployed on the same sites as existing outdoor NR macro BSs.</w:t>
            </w:r>
          </w:p>
          <w:p w14:paraId="60A0AC84"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FR1 licensed spectrum in FDD in-band to NR and in standalone bands, with R2D in DL spectrum and D2R in UL spectrum.</w:t>
            </w:r>
          </w:p>
          <w:p w14:paraId="0F07392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Assumption of the same air interface for Device 2b and Device C.</w:t>
            </w:r>
          </w:p>
          <w:p w14:paraId="2327F737"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bookmarkStart w:id="6" w:name="_Hlk200381346"/>
            <w:r>
              <w:rPr>
                <w:rFonts w:eastAsia="等线"/>
              </w:rPr>
              <w:t>Take into account the aspects reported in Clause 6.10 “DO-A assessment” and Clause 6.1.1.7 “CFO calibration signal for device 2b” of TR 38.769</w:t>
            </w:r>
            <w:bookmarkEnd w:id="6"/>
          </w:p>
          <w:p w14:paraId="4F43CA5A"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Positioning for outdoor scenarios is under objective 2.</w:t>
            </w:r>
          </w:p>
          <w:p w14:paraId="76B6C292" w14:textId="77777777" w:rsidR="00C3224A" w:rsidRDefault="00C3224A">
            <w:pPr>
              <w:spacing w:before="120" w:after="120"/>
              <w:ind w:left="357"/>
              <w:rPr>
                <w:rFonts w:eastAsia="等线"/>
              </w:rPr>
            </w:pPr>
            <w:r>
              <w:rPr>
                <w:rFonts w:eastAsia="等线"/>
              </w:rPr>
              <w:t>This objective begins after RAN#108 (June 2025)</w:t>
            </w:r>
          </w:p>
          <w:p w14:paraId="5C53601C" w14:textId="77777777" w:rsidR="00C3224A" w:rsidRDefault="00C3224A">
            <w:pPr>
              <w:spacing w:before="120" w:after="120"/>
              <w:ind w:left="357"/>
              <w:rPr>
                <w:rFonts w:eastAsia="等线"/>
              </w:rPr>
            </w:pPr>
            <w:r>
              <w:rPr>
                <w:rFonts w:eastAsia="等线"/>
              </w:rPr>
              <w:t>RAN#111 (March 2026) will make a decision on whether to include outdoor scenarios in Rel-20 normative work.</w:t>
            </w:r>
          </w:p>
          <w:p w14:paraId="059B02CB" w14:textId="77777777" w:rsidR="00C3224A" w:rsidRDefault="00C3224A">
            <w:pPr>
              <w:spacing w:before="120" w:after="120"/>
              <w:ind w:left="360"/>
              <w:rPr>
                <w:rFonts w:eastAsia="等线"/>
              </w:rPr>
            </w:pPr>
          </w:p>
          <w:p w14:paraId="26C6D973" w14:textId="77777777" w:rsidR="00C3224A" w:rsidRDefault="00C3224A">
            <w:pPr>
              <w:spacing w:before="120" w:after="120"/>
              <w:ind w:left="360"/>
              <w:rPr>
                <w:rFonts w:eastAsia="等线"/>
              </w:rPr>
            </w:pPr>
            <w:r>
              <w:rPr>
                <w:rFonts w:eastAsia="等线"/>
              </w:rPr>
              <w:t>This objective includes:</w:t>
            </w:r>
          </w:p>
          <w:p w14:paraId="3590D0FE" w14:textId="77777777" w:rsidR="00C3224A" w:rsidRDefault="00C3224A">
            <w:pPr>
              <w:spacing w:before="120" w:after="120"/>
              <w:ind w:left="360"/>
              <w:rPr>
                <w:rFonts w:eastAsia="等线"/>
                <w:b/>
                <w:bCs/>
                <w:u w:val="single"/>
              </w:rPr>
            </w:pPr>
            <w:r>
              <w:rPr>
                <w:rFonts w:eastAsia="等线"/>
                <w:b/>
                <w:bCs/>
                <w:u w:val="single"/>
              </w:rPr>
              <w:t>RAN1-led</w:t>
            </w:r>
          </w:p>
          <w:p w14:paraId="0FAE6D4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Study necessary and feasible changes to the Rel-19 air interface to support the above scenarios</w:t>
            </w:r>
          </w:p>
          <w:p w14:paraId="31A3F253"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Air interface for device 2b/C studied for outdoor will be reused for supporting device 2b/C in indoor scenarios</w:t>
            </w:r>
          </w:p>
          <w:p w14:paraId="79941B56"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Study applicability and necessity of Device 2b and Device C to the above scenarios, assuming similar device architectures for Device 2b and Device C.</w:t>
            </w:r>
          </w:p>
          <w:p w14:paraId="41E9B37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3D97CF5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distance between Reader and Device of 50-500 m</w:t>
            </w:r>
          </w:p>
          <w:p w14:paraId="03FA7CBA"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transmit power between -3 dBm and +5 dBm for device C</w:t>
            </w:r>
          </w:p>
          <w:p w14:paraId="3B8F948F" w14:textId="77777777" w:rsidR="00C3224A" w:rsidRDefault="00C3224A" w:rsidP="00C3224A">
            <w:pPr>
              <w:numPr>
                <w:ilvl w:val="2"/>
                <w:numId w:val="18"/>
              </w:numPr>
              <w:overflowPunct w:val="0"/>
              <w:autoSpaceDE w:val="0"/>
              <w:autoSpaceDN w:val="0"/>
              <w:adjustRightInd w:val="0"/>
              <w:spacing w:beforeLines="0" w:before="120" w:afterLines="50" w:after="120" w:line="240" w:lineRule="auto"/>
              <w:ind w:left="2694" w:hanging="354"/>
              <w:rPr>
                <w:rFonts w:eastAsia="等线"/>
              </w:rPr>
            </w:pPr>
            <w:r>
              <w:rPr>
                <w:rFonts w:eastAsia="等线"/>
              </w:rPr>
              <w:t>RAN1 to recommend feasible values within this range</w:t>
            </w:r>
          </w:p>
          <w:p w14:paraId="0E42F324" w14:textId="77777777" w:rsidR="00C3224A" w:rsidRDefault="00C3224A" w:rsidP="00C3224A">
            <w:pPr>
              <w:numPr>
                <w:ilvl w:val="1"/>
                <w:numId w:val="18"/>
              </w:numPr>
              <w:overflowPunct w:val="0"/>
              <w:autoSpaceDE w:val="0"/>
              <w:autoSpaceDN w:val="0"/>
              <w:adjustRightInd w:val="0"/>
              <w:spacing w:beforeLines="0" w:before="120" w:afterLines="50" w:after="120" w:line="240" w:lineRule="auto"/>
              <w:rPr>
                <w:rFonts w:eastAsia="等线"/>
              </w:rPr>
            </w:pPr>
            <w:r>
              <w:rPr>
                <w:rFonts w:eastAsia="等线"/>
              </w:rPr>
              <w:t>Maximum transmit power of -20 dBm and -10 dBm for device 2b</w:t>
            </w:r>
          </w:p>
          <w:p w14:paraId="3976609B" w14:textId="77777777" w:rsidR="00C3224A" w:rsidRDefault="00C3224A">
            <w:pPr>
              <w:spacing w:before="120" w:after="120"/>
              <w:ind w:left="1440"/>
              <w:rPr>
                <w:rFonts w:eastAsia="等线"/>
              </w:rPr>
            </w:pPr>
            <w:r>
              <w:rPr>
                <w:rFonts w:eastAsia="等线"/>
              </w:rPr>
              <w:lastRenderedPageBreak/>
              <w:t>Study outcome should include assumptions on the energy harvesting/storage used to obtain the reported data rates and this includes the possibility of capturing results using energy harvesting with energy provided by the reader or by other sources.</w:t>
            </w:r>
          </w:p>
          <w:p w14:paraId="0D64DA73"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necessary further evaluation assumptions of deployment scenarios for coverage and coexistence evaluations.</w:t>
            </w:r>
          </w:p>
          <w:p w14:paraId="711D33D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Define link budget calculation for coverage.</w:t>
            </w:r>
          </w:p>
          <w:p w14:paraId="085A6C37" w14:textId="77777777" w:rsidR="00C3224A" w:rsidRDefault="00C3224A" w:rsidP="00C3224A">
            <w:pPr>
              <w:pStyle w:val="af7"/>
              <w:widowControl/>
              <w:numPr>
                <w:ilvl w:val="0"/>
                <w:numId w:val="17"/>
              </w:numPr>
              <w:overflowPunct w:val="0"/>
              <w:autoSpaceDE w:val="0"/>
              <w:autoSpaceDN w:val="0"/>
              <w:adjustRightInd w:val="0"/>
              <w:spacing w:beforeLines="0" w:before="120" w:after="120" w:line="240" w:lineRule="auto"/>
              <w:ind w:left="357" w:firstLineChars="0" w:hanging="357"/>
              <w:contextualSpacing/>
              <w:jc w:val="left"/>
              <w:textAlignment w:val="baseline"/>
              <w:rPr>
                <w:rFonts w:ascii="Times New Roman" w:hAnsi="Times New Roman"/>
                <w:szCs w:val="20"/>
              </w:rPr>
            </w:pPr>
            <w:r>
              <w:rPr>
                <w:rFonts w:ascii="Times New Roman" w:hAnsi="Times New Roman"/>
                <w:szCs w:val="20"/>
              </w:rPr>
              <w:t>Identify D2R RSRP-like measurement, and the involved A-IoT signal(s)/channel(s), which are feasible for Device 2b/Device C for more accurate outdoor Device localization than based on Reader-ID [RAN1].</w:t>
            </w:r>
          </w:p>
          <w:p w14:paraId="0FF63AF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RAN1 is not expected to conclude on the positioning accuracy as part of the identification of feasible D2R RSRP-like measurement</w:t>
            </w:r>
          </w:p>
          <w:p w14:paraId="74401BE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Note: Device localization based on Reader ID as specified in Rel-19 can be supported for active device(s) in Rel-20 with no additional work.</w:t>
            </w:r>
          </w:p>
          <w:p w14:paraId="5A7B130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The design of D2R signal(s)/channel(s) for active devices is not impacted by the identification of the D2R RSRP-like measurement</w:t>
            </w:r>
          </w:p>
          <w:p w14:paraId="3E96EB75"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This objective does not include the study of dedicated Device procedures for Device localization</w:t>
            </w:r>
          </w:p>
          <w:p w14:paraId="3ED3CC82"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The objective assumes no dedicated positioning architecture will be specified in Rel-20</w:t>
            </w:r>
          </w:p>
          <w:p w14:paraId="5E596B5F"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The objective assumes no specification of inter-Reader coordination for Device localization in Rel-20</w:t>
            </w:r>
          </w:p>
          <w:p w14:paraId="2778F4AE" w14:textId="77777777" w:rsidR="00C3224A" w:rsidRDefault="00C3224A" w:rsidP="00C3224A">
            <w:pPr>
              <w:numPr>
                <w:ilvl w:val="0"/>
                <w:numId w:val="18"/>
              </w:numPr>
              <w:overflowPunct w:val="0"/>
              <w:autoSpaceDE w:val="0"/>
              <w:autoSpaceDN w:val="0"/>
              <w:adjustRightInd w:val="0"/>
              <w:spacing w:beforeLines="0" w:before="120" w:afterLines="50" w:after="120" w:line="240" w:lineRule="auto"/>
              <w:rPr>
                <w:rFonts w:eastAsia="等线"/>
              </w:rPr>
            </w:pPr>
            <w:r>
              <w:rPr>
                <w:rFonts w:eastAsia="等线"/>
              </w:rPr>
              <w:t>This objective will start at RAN1#124</w:t>
            </w:r>
          </w:p>
        </w:tc>
      </w:tr>
    </w:tbl>
    <w:p w14:paraId="3B5F4A5A" w14:textId="2B9C3A24" w:rsidR="00B10874" w:rsidRDefault="00A13B5A">
      <w:pPr>
        <w:snapToGrid w:val="0"/>
        <w:spacing w:before="120"/>
        <w:jc w:val="both"/>
        <w:rPr>
          <w:rFonts w:eastAsia="等线"/>
          <w:lang w:val="en-US" w:eastAsia="zh-CN"/>
        </w:rPr>
      </w:pPr>
      <w:r>
        <w:rPr>
          <w:rFonts w:hint="eastAsia"/>
          <w:sz w:val="21"/>
          <w:szCs w:val="21"/>
          <w:lang w:val="en-US" w:eastAsia="zh-CN"/>
        </w:rPr>
        <w:lastRenderedPageBreak/>
        <w:t xml:space="preserve">In this contribution, we discuss the </w:t>
      </w:r>
      <w:r>
        <w:rPr>
          <w:rFonts w:eastAsia="等线"/>
        </w:rPr>
        <w:t xml:space="preserve">necessary and feasible changes to the Rel-19 A-IoT specifications to support A-IoT </w:t>
      </w:r>
      <w:r w:rsidR="00992C58">
        <w:rPr>
          <w:rFonts w:eastAsia="等线"/>
        </w:rPr>
        <w:t xml:space="preserve">active devices </w:t>
      </w:r>
      <w:r>
        <w:rPr>
          <w:rFonts w:eastAsia="等线"/>
        </w:rPr>
        <w:t>in outdoor scenarios</w:t>
      </w:r>
      <w:r w:rsidR="00992C58">
        <w:rPr>
          <w:rFonts w:eastAsia="等线"/>
          <w:lang w:val="en-US" w:eastAsia="zh-CN"/>
        </w:rPr>
        <w:t>.</w:t>
      </w:r>
    </w:p>
    <w:p w14:paraId="0A25567E" w14:textId="77777777" w:rsidR="00314D03" w:rsidRDefault="00314D03">
      <w:pPr>
        <w:snapToGrid w:val="0"/>
        <w:spacing w:before="120"/>
        <w:jc w:val="both"/>
        <w:rPr>
          <w:rFonts w:eastAsia="等线"/>
          <w:lang w:val="en-US" w:eastAsia="zh-CN"/>
        </w:rPr>
      </w:pPr>
    </w:p>
    <w:p w14:paraId="51B4377D" w14:textId="3EF6D64C"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 xml:space="preserve">General </w:t>
      </w:r>
      <w:r w:rsidR="00992C58">
        <w:rPr>
          <w:rFonts w:ascii="Arial" w:hAnsi="Arial"/>
          <w:sz w:val="36"/>
          <w:lang w:val="en-US" w:eastAsia="zh-CN"/>
        </w:rPr>
        <w:t>aspects</w:t>
      </w:r>
    </w:p>
    <w:p w14:paraId="411EA331" w14:textId="7D62C361" w:rsidR="005A31FF" w:rsidRDefault="005A31FF" w:rsidP="006F52AF">
      <w:pPr>
        <w:pStyle w:val="a3"/>
        <w:spacing w:before="120"/>
        <w:rPr>
          <w:b w:val="0"/>
          <w:bCs w:val="0"/>
        </w:rPr>
      </w:pPr>
      <w:bookmarkStart w:id="7" w:name="_Ref210048731"/>
      <w:r w:rsidRPr="005A31FF">
        <w:rPr>
          <w:b w:val="0"/>
          <w:bCs w:val="0"/>
        </w:rPr>
        <w:t>The current air interface specifications for ambient IoT NR have been primarily designed with indoor coverage assumptions, which may not translate effectively to outdoor scenarios without appropriate modifications.</w:t>
      </w:r>
      <w:r>
        <w:rPr>
          <w:b w:val="0"/>
          <w:bCs w:val="0"/>
        </w:rPr>
        <w:t xml:space="preserve"> According to the link budget coverage evaluation for R19 A-IoT in outdoor scenario in Table 1, the air interface enhancement may be various for different scenarios and assumptions. </w:t>
      </w:r>
    </w:p>
    <w:p w14:paraId="552F951E" w14:textId="6A19A3BC" w:rsidR="002706E4" w:rsidRPr="002706E4" w:rsidRDefault="009B35A1" w:rsidP="009B35A1">
      <w:pPr>
        <w:spacing w:before="120"/>
        <w:jc w:val="center"/>
      </w:pPr>
      <w:r>
        <w:t xml:space="preserve">Table 1. </w:t>
      </w:r>
      <w:r w:rsidR="00BE12CA">
        <w:t>C</w:t>
      </w:r>
      <w:r>
        <w:t>overage evaluation</w:t>
      </w:r>
    </w:p>
    <w:tbl>
      <w:tblPr>
        <w:tblStyle w:val="af0"/>
        <w:tblW w:w="0" w:type="auto"/>
        <w:tblLook w:val="04A0" w:firstRow="1" w:lastRow="0" w:firstColumn="1" w:lastColumn="0" w:noHBand="0" w:noVBand="1"/>
      </w:tblPr>
      <w:tblGrid>
        <w:gridCol w:w="856"/>
        <w:gridCol w:w="738"/>
        <w:gridCol w:w="916"/>
        <w:gridCol w:w="949"/>
        <w:gridCol w:w="1608"/>
        <w:gridCol w:w="1590"/>
        <w:gridCol w:w="1608"/>
        <w:gridCol w:w="1590"/>
      </w:tblGrid>
      <w:tr w:rsidR="004226C7" w14:paraId="1A33D4C0" w14:textId="77777777" w:rsidTr="005A31FF">
        <w:trPr>
          <w:trHeight w:val="20"/>
        </w:trPr>
        <w:tc>
          <w:tcPr>
            <w:tcW w:w="0" w:type="auto"/>
            <w:tcBorders>
              <w:top w:val="single" w:sz="4" w:space="0" w:color="000000"/>
              <w:left w:val="single" w:sz="4" w:space="0" w:color="000000"/>
              <w:bottom w:val="single" w:sz="4" w:space="0" w:color="000000"/>
              <w:right w:val="single" w:sz="4" w:space="0" w:color="000000"/>
            </w:tcBorders>
            <w:hideMark/>
          </w:tcPr>
          <w:p w14:paraId="1A48F459" w14:textId="77777777" w:rsidR="005A31FF" w:rsidRDefault="005A31FF">
            <w:pPr>
              <w:spacing w:before="120" w:after="120"/>
              <w:jc w:val="both"/>
              <w:rPr>
                <w:rFonts w:eastAsiaTheme="minorEastAsia"/>
                <w:b/>
                <w:bCs/>
                <w:sz w:val="16"/>
                <w:szCs w:val="16"/>
                <w:lang w:val="en-US" w:eastAsia="zh-CN"/>
              </w:rPr>
            </w:pPr>
            <w:r>
              <w:rPr>
                <w:rFonts w:eastAsiaTheme="minorEastAsia"/>
                <w:b/>
                <w:bCs/>
                <w:sz w:val="16"/>
                <w:szCs w:val="16"/>
                <w:lang w:eastAsia="zh-CN"/>
              </w:rPr>
              <w:t>Direction</w:t>
            </w:r>
          </w:p>
        </w:tc>
        <w:tc>
          <w:tcPr>
            <w:tcW w:w="0" w:type="auto"/>
            <w:tcBorders>
              <w:top w:val="single" w:sz="4" w:space="0" w:color="000000"/>
              <w:left w:val="single" w:sz="4" w:space="0" w:color="000000"/>
              <w:bottom w:val="single" w:sz="4" w:space="0" w:color="000000"/>
              <w:right w:val="single" w:sz="4" w:space="0" w:color="000000"/>
            </w:tcBorders>
            <w:hideMark/>
          </w:tcPr>
          <w:p w14:paraId="7BD2C196" w14:textId="77777777"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device type</w:t>
            </w:r>
          </w:p>
        </w:tc>
        <w:tc>
          <w:tcPr>
            <w:tcW w:w="0" w:type="auto"/>
            <w:tcBorders>
              <w:top w:val="single" w:sz="4" w:space="0" w:color="000000"/>
              <w:left w:val="single" w:sz="4" w:space="0" w:color="000000"/>
              <w:bottom w:val="single" w:sz="4" w:space="0" w:color="000000"/>
              <w:right w:val="single" w:sz="4" w:space="0" w:color="000000"/>
            </w:tcBorders>
            <w:hideMark/>
          </w:tcPr>
          <w:p w14:paraId="5F59A4BB" w14:textId="77777777"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PL model (NLOS)</w:t>
            </w:r>
          </w:p>
        </w:tc>
        <w:tc>
          <w:tcPr>
            <w:tcW w:w="0" w:type="auto"/>
            <w:tcBorders>
              <w:top w:val="single" w:sz="4" w:space="0" w:color="000000"/>
              <w:left w:val="single" w:sz="4" w:space="0" w:color="000000"/>
              <w:bottom w:val="single" w:sz="4" w:space="0" w:color="000000"/>
              <w:right w:val="single" w:sz="4" w:space="0" w:color="000000"/>
            </w:tcBorders>
            <w:hideMark/>
          </w:tcPr>
          <w:p w14:paraId="0D1182E9" w14:textId="77777777"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NR ISD*0.5 [D0] /m</w:t>
            </w:r>
          </w:p>
        </w:tc>
        <w:tc>
          <w:tcPr>
            <w:tcW w:w="0" w:type="auto"/>
            <w:tcBorders>
              <w:top w:val="single" w:sz="4" w:space="0" w:color="000000"/>
              <w:left w:val="single" w:sz="4" w:space="0" w:color="000000"/>
              <w:bottom w:val="single" w:sz="4" w:space="0" w:color="000000"/>
              <w:right w:val="single" w:sz="4" w:space="0" w:color="000000"/>
            </w:tcBorders>
            <w:hideMark/>
          </w:tcPr>
          <w:p w14:paraId="73D7EA7A" w14:textId="35BBA80F"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Distance (2D)</w:t>
            </w:r>
            <w:r w:rsidR="004226C7">
              <w:rPr>
                <w:rFonts w:eastAsiaTheme="minorEastAsia"/>
                <w:b/>
                <w:bCs/>
                <w:sz w:val="16"/>
                <w:szCs w:val="16"/>
                <w:lang w:eastAsia="zh-CN"/>
              </w:rPr>
              <w:t xml:space="preserve"> </w:t>
            </w:r>
            <w:r>
              <w:rPr>
                <w:rFonts w:eastAsiaTheme="minorEastAsia"/>
                <w:b/>
                <w:bCs/>
                <w:sz w:val="16"/>
                <w:szCs w:val="16"/>
                <w:lang w:eastAsia="zh-CN"/>
              </w:rPr>
              <w:t>/m with penetration margin of 20 dB</w:t>
            </w:r>
          </w:p>
        </w:tc>
        <w:tc>
          <w:tcPr>
            <w:tcW w:w="0" w:type="auto"/>
            <w:tcBorders>
              <w:top w:val="single" w:sz="4" w:space="0" w:color="000000"/>
              <w:left w:val="single" w:sz="4" w:space="0" w:color="000000"/>
              <w:bottom w:val="single" w:sz="4" w:space="0" w:color="000000"/>
              <w:right w:val="single" w:sz="4" w:space="0" w:color="000000"/>
            </w:tcBorders>
            <w:hideMark/>
          </w:tcPr>
          <w:p w14:paraId="08607781" w14:textId="7B2B0569"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Distance (2D) /m with penetration margin of 0 dB</w:t>
            </w:r>
          </w:p>
        </w:tc>
        <w:tc>
          <w:tcPr>
            <w:tcW w:w="0" w:type="auto"/>
            <w:tcBorders>
              <w:top w:val="single" w:sz="4" w:space="0" w:color="000000"/>
              <w:left w:val="single" w:sz="4" w:space="0" w:color="000000"/>
              <w:bottom w:val="single" w:sz="4" w:space="0" w:color="000000"/>
              <w:right w:val="single" w:sz="4" w:space="0" w:color="000000"/>
            </w:tcBorders>
            <w:hideMark/>
          </w:tcPr>
          <w:p w14:paraId="4D14C04D" w14:textId="4D0D4577"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Distance (2D) /m with penetration margin of 20 dB</w:t>
            </w:r>
          </w:p>
        </w:tc>
        <w:tc>
          <w:tcPr>
            <w:tcW w:w="0" w:type="auto"/>
            <w:tcBorders>
              <w:top w:val="single" w:sz="4" w:space="0" w:color="000000"/>
              <w:left w:val="single" w:sz="4" w:space="0" w:color="000000"/>
              <w:bottom w:val="single" w:sz="4" w:space="0" w:color="000000"/>
              <w:right w:val="single" w:sz="4" w:space="0" w:color="000000"/>
            </w:tcBorders>
            <w:hideMark/>
          </w:tcPr>
          <w:p w14:paraId="291AF05B" w14:textId="20A75422" w:rsidR="005A31FF" w:rsidRDefault="005A31FF">
            <w:pPr>
              <w:spacing w:before="120" w:after="120"/>
              <w:jc w:val="both"/>
              <w:rPr>
                <w:rFonts w:eastAsiaTheme="minorEastAsia"/>
                <w:b/>
                <w:bCs/>
                <w:sz w:val="16"/>
                <w:szCs w:val="16"/>
                <w:lang w:eastAsia="zh-CN"/>
              </w:rPr>
            </w:pPr>
            <w:r>
              <w:rPr>
                <w:rFonts w:eastAsiaTheme="minorEastAsia"/>
                <w:b/>
                <w:bCs/>
                <w:sz w:val="16"/>
                <w:szCs w:val="16"/>
                <w:lang w:eastAsia="zh-CN"/>
              </w:rPr>
              <w:t>Distance (2D) /m with penetration margin of 0 dB</w:t>
            </w:r>
          </w:p>
        </w:tc>
      </w:tr>
      <w:tr w:rsidR="005A31FF" w14:paraId="6C87E7F1" w14:textId="77777777" w:rsidTr="00F117DB">
        <w:trPr>
          <w:trHeight w:val="20"/>
        </w:trPr>
        <w:tc>
          <w:tcPr>
            <w:tcW w:w="0" w:type="auto"/>
            <w:gridSpan w:val="4"/>
            <w:tcBorders>
              <w:top w:val="single" w:sz="4" w:space="0" w:color="000000"/>
              <w:left w:val="single" w:sz="4" w:space="0" w:color="000000"/>
              <w:bottom w:val="single" w:sz="4" w:space="0" w:color="000000"/>
              <w:right w:val="single" w:sz="4" w:space="0" w:color="000000"/>
            </w:tcBorders>
          </w:tcPr>
          <w:p w14:paraId="798DEC4C" w14:textId="77777777" w:rsidR="005A31FF" w:rsidRDefault="005A31FF">
            <w:pPr>
              <w:spacing w:before="120" w:after="120"/>
              <w:jc w:val="both"/>
              <w:rPr>
                <w:rFonts w:eastAsiaTheme="minorEastAsia"/>
                <w:b/>
                <w:bCs/>
                <w:sz w:val="16"/>
                <w:szCs w:val="16"/>
                <w:lang w:eastAsia="zh-CN"/>
              </w:rPr>
            </w:pPr>
          </w:p>
        </w:tc>
        <w:tc>
          <w:tcPr>
            <w:tcW w:w="0" w:type="auto"/>
            <w:gridSpan w:val="2"/>
            <w:tcBorders>
              <w:top w:val="single" w:sz="4" w:space="0" w:color="000000"/>
              <w:left w:val="single" w:sz="4" w:space="0" w:color="000000"/>
              <w:bottom w:val="single" w:sz="4" w:space="0" w:color="000000"/>
              <w:right w:val="single" w:sz="4" w:space="0" w:color="000000"/>
            </w:tcBorders>
          </w:tcPr>
          <w:p w14:paraId="59D50961" w14:textId="7D5841B8" w:rsidR="005A31FF" w:rsidRDefault="005A31FF">
            <w:pPr>
              <w:spacing w:before="120" w:after="120"/>
              <w:jc w:val="both"/>
              <w:rPr>
                <w:rFonts w:eastAsiaTheme="minorEastAsia"/>
                <w:b/>
                <w:bCs/>
                <w:sz w:val="16"/>
                <w:szCs w:val="16"/>
                <w:lang w:eastAsia="zh-CN"/>
              </w:rPr>
            </w:pPr>
            <w:r>
              <w:rPr>
                <w:rFonts w:eastAsiaTheme="minorEastAsia" w:hint="eastAsia"/>
                <w:b/>
                <w:bCs/>
                <w:sz w:val="16"/>
                <w:szCs w:val="16"/>
                <w:lang w:eastAsia="zh-CN"/>
              </w:rPr>
              <w:t>B</w:t>
            </w:r>
            <w:r>
              <w:rPr>
                <w:rFonts w:eastAsiaTheme="minorEastAsia"/>
                <w:b/>
                <w:bCs/>
                <w:sz w:val="16"/>
                <w:szCs w:val="16"/>
                <w:lang w:eastAsia="zh-CN"/>
              </w:rPr>
              <w:t>LER 10%</w:t>
            </w:r>
          </w:p>
        </w:tc>
        <w:tc>
          <w:tcPr>
            <w:tcW w:w="0" w:type="auto"/>
            <w:gridSpan w:val="2"/>
            <w:tcBorders>
              <w:top w:val="single" w:sz="4" w:space="0" w:color="000000"/>
              <w:left w:val="single" w:sz="4" w:space="0" w:color="000000"/>
              <w:bottom w:val="single" w:sz="4" w:space="0" w:color="000000"/>
              <w:right w:val="single" w:sz="4" w:space="0" w:color="000000"/>
            </w:tcBorders>
          </w:tcPr>
          <w:p w14:paraId="0DF0DE2C" w14:textId="2065165C" w:rsidR="005A31FF" w:rsidRDefault="005A31FF">
            <w:pPr>
              <w:spacing w:before="120" w:after="120"/>
              <w:jc w:val="both"/>
              <w:rPr>
                <w:rFonts w:eastAsiaTheme="minorEastAsia"/>
                <w:b/>
                <w:bCs/>
                <w:sz w:val="16"/>
                <w:szCs w:val="16"/>
                <w:lang w:eastAsia="zh-CN"/>
              </w:rPr>
            </w:pPr>
            <w:r>
              <w:rPr>
                <w:rFonts w:eastAsiaTheme="minorEastAsia" w:hint="eastAsia"/>
                <w:b/>
                <w:bCs/>
                <w:sz w:val="16"/>
                <w:szCs w:val="16"/>
                <w:lang w:eastAsia="zh-CN"/>
              </w:rPr>
              <w:t>B</w:t>
            </w:r>
            <w:r>
              <w:rPr>
                <w:rFonts w:eastAsiaTheme="minorEastAsia"/>
                <w:b/>
                <w:bCs/>
                <w:sz w:val="16"/>
                <w:szCs w:val="16"/>
                <w:lang w:eastAsia="zh-CN"/>
              </w:rPr>
              <w:t>LER 1%</w:t>
            </w:r>
          </w:p>
        </w:tc>
      </w:tr>
      <w:tr w:rsidR="004226C7" w14:paraId="1A6D13A9" w14:textId="77777777" w:rsidTr="005A31FF">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7FEDB82B"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D2R</w:t>
            </w:r>
          </w:p>
          <w:p w14:paraId="5DBF4780" w14:textId="77777777" w:rsidR="005A31FF" w:rsidRDefault="005A31FF">
            <w:pPr>
              <w:spacing w:before="120" w:after="120"/>
              <w:jc w:val="both"/>
              <w:rPr>
                <w:rFonts w:eastAsiaTheme="minorEastAsia"/>
                <w:sz w:val="16"/>
                <w:szCs w:val="16"/>
                <w:lang w:eastAsia="zh-CN"/>
              </w:rPr>
            </w:pPr>
            <w:r>
              <w:rPr>
                <w:rFonts w:eastAsia="等线" w:hint="eastAsia"/>
                <w:color w:val="000000"/>
                <w:sz w:val="16"/>
                <w:szCs w:val="16"/>
              </w:rPr>
              <w:t xml:space="preserve">　</w:t>
            </w:r>
          </w:p>
          <w:p w14:paraId="0E26D956" w14:textId="77777777" w:rsidR="005A31FF" w:rsidRDefault="005A31FF">
            <w:pPr>
              <w:spacing w:before="120" w:after="120"/>
              <w:jc w:val="both"/>
              <w:rPr>
                <w:rFonts w:eastAsiaTheme="minorEastAsia"/>
                <w:sz w:val="16"/>
                <w:szCs w:val="16"/>
                <w:lang w:eastAsia="zh-CN"/>
              </w:rPr>
            </w:pPr>
            <w:r>
              <w:rPr>
                <w:rFonts w:eastAsia="等线"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036C77EF" w14:textId="77777777" w:rsidR="005A31FF" w:rsidRDefault="005A31FF">
            <w:pPr>
              <w:spacing w:before="120" w:after="120"/>
              <w:jc w:val="both"/>
              <w:rPr>
                <w:rFonts w:eastAsia="等线"/>
                <w:color w:val="000000"/>
                <w:sz w:val="16"/>
                <w:szCs w:val="16"/>
                <w:lang w:eastAsia="zh-CN"/>
              </w:rPr>
            </w:pPr>
            <w:r>
              <w:rPr>
                <w:rFonts w:eastAsia="等线"/>
                <w:color w:val="000000"/>
                <w:sz w:val="16"/>
                <w:szCs w:val="16"/>
                <w:lang w:eastAsia="zh-CN"/>
              </w:rPr>
              <w:t>Device 2b</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41CE6F" w14:textId="77777777" w:rsidR="005A31FF" w:rsidRDefault="005A31FF">
            <w:pPr>
              <w:spacing w:before="120" w:after="120"/>
              <w:jc w:val="both"/>
              <w:rPr>
                <w:rFonts w:eastAsia="Times New Roman"/>
                <w:sz w:val="16"/>
                <w:szCs w:val="16"/>
              </w:rPr>
            </w:pPr>
            <w:r>
              <w:rPr>
                <w:rFonts w:eastAsia="等线"/>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996485" w14:textId="77777777" w:rsidR="005A31FF" w:rsidRDefault="005A31FF">
            <w:pPr>
              <w:spacing w:before="120" w:after="120"/>
              <w:jc w:val="both"/>
              <w:rPr>
                <w:sz w:val="16"/>
                <w:szCs w:val="16"/>
              </w:rPr>
            </w:pPr>
            <w:r>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B2273F" w14:textId="77777777" w:rsidR="005A31FF" w:rsidRDefault="005A31FF">
            <w:pPr>
              <w:spacing w:before="120" w:after="120"/>
              <w:jc w:val="both"/>
              <w:rPr>
                <w:rFonts w:eastAsia="等线"/>
                <w:color w:val="000000"/>
                <w:sz w:val="16"/>
                <w:szCs w:val="16"/>
              </w:rPr>
            </w:pPr>
            <w:r>
              <w:rPr>
                <w:rFonts w:eastAsia="等线"/>
                <w:color w:val="000000"/>
                <w:sz w:val="16"/>
                <w:szCs w:val="16"/>
              </w:rPr>
              <w:t xml:space="preserve">154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036819" w14:textId="77777777" w:rsidR="005A31FF" w:rsidRDefault="005A31FF">
            <w:pPr>
              <w:spacing w:before="120" w:after="120"/>
              <w:jc w:val="both"/>
              <w:rPr>
                <w:rFonts w:eastAsia="等线"/>
                <w:color w:val="000000"/>
                <w:sz w:val="16"/>
                <w:szCs w:val="16"/>
              </w:rPr>
            </w:pPr>
            <w:r>
              <w:rPr>
                <w:sz w:val="16"/>
                <w:szCs w:val="16"/>
              </w:rPr>
              <w:t xml:space="preserve">505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0DE5F7" w14:textId="77777777" w:rsidR="005A31FF" w:rsidRDefault="005A31FF">
            <w:pPr>
              <w:spacing w:before="120" w:after="120"/>
              <w:jc w:val="both"/>
              <w:rPr>
                <w:rFonts w:eastAsiaTheme="minorEastAsia"/>
                <w:sz w:val="16"/>
                <w:szCs w:val="16"/>
                <w:lang w:eastAsia="zh-CN"/>
              </w:rPr>
            </w:pPr>
            <w:r>
              <w:rPr>
                <w:sz w:val="16"/>
                <w:szCs w:val="16"/>
              </w:rPr>
              <w:t xml:space="preserve">100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DF5F02" w14:textId="77777777" w:rsidR="005A31FF" w:rsidRDefault="005A31FF">
            <w:pPr>
              <w:spacing w:before="120" w:after="120"/>
              <w:jc w:val="both"/>
              <w:rPr>
                <w:rFonts w:eastAsiaTheme="minorEastAsia"/>
                <w:sz w:val="16"/>
                <w:szCs w:val="16"/>
                <w:lang w:eastAsia="zh-CN"/>
              </w:rPr>
            </w:pPr>
            <w:r>
              <w:rPr>
                <w:sz w:val="16"/>
                <w:szCs w:val="16"/>
              </w:rPr>
              <w:t xml:space="preserve">334 </w:t>
            </w:r>
          </w:p>
        </w:tc>
      </w:tr>
      <w:tr w:rsidR="004226C7" w14:paraId="33B8A142" w14:textId="77777777" w:rsidTr="005A31FF">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980A91" w14:textId="77777777" w:rsidR="005A31FF" w:rsidRDefault="005A31FF">
            <w:pPr>
              <w:spacing w:before="12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DA4428" w14:textId="77777777" w:rsidR="005A31FF" w:rsidRDefault="005A31FF">
            <w:pPr>
              <w:spacing w:before="120"/>
              <w:rPr>
                <w:rFonts w:eastAsia="等线"/>
                <w:color w:val="000000"/>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756017" w14:textId="77777777" w:rsidR="005A31FF" w:rsidRDefault="005A31FF">
            <w:pPr>
              <w:spacing w:before="120" w:after="120"/>
              <w:jc w:val="both"/>
              <w:rPr>
                <w:rFonts w:eastAsia="Times New Roman"/>
                <w:sz w:val="16"/>
                <w:szCs w:val="16"/>
              </w:rPr>
            </w:pPr>
            <w:r>
              <w:rPr>
                <w:rFonts w:eastAsia="等线"/>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F4169D" w14:textId="77777777" w:rsidR="005A31FF" w:rsidRDefault="005A31FF">
            <w:pPr>
              <w:spacing w:before="120" w:after="120"/>
              <w:jc w:val="both"/>
              <w:rPr>
                <w:sz w:val="16"/>
                <w:szCs w:val="16"/>
              </w:rPr>
            </w:pPr>
            <w:r>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147115"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262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DAADEB" w14:textId="77777777" w:rsidR="005A31FF" w:rsidRDefault="005A31FF">
            <w:pPr>
              <w:spacing w:before="120" w:after="120"/>
              <w:jc w:val="both"/>
              <w:rPr>
                <w:rFonts w:eastAsiaTheme="minorEastAsia"/>
                <w:sz w:val="16"/>
                <w:szCs w:val="16"/>
                <w:lang w:eastAsia="zh-CN"/>
              </w:rPr>
            </w:pPr>
            <w:r>
              <w:rPr>
                <w:sz w:val="16"/>
                <w:szCs w:val="16"/>
              </w:rPr>
              <w:t xml:space="preserve">869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66F2B8" w14:textId="77777777" w:rsidR="005A31FF" w:rsidRDefault="005A31FF">
            <w:pPr>
              <w:spacing w:before="120" w:after="120"/>
              <w:jc w:val="both"/>
              <w:rPr>
                <w:rFonts w:eastAsiaTheme="minorEastAsia"/>
                <w:sz w:val="16"/>
                <w:szCs w:val="16"/>
                <w:lang w:eastAsia="zh-CN"/>
              </w:rPr>
            </w:pPr>
            <w:r>
              <w:rPr>
                <w:sz w:val="16"/>
                <w:szCs w:val="16"/>
              </w:rPr>
              <w:t xml:space="preserve">171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0BA15C" w14:textId="77777777" w:rsidR="005A31FF" w:rsidRDefault="005A31FF">
            <w:pPr>
              <w:spacing w:before="120" w:after="120"/>
              <w:jc w:val="both"/>
              <w:rPr>
                <w:rFonts w:eastAsiaTheme="minorEastAsia"/>
                <w:sz w:val="16"/>
                <w:szCs w:val="16"/>
                <w:lang w:eastAsia="zh-CN"/>
              </w:rPr>
            </w:pPr>
            <w:r>
              <w:rPr>
                <w:sz w:val="16"/>
                <w:szCs w:val="16"/>
              </w:rPr>
              <w:t xml:space="preserve">572 </w:t>
            </w:r>
          </w:p>
        </w:tc>
      </w:tr>
      <w:tr w:rsidR="004226C7" w14:paraId="0563FB54" w14:textId="77777777" w:rsidTr="005A31FF">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0F37F8" w14:textId="77777777" w:rsidR="005A31FF" w:rsidRDefault="005A31FF">
            <w:pPr>
              <w:spacing w:before="120" w:beforeAutospacing="1" w:afterAutospacing="1"/>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E2FA83" w14:textId="77777777" w:rsidR="005A31FF" w:rsidRDefault="005A31FF">
            <w:pPr>
              <w:spacing w:before="120" w:beforeAutospacing="1" w:afterAutospacing="1"/>
              <w:rPr>
                <w:rFonts w:eastAsia="等线"/>
                <w:color w:val="000000"/>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B15021" w14:textId="77777777" w:rsidR="005A31FF" w:rsidRDefault="005A31FF">
            <w:pPr>
              <w:spacing w:before="120" w:after="120"/>
              <w:jc w:val="both"/>
              <w:rPr>
                <w:rFonts w:eastAsia="Times New Roman"/>
                <w:sz w:val="16"/>
                <w:szCs w:val="16"/>
              </w:rPr>
            </w:pPr>
            <w:r>
              <w:rPr>
                <w:rFonts w:eastAsia="等线"/>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5BC1FB" w14:textId="77777777" w:rsidR="005A31FF" w:rsidRDefault="005A31FF">
            <w:pPr>
              <w:spacing w:before="120" w:after="120"/>
              <w:jc w:val="both"/>
              <w:rPr>
                <w:sz w:val="16"/>
                <w:szCs w:val="16"/>
              </w:rPr>
            </w:pPr>
            <w:r>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2D724F"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 xml:space="preserve">133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9A10C9" w14:textId="77777777" w:rsidR="005A31FF" w:rsidRDefault="005A31FF">
            <w:pPr>
              <w:spacing w:before="120" w:after="120"/>
              <w:jc w:val="both"/>
              <w:rPr>
                <w:rFonts w:eastAsiaTheme="minorEastAsia"/>
                <w:sz w:val="16"/>
                <w:szCs w:val="16"/>
                <w:lang w:eastAsia="zh-CN"/>
              </w:rPr>
            </w:pPr>
            <w:r>
              <w:rPr>
                <w:sz w:val="16"/>
                <w:szCs w:val="16"/>
              </w:rPr>
              <w:t xml:space="preserve">492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1DFD8C" w14:textId="77777777" w:rsidR="005A31FF" w:rsidRDefault="005A31FF">
            <w:pPr>
              <w:spacing w:before="120" w:after="120"/>
              <w:jc w:val="both"/>
              <w:rPr>
                <w:rFonts w:eastAsiaTheme="minorEastAsia"/>
                <w:sz w:val="16"/>
                <w:szCs w:val="16"/>
                <w:lang w:eastAsia="zh-CN"/>
              </w:rPr>
            </w:pPr>
            <w:r>
              <w:rPr>
                <w:sz w:val="16"/>
                <w:szCs w:val="16"/>
              </w:rPr>
              <w:t xml:space="preserve">84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2F9753" w14:textId="77777777" w:rsidR="005A31FF" w:rsidRDefault="005A31FF">
            <w:pPr>
              <w:spacing w:before="120" w:after="120"/>
              <w:jc w:val="both"/>
              <w:rPr>
                <w:rFonts w:eastAsiaTheme="minorEastAsia"/>
                <w:sz w:val="16"/>
                <w:szCs w:val="16"/>
                <w:lang w:eastAsia="zh-CN"/>
              </w:rPr>
            </w:pPr>
            <w:r>
              <w:rPr>
                <w:sz w:val="16"/>
                <w:szCs w:val="16"/>
              </w:rPr>
              <w:t xml:space="preserve">312 </w:t>
            </w:r>
          </w:p>
        </w:tc>
      </w:tr>
      <w:tr w:rsidR="004226C7" w14:paraId="26508272" w14:textId="77777777" w:rsidTr="005A31FF">
        <w:trPr>
          <w:trHeight w:val="20"/>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410F20EC"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D2R</w:t>
            </w:r>
          </w:p>
          <w:p w14:paraId="7C6EC8A9" w14:textId="77777777" w:rsidR="005A31FF" w:rsidRDefault="005A31FF">
            <w:pPr>
              <w:spacing w:before="120" w:after="120"/>
              <w:jc w:val="both"/>
              <w:rPr>
                <w:rFonts w:eastAsiaTheme="minorEastAsia"/>
                <w:sz w:val="16"/>
                <w:szCs w:val="16"/>
                <w:lang w:eastAsia="zh-CN"/>
              </w:rPr>
            </w:pPr>
            <w:r>
              <w:rPr>
                <w:rFonts w:eastAsia="等线" w:hint="eastAsia"/>
                <w:color w:val="000000"/>
                <w:sz w:val="16"/>
                <w:szCs w:val="16"/>
              </w:rPr>
              <w:t xml:space="preserve">　</w:t>
            </w:r>
          </w:p>
          <w:p w14:paraId="4114EDCF" w14:textId="77777777" w:rsidR="005A31FF" w:rsidRDefault="005A31FF">
            <w:pPr>
              <w:spacing w:before="120" w:after="120"/>
              <w:jc w:val="both"/>
              <w:rPr>
                <w:rFonts w:eastAsiaTheme="minorEastAsia"/>
                <w:sz w:val="16"/>
                <w:szCs w:val="16"/>
                <w:lang w:eastAsia="zh-CN"/>
              </w:rPr>
            </w:pPr>
            <w:r>
              <w:rPr>
                <w:rFonts w:eastAsia="等线" w:hint="eastAsia"/>
                <w:color w:val="000000"/>
                <w:sz w:val="16"/>
                <w:szCs w:val="16"/>
              </w:rPr>
              <w:t xml:space="preserve">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AF40620" w14:textId="77777777" w:rsidR="005A31FF" w:rsidRDefault="005A31FF">
            <w:pPr>
              <w:spacing w:before="120" w:after="120"/>
              <w:jc w:val="both"/>
              <w:rPr>
                <w:rFonts w:eastAsia="等线"/>
                <w:color w:val="000000"/>
                <w:sz w:val="16"/>
                <w:szCs w:val="16"/>
                <w:lang w:eastAsia="zh-CN"/>
              </w:rPr>
            </w:pPr>
            <w:r>
              <w:rPr>
                <w:rFonts w:eastAsia="等线"/>
                <w:color w:val="000000"/>
                <w:sz w:val="16"/>
                <w:szCs w:val="16"/>
                <w:lang w:eastAsia="zh-CN"/>
              </w:rPr>
              <w:t>Device 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9BD0FD" w14:textId="77777777" w:rsidR="005A31FF" w:rsidRDefault="005A31FF">
            <w:pPr>
              <w:spacing w:before="120" w:after="120"/>
              <w:jc w:val="both"/>
              <w:rPr>
                <w:rFonts w:eastAsia="Times New Roman"/>
                <w:sz w:val="16"/>
                <w:szCs w:val="16"/>
              </w:rPr>
            </w:pPr>
            <w:r>
              <w:rPr>
                <w:rFonts w:eastAsia="等线"/>
                <w:color w:val="000000"/>
                <w:sz w:val="16"/>
                <w:szCs w:val="16"/>
              </w:rPr>
              <w:t>UMa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AD722C" w14:textId="77777777" w:rsidR="005A31FF" w:rsidRDefault="005A31FF">
            <w:pPr>
              <w:spacing w:before="120" w:after="120"/>
              <w:jc w:val="both"/>
              <w:rPr>
                <w:sz w:val="16"/>
                <w:szCs w:val="16"/>
              </w:rPr>
            </w:pPr>
            <w:r>
              <w:rPr>
                <w:rFonts w:eastAsiaTheme="minorEastAsia"/>
                <w:sz w:val="16"/>
                <w:szCs w:val="16"/>
                <w:lang w:eastAsia="zh-CN"/>
              </w:rPr>
              <w:t>250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01C9EB" w14:textId="77777777" w:rsidR="005A31FF" w:rsidRDefault="005A31FF">
            <w:pPr>
              <w:spacing w:before="120" w:after="120"/>
              <w:jc w:val="both"/>
              <w:rPr>
                <w:rFonts w:eastAsia="等线"/>
                <w:color w:val="000000"/>
                <w:sz w:val="16"/>
                <w:szCs w:val="16"/>
              </w:rPr>
            </w:pPr>
            <w:r>
              <w:rPr>
                <w:rFonts w:eastAsia="等线"/>
                <w:color w:val="000000"/>
                <w:sz w:val="16"/>
                <w:szCs w:val="16"/>
              </w:rPr>
              <w:t xml:space="preserve">375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4510AD" w14:textId="77777777" w:rsidR="005A31FF" w:rsidRDefault="005A31FF">
            <w:pPr>
              <w:spacing w:before="120" w:after="120"/>
              <w:jc w:val="both"/>
              <w:rPr>
                <w:rFonts w:eastAsia="等线"/>
                <w:color w:val="000000"/>
                <w:sz w:val="16"/>
                <w:szCs w:val="16"/>
              </w:rPr>
            </w:pPr>
            <w:r>
              <w:rPr>
                <w:sz w:val="16"/>
                <w:szCs w:val="16"/>
              </w:rPr>
              <w:t xml:space="preserve">1222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0199C5" w14:textId="77777777" w:rsidR="005A31FF" w:rsidRDefault="005A31FF">
            <w:pPr>
              <w:spacing w:before="120" w:after="120"/>
              <w:jc w:val="both"/>
              <w:rPr>
                <w:rFonts w:eastAsiaTheme="minorEastAsia"/>
                <w:sz w:val="16"/>
                <w:szCs w:val="16"/>
                <w:lang w:eastAsia="zh-CN"/>
              </w:rPr>
            </w:pPr>
            <w:r>
              <w:rPr>
                <w:sz w:val="16"/>
                <w:szCs w:val="16"/>
              </w:rPr>
              <w:t xml:space="preserve">248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DC8AF0" w14:textId="77777777" w:rsidR="005A31FF" w:rsidRDefault="005A31FF">
            <w:pPr>
              <w:spacing w:before="120" w:after="120"/>
              <w:jc w:val="both"/>
              <w:rPr>
                <w:rFonts w:eastAsiaTheme="minorEastAsia"/>
                <w:sz w:val="16"/>
                <w:szCs w:val="16"/>
                <w:lang w:eastAsia="zh-CN"/>
              </w:rPr>
            </w:pPr>
            <w:r>
              <w:rPr>
                <w:sz w:val="16"/>
                <w:szCs w:val="16"/>
              </w:rPr>
              <w:t xml:space="preserve">809 </w:t>
            </w:r>
          </w:p>
        </w:tc>
      </w:tr>
      <w:tr w:rsidR="004226C7" w14:paraId="5435D8D0" w14:textId="77777777" w:rsidTr="005A31FF">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A90D14" w14:textId="77777777" w:rsidR="005A31FF" w:rsidRDefault="005A31FF">
            <w:pPr>
              <w:spacing w:before="120"/>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67A4E9" w14:textId="77777777" w:rsidR="005A31FF" w:rsidRDefault="005A31FF">
            <w:pPr>
              <w:spacing w:before="120"/>
              <w:rPr>
                <w:rFonts w:eastAsia="等线"/>
                <w:color w:val="000000"/>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2E672B" w14:textId="77777777" w:rsidR="005A31FF" w:rsidRDefault="005A31FF">
            <w:pPr>
              <w:spacing w:before="120" w:after="120"/>
              <w:jc w:val="both"/>
              <w:rPr>
                <w:rFonts w:eastAsia="Times New Roman"/>
                <w:sz w:val="16"/>
                <w:szCs w:val="16"/>
              </w:rPr>
            </w:pPr>
            <w:r>
              <w:rPr>
                <w:rFonts w:eastAsia="等线"/>
                <w:color w:val="000000"/>
                <w:sz w:val="16"/>
                <w:szCs w:val="16"/>
              </w:rPr>
              <w:t>Rma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38C560" w14:textId="77777777" w:rsidR="005A31FF" w:rsidRDefault="005A31FF">
            <w:pPr>
              <w:spacing w:before="120" w:after="120"/>
              <w:jc w:val="both"/>
              <w:rPr>
                <w:sz w:val="16"/>
                <w:szCs w:val="16"/>
              </w:rPr>
            </w:pPr>
            <w:r>
              <w:rPr>
                <w:rFonts w:eastAsiaTheme="minorEastAsia"/>
                <w:sz w:val="16"/>
                <w:szCs w:val="16"/>
                <w:lang w:eastAsia="zh-CN"/>
              </w:rPr>
              <w:t>866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F8A4CF"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 xml:space="preserve">645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695442" w14:textId="77777777" w:rsidR="005A31FF" w:rsidRDefault="005A31FF">
            <w:pPr>
              <w:spacing w:before="120" w:after="120"/>
              <w:jc w:val="both"/>
              <w:rPr>
                <w:rFonts w:eastAsiaTheme="minorEastAsia"/>
                <w:sz w:val="16"/>
                <w:szCs w:val="16"/>
                <w:lang w:eastAsia="zh-CN"/>
              </w:rPr>
            </w:pPr>
            <w:r>
              <w:rPr>
                <w:sz w:val="16"/>
                <w:szCs w:val="16"/>
              </w:rPr>
              <w:t xml:space="preserve">2126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906A81" w14:textId="77777777" w:rsidR="005A31FF" w:rsidRDefault="005A31FF">
            <w:pPr>
              <w:spacing w:before="120" w:after="120"/>
              <w:jc w:val="both"/>
              <w:rPr>
                <w:rFonts w:eastAsiaTheme="minorEastAsia"/>
                <w:sz w:val="16"/>
                <w:szCs w:val="16"/>
                <w:lang w:eastAsia="zh-CN"/>
              </w:rPr>
            </w:pPr>
            <w:r>
              <w:rPr>
                <w:sz w:val="16"/>
                <w:szCs w:val="16"/>
              </w:rPr>
              <w:t xml:space="preserve">424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893227" w14:textId="77777777" w:rsidR="005A31FF" w:rsidRDefault="005A31FF">
            <w:pPr>
              <w:spacing w:before="120" w:after="120"/>
              <w:jc w:val="both"/>
              <w:rPr>
                <w:rFonts w:eastAsiaTheme="minorEastAsia"/>
                <w:sz w:val="16"/>
                <w:szCs w:val="16"/>
                <w:lang w:eastAsia="zh-CN"/>
              </w:rPr>
            </w:pPr>
            <w:r>
              <w:rPr>
                <w:sz w:val="16"/>
                <w:szCs w:val="16"/>
              </w:rPr>
              <w:t xml:space="preserve">1400 </w:t>
            </w:r>
          </w:p>
        </w:tc>
      </w:tr>
      <w:tr w:rsidR="004226C7" w14:paraId="4F353FBC" w14:textId="77777777" w:rsidTr="005A31FF">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CB7A55" w14:textId="77777777" w:rsidR="005A31FF" w:rsidRDefault="005A31FF">
            <w:pPr>
              <w:spacing w:before="120" w:beforeAutospacing="1" w:afterAutospacing="1"/>
              <w:rPr>
                <w:rFonts w:eastAsiaTheme="minorEastAsia"/>
                <w:sz w:val="16"/>
                <w:szCs w:val="16"/>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20CF65" w14:textId="77777777" w:rsidR="005A31FF" w:rsidRDefault="005A31FF">
            <w:pPr>
              <w:spacing w:before="120" w:beforeAutospacing="1" w:afterAutospacing="1"/>
              <w:rPr>
                <w:rFonts w:eastAsia="等线"/>
                <w:color w:val="000000"/>
                <w:sz w:val="16"/>
                <w:szCs w:val="16"/>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C1183A" w14:textId="77777777" w:rsidR="005A31FF" w:rsidRDefault="005A31FF">
            <w:pPr>
              <w:spacing w:before="120" w:after="120"/>
              <w:jc w:val="both"/>
              <w:rPr>
                <w:rFonts w:eastAsia="Times New Roman"/>
                <w:sz w:val="16"/>
                <w:szCs w:val="16"/>
              </w:rPr>
            </w:pPr>
            <w:r>
              <w:rPr>
                <w:rFonts w:eastAsia="等线"/>
                <w:color w:val="000000"/>
                <w:sz w:val="16"/>
                <w:szCs w:val="16"/>
              </w:rPr>
              <w:t>UMi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CB4E4C" w14:textId="77777777" w:rsidR="005A31FF" w:rsidRDefault="005A31FF">
            <w:pPr>
              <w:spacing w:before="120" w:after="120"/>
              <w:jc w:val="both"/>
              <w:rPr>
                <w:sz w:val="16"/>
                <w:szCs w:val="16"/>
              </w:rPr>
            </w:pPr>
            <w:r>
              <w:rPr>
                <w:rFonts w:eastAsiaTheme="minorEastAsia"/>
                <w:sz w:val="16"/>
                <w:szCs w:val="16"/>
                <w:lang w:eastAsia="zh-CN"/>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87A2A9" w14:textId="77777777" w:rsidR="005A31FF" w:rsidRDefault="005A31FF">
            <w:pPr>
              <w:spacing w:before="120" w:after="120"/>
              <w:jc w:val="both"/>
              <w:rPr>
                <w:rFonts w:eastAsiaTheme="minorEastAsia"/>
                <w:sz w:val="16"/>
                <w:szCs w:val="16"/>
                <w:lang w:eastAsia="zh-CN"/>
              </w:rPr>
            </w:pPr>
            <w:r>
              <w:rPr>
                <w:rFonts w:eastAsia="等线"/>
                <w:color w:val="000000"/>
                <w:sz w:val="16"/>
                <w:szCs w:val="16"/>
              </w:rPr>
              <w:t xml:space="preserve">355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CBF0B6" w14:textId="77777777" w:rsidR="005A31FF" w:rsidRDefault="005A31FF">
            <w:pPr>
              <w:spacing w:before="120" w:after="120"/>
              <w:jc w:val="both"/>
              <w:rPr>
                <w:rFonts w:eastAsiaTheme="minorEastAsia"/>
                <w:sz w:val="16"/>
                <w:szCs w:val="16"/>
                <w:lang w:eastAsia="zh-CN"/>
              </w:rPr>
            </w:pPr>
            <w:r>
              <w:rPr>
                <w:sz w:val="16"/>
                <w:szCs w:val="16"/>
              </w:rPr>
              <w:t xml:space="preserve">1309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5A5CE6" w14:textId="77777777" w:rsidR="005A31FF" w:rsidRDefault="005A31FF">
            <w:pPr>
              <w:spacing w:before="120" w:after="120"/>
              <w:jc w:val="both"/>
              <w:rPr>
                <w:rFonts w:eastAsiaTheme="minorEastAsia"/>
                <w:sz w:val="16"/>
                <w:szCs w:val="16"/>
                <w:lang w:eastAsia="zh-CN"/>
              </w:rPr>
            </w:pPr>
            <w:r>
              <w:rPr>
                <w:sz w:val="16"/>
                <w:szCs w:val="16"/>
              </w:rPr>
              <w:t xml:space="preserve">225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DDC3A5" w14:textId="77777777" w:rsidR="005A31FF" w:rsidRDefault="005A31FF">
            <w:pPr>
              <w:spacing w:before="120" w:after="120"/>
              <w:jc w:val="both"/>
              <w:rPr>
                <w:rFonts w:eastAsiaTheme="minorEastAsia"/>
                <w:sz w:val="16"/>
                <w:szCs w:val="16"/>
                <w:lang w:eastAsia="zh-CN"/>
              </w:rPr>
            </w:pPr>
            <w:r>
              <w:rPr>
                <w:sz w:val="16"/>
                <w:szCs w:val="16"/>
              </w:rPr>
              <w:t xml:space="preserve">829 </w:t>
            </w:r>
          </w:p>
        </w:tc>
      </w:tr>
    </w:tbl>
    <w:p w14:paraId="6C073778" w14:textId="77777777" w:rsidR="005A31FF" w:rsidRPr="005A31FF" w:rsidRDefault="005A31FF" w:rsidP="005A31FF">
      <w:pPr>
        <w:spacing w:before="120"/>
      </w:pPr>
    </w:p>
    <w:p w14:paraId="5DBE2517" w14:textId="059A92A6" w:rsidR="005A31FF" w:rsidRPr="005A31FF" w:rsidRDefault="005A31FF" w:rsidP="006F52AF">
      <w:pPr>
        <w:pStyle w:val="a3"/>
        <w:spacing w:before="120"/>
        <w:rPr>
          <w:b w:val="0"/>
          <w:bCs w:val="0"/>
        </w:rPr>
      </w:pPr>
      <w:r w:rsidRPr="005A31FF">
        <w:rPr>
          <w:b w:val="0"/>
          <w:bCs w:val="0"/>
        </w:rPr>
        <w:lastRenderedPageBreak/>
        <w:t>By establishing clear coverage targets as a foundational element of the study, the necessary modifications to the air interface can be systematically identified, evaluated, and specified in a manner that ensures both technical feasibility and commercial viability for outdoor ambient IoT deployments.</w:t>
      </w:r>
      <w:r w:rsidR="009E3743">
        <w:rPr>
          <w:b w:val="0"/>
          <w:bCs w:val="0"/>
        </w:rPr>
        <w:t xml:space="preserve"> Thus, we have the following proposal:</w:t>
      </w:r>
    </w:p>
    <w:p w14:paraId="2B703EA8" w14:textId="6FFAC0C2" w:rsidR="006F52AF" w:rsidRPr="009E3743" w:rsidRDefault="006F52AF" w:rsidP="009E3743">
      <w:pPr>
        <w:pStyle w:val="a3"/>
        <w:spacing w:before="120"/>
      </w:pPr>
      <w:bookmarkStart w:id="8" w:name="_Ref210228067"/>
      <w:r>
        <w:t xml:space="preserve">Observation </w:t>
      </w:r>
      <w:r>
        <w:fldChar w:fldCharType="begin"/>
      </w:r>
      <w:r>
        <w:instrText xml:space="preserve"> SEQ Observation \* ARABIC </w:instrText>
      </w:r>
      <w:r>
        <w:fldChar w:fldCharType="separate"/>
      </w:r>
      <w:r w:rsidR="00B1614C">
        <w:rPr>
          <w:noProof/>
        </w:rPr>
        <w:t>1</w:t>
      </w:r>
      <w:r>
        <w:fldChar w:fldCharType="end"/>
      </w:r>
      <w:r>
        <w:t xml:space="preserve">: </w:t>
      </w:r>
      <w:r w:rsidRPr="006F52AF">
        <w:t>The necessary and feasible changes to the Rel-19 air interface to support outdoor scenarios are highly related with the coverage target</w:t>
      </w:r>
      <w:bookmarkEnd w:id="7"/>
      <w:bookmarkEnd w:id="8"/>
      <w:r w:rsidR="00BE12CA">
        <w:t>.</w:t>
      </w:r>
    </w:p>
    <w:p w14:paraId="551F0F13" w14:textId="3FBED639" w:rsidR="006F52AF" w:rsidRDefault="006F52AF" w:rsidP="006F52AF">
      <w:pPr>
        <w:pStyle w:val="a3"/>
        <w:spacing w:before="120"/>
      </w:pPr>
      <w:bookmarkStart w:id="9" w:name="_Ref210048787"/>
      <w:r>
        <w:t xml:space="preserve">Proposal </w:t>
      </w:r>
      <w:r>
        <w:fldChar w:fldCharType="begin"/>
      </w:r>
      <w:r>
        <w:instrText xml:space="preserve"> SEQ Proposal \* ARABIC </w:instrText>
      </w:r>
      <w:r>
        <w:fldChar w:fldCharType="separate"/>
      </w:r>
      <w:r w:rsidR="00B1614C">
        <w:rPr>
          <w:noProof/>
        </w:rPr>
        <w:t>1</w:t>
      </w:r>
      <w:r>
        <w:fldChar w:fldCharType="end"/>
      </w:r>
      <w:r>
        <w:t xml:space="preserve">: </w:t>
      </w:r>
      <w:r w:rsidRPr="006F52AF">
        <w:t>The coverage target need to be considered to study necessary and feasible changes to air interface to support outdoor scenarios</w:t>
      </w:r>
      <w:bookmarkEnd w:id="9"/>
      <w:r w:rsidR="00BE12CA">
        <w:t>.</w:t>
      </w:r>
    </w:p>
    <w:p w14:paraId="5D738857" w14:textId="6F3E9B1D" w:rsidR="006F52AF" w:rsidRDefault="009E3743" w:rsidP="006F52AF">
      <w:pPr>
        <w:spacing w:before="120"/>
      </w:pPr>
      <w:r>
        <w:t>According to the coverage evaluation results, the UMa and UMi deployment scenarios seems to be more feasible. And to achieve a continuous coverage from the device perspective, the A-IoT outdoor coverage of 250m and 100m should be achieved, which the 250m and 100m target is derived from the ISD*0.5. Thus, an enhancement of approximate 9 d</w:t>
      </w:r>
      <w:r>
        <w:rPr>
          <w:rFonts w:hint="eastAsia"/>
          <w:lang w:eastAsia="zh-CN"/>
        </w:rPr>
        <w:t>B</w:t>
      </w:r>
      <w:r>
        <w:t xml:space="preserve"> </w:t>
      </w:r>
      <w:r>
        <w:rPr>
          <w:rFonts w:hint="eastAsia"/>
          <w:lang w:eastAsia="zh-CN"/>
        </w:rPr>
        <w:t>of</w:t>
      </w:r>
      <w:r>
        <w:rPr>
          <w:lang w:eastAsia="zh-CN"/>
        </w:rPr>
        <w:t xml:space="preserve"> the </w:t>
      </w:r>
      <w:r>
        <w:rPr>
          <w:rFonts w:hint="eastAsia"/>
          <w:lang w:eastAsia="zh-CN"/>
        </w:rPr>
        <w:t>required</w:t>
      </w:r>
      <w:r>
        <w:rPr>
          <w:lang w:eastAsia="zh-CN"/>
        </w:rPr>
        <w:t xml:space="preserve"> </w:t>
      </w:r>
      <w:r>
        <w:rPr>
          <w:rFonts w:hint="eastAsia"/>
          <w:lang w:eastAsia="zh-CN"/>
        </w:rPr>
        <w:t>SNR</w:t>
      </w:r>
      <w:r>
        <w:rPr>
          <w:lang w:eastAsia="zh-CN"/>
        </w:rPr>
        <w:t xml:space="preserve"> is to be assumed at BLER 10%. </w:t>
      </w:r>
    </w:p>
    <w:p w14:paraId="446E4194" w14:textId="7D079D80" w:rsidR="006F52AF" w:rsidRDefault="006F52AF" w:rsidP="009E3743">
      <w:pPr>
        <w:pStyle w:val="a3"/>
        <w:spacing w:before="120"/>
      </w:pPr>
      <w:bookmarkStart w:id="10" w:name="_Ref210048789"/>
      <w:r>
        <w:t xml:space="preserve">Proposal </w:t>
      </w:r>
      <w:r>
        <w:fldChar w:fldCharType="begin"/>
      </w:r>
      <w:r>
        <w:instrText xml:space="preserve"> SEQ Proposal \* ARABIC </w:instrText>
      </w:r>
      <w:r>
        <w:fldChar w:fldCharType="separate"/>
      </w:r>
      <w:r w:rsidR="00B1614C">
        <w:rPr>
          <w:noProof/>
        </w:rPr>
        <w:t>2</w:t>
      </w:r>
      <w:r>
        <w:fldChar w:fldCharType="end"/>
      </w:r>
      <w:r>
        <w:t>:</w:t>
      </w:r>
      <w:r w:rsidR="009E67A5">
        <w:t xml:space="preserve"> Support</w:t>
      </w:r>
      <w:r w:rsidRPr="006F52AF">
        <w:t xml:space="preserve"> </w:t>
      </w:r>
      <w:r w:rsidR="00590CE0">
        <w:t xml:space="preserve">the </w:t>
      </w:r>
      <w:r w:rsidRPr="006F52AF">
        <w:t xml:space="preserve">enhancement of D2R </w:t>
      </w:r>
      <w:r w:rsidR="00590CE0">
        <w:t xml:space="preserve">required SNR of </w:t>
      </w:r>
      <w:r w:rsidRPr="006F52AF">
        <w:t>9</w:t>
      </w:r>
      <w:r w:rsidR="00E75AA4">
        <w:t xml:space="preserve"> </w:t>
      </w:r>
      <w:r w:rsidRPr="006F52AF">
        <w:t>dB at BLER 10%</w:t>
      </w:r>
      <w:bookmarkEnd w:id="10"/>
    </w:p>
    <w:p w14:paraId="52EA7F3F" w14:textId="77777777" w:rsidR="00992C58" w:rsidRPr="006F52AF" w:rsidRDefault="00992C58" w:rsidP="006F52AF">
      <w:pPr>
        <w:spacing w:before="120"/>
        <w:rPr>
          <w:bCs/>
          <w:sz w:val="21"/>
          <w:szCs w:val="21"/>
          <w:lang w:val="en-US" w:eastAsia="zh-CN"/>
        </w:rPr>
      </w:pPr>
    </w:p>
    <w:p w14:paraId="776A7134" w14:textId="0609FBB9" w:rsidR="00B10874" w:rsidRDefault="00B074C9">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sz w:val="36"/>
          <w:lang w:val="en-US" w:eastAsia="zh-CN"/>
        </w:rPr>
        <w:t>D2R aspects</w:t>
      </w:r>
    </w:p>
    <w:p w14:paraId="2EFF1E46" w14:textId="13710EB9" w:rsidR="009B35A1" w:rsidRPr="009B35A1" w:rsidRDefault="009B35A1" w:rsidP="009B35A1">
      <w:pPr>
        <w:pStyle w:val="a3"/>
        <w:spacing w:before="120"/>
        <w:rPr>
          <w:b w:val="0"/>
          <w:bCs w:val="0"/>
        </w:rPr>
      </w:pPr>
      <w:bookmarkStart w:id="11" w:name="_Ref210048733"/>
      <w:r w:rsidRPr="009B35A1">
        <w:rPr>
          <w:b w:val="0"/>
          <w:bCs w:val="0"/>
        </w:rPr>
        <w:t xml:space="preserve">Due to the presence of substantial frequency and sampling offsets—most notably in device 2b—a marked degradation in the performance of BPSK modulation was observed. As depicted in Figure 1, the performance curve for BPSK reaches a floor at around 10% BLER, indicating that further improvements in </w:t>
      </w:r>
      <w:r w:rsidR="00A6108C">
        <w:rPr>
          <w:b w:val="0"/>
          <w:bCs w:val="0"/>
        </w:rPr>
        <w:t>SNR</w:t>
      </w:r>
      <w:r w:rsidRPr="009B35A1">
        <w:rPr>
          <w:b w:val="0"/>
          <w:bCs w:val="0"/>
        </w:rPr>
        <w:t xml:space="preserve"> do not yield significant reductions in block error rate under these conditions. In contrast, the performance of DBPSK under the same circumstances is considerably more robust; its curve is able to achieve a BLER as low as 1%, demonstrating a clear advantage over conventional BPSK in environments with large frequency and sampling mismatches</w:t>
      </w:r>
      <w:r w:rsidR="00A6108C">
        <w:rPr>
          <w:b w:val="0"/>
          <w:bCs w:val="0"/>
        </w:rPr>
        <w:t>, especially for large message size case</w:t>
      </w:r>
      <w:r w:rsidR="00A11238">
        <w:rPr>
          <w:b w:val="0"/>
          <w:bCs w:val="0"/>
        </w:rPr>
        <w:t>s, e.g., 96 bits or 400 bits.</w:t>
      </w:r>
    </w:p>
    <w:p w14:paraId="0766DA7B" w14:textId="1A50C731" w:rsidR="009B35A1" w:rsidRPr="009B35A1" w:rsidRDefault="009B35A1" w:rsidP="009B35A1">
      <w:pPr>
        <w:pStyle w:val="a3"/>
        <w:spacing w:before="120"/>
        <w:rPr>
          <w:b w:val="0"/>
          <w:bCs w:val="0"/>
        </w:rPr>
      </w:pPr>
      <w:r w:rsidRPr="009B35A1">
        <w:rPr>
          <w:b w:val="0"/>
          <w:bCs w:val="0"/>
        </w:rPr>
        <w:t>This improved resilience of DBPSK can be attributed to its method of data bit extraction, which relies on detecting the relative upward or downward trends between consecutive symbols, rather than absolute phase information. As a result, DBPSK is inherently less sensitive to the impairments caused by frequency and sampling offsets, which tend to disrupt absolute phase coherence. These findings suggest that, in scenarios where such offsets are significant and difficult to compensate for, DBPSK offers a more reliable alternative to BPSK.</w:t>
      </w:r>
    </w:p>
    <w:p w14:paraId="5EB67FC6" w14:textId="77777777" w:rsidR="009B35A1" w:rsidRDefault="009B35A1" w:rsidP="009B35A1">
      <w:pPr>
        <w:pStyle w:val="a3"/>
        <w:spacing w:before="120"/>
        <w:rPr>
          <w:b w:val="0"/>
          <w:bCs w:val="0"/>
        </w:rPr>
      </w:pPr>
      <w:r w:rsidRPr="009B35A1">
        <w:rPr>
          <w:b w:val="0"/>
          <w:bCs w:val="0"/>
        </w:rPr>
        <w:t>In light of these results, we propose the following recommendations to enhance system robustness under challenging frequency and sampling conditions:</w:t>
      </w:r>
    </w:p>
    <w:p w14:paraId="04551A2F" w14:textId="4709D17D" w:rsidR="00A7713A" w:rsidRDefault="00A7713A" w:rsidP="009B35A1">
      <w:pPr>
        <w:pStyle w:val="a3"/>
        <w:spacing w:before="120"/>
        <w:jc w:val="center"/>
      </w:pPr>
      <w:r>
        <w:rPr>
          <w:noProof/>
        </w:rPr>
        <w:drawing>
          <wp:inline distT="0" distB="0" distL="0" distR="0" wp14:anchorId="3A23D2A7" wp14:editId="00ECBDF0">
            <wp:extent cx="2527300" cy="188899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6534" cy="1895897"/>
                    </a:xfrm>
                    <a:prstGeom prst="rect">
                      <a:avLst/>
                    </a:prstGeom>
                  </pic:spPr>
                </pic:pic>
              </a:graphicData>
            </a:graphic>
          </wp:inline>
        </w:drawing>
      </w:r>
    </w:p>
    <w:p w14:paraId="56244988" w14:textId="4AB9162B" w:rsidR="009B35A1" w:rsidRPr="009B35A1" w:rsidRDefault="009B35A1" w:rsidP="009B35A1">
      <w:pPr>
        <w:spacing w:before="120"/>
        <w:jc w:val="center"/>
      </w:pPr>
      <w:r>
        <w:t>Figure 1. PDRCH performance with BPSK and DBPSK modulation method</w:t>
      </w:r>
    </w:p>
    <w:p w14:paraId="46401BBA" w14:textId="46287137" w:rsidR="006F52AF" w:rsidRDefault="006F52AF" w:rsidP="009B35A1">
      <w:pPr>
        <w:pStyle w:val="a3"/>
        <w:spacing w:before="120"/>
        <w:rPr>
          <w:b w:val="0"/>
          <w:sz w:val="21"/>
          <w:szCs w:val="21"/>
          <w:lang w:val="en-US" w:eastAsia="zh-CN" w:bidi="ar"/>
        </w:rPr>
      </w:pPr>
      <w:bookmarkStart w:id="12" w:name="_Ref210228068"/>
      <w:r>
        <w:t xml:space="preserve">Observation </w:t>
      </w:r>
      <w:r>
        <w:fldChar w:fldCharType="begin"/>
      </w:r>
      <w:r>
        <w:instrText xml:space="preserve"> SEQ Observation \* ARABIC </w:instrText>
      </w:r>
      <w:r>
        <w:fldChar w:fldCharType="separate"/>
      </w:r>
      <w:r w:rsidR="00B1614C">
        <w:rPr>
          <w:noProof/>
        </w:rPr>
        <w:t>2</w:t>
      </w:r>
      <w:r>
        <w:fldChar w:fldCharType="end"/>
      </w:r>
      <w:r>
        <w:t xml:space="preserve">: </w:t>
      </w:r>
      <w:r w:rsidRPr="006F52AF">
        <w:t>D2R DBPSK modulation method has better performance than BPSK for large SFO and large payload size</w:t>
      </w:r>
      <w:bookmarkEnd w:id="11"/>
      <w:r w:rsidR="00A7713A">
        <w:t>.</w:t>
      </w:r>
      <w:bookmarkEnd w:id="12"/>
    </w:p>
    <w:p w14:paraId="7D51412C" w14:textId="27927188" w:rsidR="006D2CEB" w:rsidRDefault="006D2CEB" w:rsidP="009B35A1">
      <w:pPr>
        <w:pStyle w:val="a3"/>
        <w:spacing w:before="120"/>
      </w:pPr>
      <w:bookmarkStart w:id="13" w:name="_Ref210048790"/>
      <w:r>
        <w:t xml:space="preserve">Proposal </w:t>
      </w:r>
      <w:r>
        <w:fldChar w:fldCharType="begin"/>
      </w:r>
      <w:r>
        <w:instrText xml:space="preserve"> SEQ Proposal \* ARABIC </w:instrText>
      </w:r>
      <w:r>
        <w:fldChar w:fldCharType="separate"/>
      </w:r>
      <w:r w:rsidR="00B1614C">
        <w:rPr>
          <w:noProof/>
        </w:rPr>
        <w:t>3</w:t>
      </w:r>
      <w:r>
        <w:fldChar w:fldCharType="end"/>
      </w:r>
      <w:r>
        <w:t>:</w:t>
      </w:r>
      <w:r w:rsidR="000D29C3">
        <w:t xml:space="preserve"> Support </w:t>
      </w:r>
      <w:r>
        <w:t xml:space="preserve">D2R DBPSK modulation </w:t>
      </w:r>
      <w:r w:rsidR="00014B39">
        <w:t>method</w:t>
      </w:r>
      <w:r>
        <w:t xml:space="preserve"> </w:t>
      </w:r>
      <w:bookmarkEnd w:id="13"/>
    </w:p>
    <w:p w14:paraId="57879C2A" w14:textId="00063302" w:rsidR="009B35A1" w:rsidRDefault="009B35A1" w:rsidP="006D2CEB">
      <w:pPr>
        <w:spacing w:before="120"/>
        <w:rPr>
          <w:rFonts w:eastAsiaTheme="minorEastAsia"/>
          <w:lang w:eastAsia="zh-CN"/>
        </w:rPr>
      </w:pPr>
      <w:r>
        <w:t>From the link budget and coverage evaluations, we can see</w:t>
      </w:r>
      <w:r w:rsidRPr="009B35A1">
        <w:rPr>
          <w:rFonts w:eastAsiaTheme="minorEastAsia"/>
          <w:lang w:eastAsia="zh-CN"/>
        </w:rPr>
        <w:t xml:space="preserve"> </w:t>
      </w:r>
      <w:r>
        <w:rPr>
          <w:rFonts w:eastAsiaTheme="minorEastAsia"/>
          <w:lang w:eastAsia="zh-CN"/>
        </w:rPr>
        <w:t xml:space="preserve">that D2R distance is shorter than R2D at the same circumstances (e.g., BLER assumptions). </w:t>
      </w:r>
      <w:r w:rsidRPr="009B35A1">
        <w:rPr>
          <w:rFonts w:eastAsiaTheme="minorEastAsia"/>
          <w:lang w:eastAsia="zh-CN"/>
        </w:rPr>
        <w:t xml:space="preserve">This observation indicates that, from a holistic system perspective, the overall </w:t>
      </w:r>
      <w:r w:rsidRPr="009B35A1">
        <w:rPr>
          <w:rFonts w:eastAsiaTheme="minorEastAsia"/>
          <w:lang w:eastAsia="zh-CN"/>
        </w:rPr>
        <w:lastRenderedPageBreak/>
        <w:t>coverage limitation—or bottleneck—will manifest in the D2R direction. In other words, the maximum achievable coverage area for the system is constrained by the D2R link, rather than the R2D link.</w:t>
      </w:r>
    </w:p>
    <w:p w14:paraId="73A65FBC" w14:textId="77777777" w:rsidR="009B35A1" w:rsidRPr="009B35A1" w:rsidRDefault="009B35A1" w:rsidP="009B35A1">
      <w:pPr>
        <w:spacing w:before="120"/>
        <w:rPr>
          <w:lang w:val="en-US"/>
        </w:rPr>
      </w:pPr>
      <w:r w:rsidRPr="009B35A1">
        <w:rPr>
          <w:lang w:val="en-US"/>
        </w:rPr>
        <w:t>For the physical layer design in Release 19, the block repetition factor specified for the block repetition procedure is R = {1, 2}. However, our analysis shows that with a maximum repetition number of only 2, it is not possible to achieve continuous coverage in the D2R direction, especially in scenarios where signal attenuation or interference is significant. This limitation could result in coverage gaps and reduced reliability for devices located at the edge of the coverage area.</w:t>
      </w:r>
    </w:p>
    <w:p w14:paraId="50B3B4AB" w14:textId="77777777" w:rsidR="009B35A1" w:rsidRPr="009B35A1" w:rsidRDefault="009B35A1" w:rsidP="009B35A1">
      <w:pPr>
        <w:spacing w:before="120"/>
        <w:rPr>
          <w:lang w:val="en-US"/>
        </w:rPr>
      </w:pPr>
    </w:p>
    <w:p w14:paraId="01A06F96" w14:textId="1926EA40" w:rsidR="009B35A1" w:rsidRPr="009B35A1" w:rsidRDefault="009B35A1" w:rsidP="009B35A1">
      <w:pPr>
        <w:spacing w:before="120"/>
        <w:rPr>
          <w:lang w:val="en-US"/>
        </w:rPr>
      </w:pPr>
      <w:r w:rsidRPr="009B35A1">
        <w:rPr>
          <w:lang w:val="en-US"/>
        </w:rPr>
        <w:t>Therefore, to address this issue and enhance the robustness of the D2R link, we propose supporting a larger repetition factor specifically for the D2R direction. By allowing for higher repetition numbers, the system can improve signal reliability and extend the effective coverage range, thereby mitigating the coverage bottleneck and ensuring more consistent connectivity throughout the service area.</w:t>
      </w:r>
    </w:p>
    <w:p w14:paraId="281499A0" w14:textId="177058C6" w:rsidR="006F52AF" w:rsidRPr="009B35A1" w:rsidRDefault="006D2CEB" w:rsidP="009B35A1">
      <w:pPr>
        <w:pStyle w:val="a3"/>
        <w:spacing w:before="120"/>
      </w:pPr>
      <w:bookmarkStart w:id="14" w:name="_Ref210048791"/>
      <w:r>
        <w:t xml:space="preserve">Proposal </w:t>
      </w:r>
      <w:r>
        <w:fldChar w:fldCharType="begin"/>
      </w:r>
      <w:r>
        <w:instrText xml:space="preserve"> SEQ Proposal \* ARABIC </w:instrText>
      </w:r>
      <w:r>
        <w:fldChar w:fldCharType="separate"/>
      </w:r>
      <w:r w:rsidR="00B1614C">
        <w:rPr>
          <w:noProof/>
        </w:rPr>
        <w:t>4</w:t>
      </w:r>
      <w:r>
        <w:fldChar w:fldCharType="end"/>
      </w:r>
      <w:r>
        <w:t>: Support larger block repetition number for D2R</w:t>
      </w:r>
      <w:r w:rsidR="00496858">
        <w:t xml:space="preserve">, </w:t>
      </w:r>
      <w:r>
        <w:t>e.g., R = {1,2,4,8,16}</w:t>
      </w:r>
      <w:bookmarkEnd w:id="14"/>
    </w:p>
    <w:p w14:paraId="14A40EFF" w14:textId="77777777" w:rsidR="00B074C9" w:rsidRDefault="00B074C9">
      <w:pPr>
        <w:snapToGrid w:val="0"/>
        <w:spacing w:before="120" w:afterAutospacing="1"/>
        <w:jc w:val="both"/>
        <w:rPr>
          <w:b/>
          <w:sz w:val="21"/>
          <w:szCs w:val="21"/>
          <w:lang w:val="en-US" w:eastAsia="zh-CN" w:bidi="ar"/>
        </w:rPr>
      </w:pPr>
    </w:p>
    <w:p w14:paraId="36186A18" w14:textId="2A3AB3DA" w:rsidR="00B10874" w:rsidRDefault="00B074C9">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sz w:val="36"/>
          <w:lang w:val="en-US" w:eastAsia="zh-CN"/>
        </w:rPr>
        <w:t>R2D aspects</w:t>
      </w:r>
    </w:p>
    <w:p w14:paraId="59D47E28" w14:textId="18432128" w:rsidR="00C70655" w:rsidRPr="00C70655" w:rsidRDefault="00C70655" w:rsidP="00C70655">
      <w:pPr>
        <w:pStyle w:val="a3"/>
        <w:spacing w:before="120"/>
        <w:rPr>
          <w:b w:val="0"/>
          <w:bCs w:val="0"/>
        </w:rPr>
      </w:pPr>
      <w:bookmarkStart w:id="15" w:name="_Ref210048769"/>
      <w:r w:rsidRPr="00C70655">
        <w:rPr>
          <w:b w:val="0"/>
          <w:bCs w:val="0"/>
        </w:rPr>
        <w:t xml:space="preserve">From the perspective of coverage enhancement, there has been interest in investigating the potential benefits of adopting a lower M value, specifically M = 1, </w:t>
      </w:r>
      <w:r w:rsidR="00186791" w:rsidRPr="00C70655">
        <w:rPr>
          <w:b w:val="0"/>
          <w:bCs w:val="0"/>
        </w:rPr>
        <w:t>to</w:t>
      </w:r>
      <w:r w:rsidRPr="00C70655">
        <w:rPr>
          <w:b w:val="0"/>
          <w:bCs w:val="0"/>
        </w:rPr>
        <w:t xml:space="preserve"> potentially extend coverage or improve system flexibility. However, simulation results indicate that utilizing M = 1 </w:t>
      </w:r>
      <w:r w:rsidR="00186791" w:rsidRPr="00C70655">
        <w:rPr>
          <w:b w:val="0"/>
          <w:bCs w:val="0"/>
        </w:rPr>
        <w:t>leads</w:t>
      </w:r>
      <w:r w:rsidRPr="00C70655">
        <w:rPr>
          <w:b w:val="0"/>
          <w:bCs w:val="0"/>
        </w:rPr>
        <w:t xml:space="preserve"> to inferior performance compared to M = 2.</w:t>
      </w:r>
    </w:p>
    <w:p w14:paraId="2B24EE8D" w14:textId="55A0FE57" w:rsidR="00C70655" w:rsidRPr="00C70655" w:rsidRDefault="00C70655" w:rsidP="00C70655">
      <w:pPr>
        <w:pStyle w:val="a3"/>
        <w:spacing w:before="120"/>
        <w:rPr>
          <w:b w:val="0"/>
          <w:bCs w:val="0"/>
        </w:rPr>
      </w:pPr>
      <w:r w:rsidRPr="00C70655">
        <w:rPr>
          <w:b w:val="0"/>
          <w:bCs w:val="0"/>
        </w:rPr>
        <w:t>The primary reason for this performance degradation is that an M value of 2 introduces a power boosting effect in the time domain signal amplitude. This effect is particularly beneficial for signal detection, where signal strength is typically weakest. For instance, as illustrated in Figure 2, the non-zero amplitude observed with M = 2 is twice as large as that with M = 1. This increased amplitude directly contributes to improved detection performance</w:t>
      </w:r>
      <w:r w:rsidR="00623025">
        <w:rPr>
          <w:b w:val="0"/>
          <w:bCs w:val="0"/>
        </w:rPr>
        <w:t>.</w:t>
      </w:r>
    </w:p>
    <w:p w14:paraId="66A4FDE6" w14:textId="79E2E307" w:rsidR="00C70655" w:rsidRDefault="00C70655" w:rsidP="00C70655">
      <w:pPr>
        <w:pStyle w:val="a3"/>
        <w:spacing w:before="120"/>
        <w:rPr>
          <w:b w:val="0"/>
          <w:bCs w:val="0"/>
        </w:rPr>
      </w:pPr>
      <w:r w:rsidRPr="00C70655">
        <w:rPr>
          <w:b w:val="0"/>
          <w:bCs w:val="0"/>
        </w:rPr>
        <w:t>Therefore, while the idea of lowering the M value for coverage enhancement was initially considered</w:t>
      </w:r>
      <w:r w:rsidR="00623025">
        <w:rPr>
          <w:b w:val="0"/>
          <w:bCs w:val="0"/>
        </w:rPr>
        <w:t xml:space="preserve"> if using edge detection method</w:t>
      </w:r>
      <w:r w:rsidRPr="00C70655">
        <w:rPr>
          <w:b w:val="0"/>
          <w:bCs w:val="0"/>
        </w:rPr>
        <w:t>, the empirical evidence suggests that maintaining M = 2 is preferable for the R2D direction. Based on these findings, we recommend retaining the minimum M value of 2 for R2D transmissions in future system designs.</w:t>
      </w:r>
    </w:p>
    <w:p w14:paraId="748BBB05" w14:textId="53F84705" w:rsidR="00B13464" w:rsidRDefault="00B13464" w:rsidP="00623025">
      <w:pPr>
        <w:pStyle w:val="a3"/>
        <w:spacing w:before="120"/>
        <w:jc w:val="center"/>
      </w:pPr>
      <w:r>
        <w:rPr>
          <w:noProof/>
        </w:rPr>
        <w:drawing>
          <wp:inline distT="0" distB="0" distL="0" distR="0" wp14:anchorId="132C7B55" wp14:editId="542DE9A7">
            <wp:extent cx="2653700" cy="17843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9486" cy="1794965"/>
                    </a:xfrm>
                    <a:prstGeom prst="rect">
                      <a:avLst/>
                    </a:prstGeom>
                    <a:noFill/>
                  </pic:spPr>
                </pic:pic>
              </a:graphicData>
            </a:graphic>
          </wp:inline>
        </w:drawing>
      </w:r>
    </w:p>
    <w:p w14:paraId="163A2E8C" w14:textId="10D05D0E" w:rsidR="00623025" w:rsidRPr="00623025" w:rsidRDefault="00623025" w:rsidP="00623025">
      <w:pPr>
        <w:spacing w:before="120"/>
        <w:jc w:val="center"/>
      </w:pPr>
      <w:r>
        <w:t>Figure 2. the time domain signal amplitude of M = 1 and M = 2</w:t>
      </w:r>
    </w:p>
    <w:p w14:paraId="3196B540" w14:textId="00D46222" w:rsidR="00B074C9" w:rsidRDefault="006F52AF" w:rsidP="006F52AF">
      <w:pPr>
        <w:pStyle w:val="a3"/>
        <w:spacing w:before="120"/>
        <w:rPr>
          <w:bCs w:val="0"/>
          <w:lang w:val="en-US" w:eastAsia="zh-CN"/>
        </w:rPr>
      </w:pPr>
      <w:bookmarkStart w:id="16" w:name="_Ref210228070"/>
      <w:r>
        <w:t xml:space="preserve">Observation </w:t>
      </w:r>
      <w:r>
        <w:fldChar w:fldCharType="begin"/>
      </w:r>
      <w:r>
        <w:instrText xml:space="preserve"> SEQ Observation \* ARABIC </w:instrText>
      </w:r>
      <w:r>
        <w:fldChar w:fldCharType="separate"/>
      </w:r>
      <w:r w:rsidR="00B1614C">
        <w:rPr>
          <w:noProof/>
        </w:rPr>
        <w:t>3</w:t>
      </w:r>
      <w:r>
        <w:fldChar w:fldCharType="end"/>
      </w:r>
      <w:r>
        <w:t xml:space="preserve">: </w:t>
      </w:r>
      <w:r w:rsidRPr="006F52AF">
        <w:t>The performance of M=2 is better than M=1 due to power boosting effect</w:t>
      </w:r>
      <w:bookmarkEnd w:id="15"/>
      <w:bookmarkEnd w:id="16"/>
    </w:p>
    <w:p w14:paraId="52F9A1B0" w14:textId="77777777" w:rsidR="00B10874" w:rsidRDefault="00B10874">
      <w:pPr>
        <w:spacing w:before="120"/>
        <w:rPr>
          <w:b/>
          <w:sz w:val="21"/>
          <w:szCs w:val="21"/>
          <w:lang w:val="en-US" w:eastAsia="zh-CN"/>
        </w:rPr>
      </w:pPr>
    </w:p>
    <w:p w14:paraId="4DBCBAF9" w14:textId="34E9691A" w:rsidR="00B10874" w:rsidRDefault="00B074C9">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sz w:val="36"/>
          <w:lang w:val="en-US" w:eastAsia="zh-CN"/>
        </w:rPr>
        <w:t>DO-A related aspects</w:t>
      </w:r>
    </w:p>
    <w:p w14:paraId="04D9F3AD" w14:textId="77777777" w:rsidR="00733199" w:rsidRDefault="00733199" w:rsidP="00733199">
      <w:pPr>
        <w:spacing w:before="120"/>
        <w:rPr>
          <w:rFonts w:ascii="Times" w:hAnsi="Times" w:cs="Times"/>
        </w:rPr>
      </w:pPr>
      <w:bookmarkStart w:id="17" w:name="_Ref210048792"/>
      <w:r>
        <w:t xml:space="preserve">In the last R122 meeting, </w:t>
      </w:r>
      <w:r>
        <w:rPr>
          <w:rFonts w:ascii="Times" w:hAnsi="Times" w:cs="Times"/>
        </w:rPr>
        <w:t>the following agreement is supported:</w:t>
      </w:r>
    </w:p>
    <w:tbl>
      <w:tblPr>
        <w:tblStyle w:val="af0"/>
        <w:tblW w:w="0" w:type="auto"/>
        <w:tblLook w:val="04A0" w:firstRow="1" w:lastRow="0" w:firstColumn="1" w:lastColumn="0" w:noHBand="0" w:noVBand="1"/>
      </w:tblPr>
      <w:tblGrid>
        <w:gridCol w:w="9855"/>
      </w:tblGrid>
      <w:tr w:rsidR="00733199" w14:paraId="383B4CC3" w14:textId="77777777" w:rsidTr="00733199">
        <w:tc>
          <w:tcPr>
            <w:tcW w:w="9855" w:type="dxa"/>
          </w:tcPr>
          <w:p w14:paraId="3F7F520D" w14:textId="77777777" w:rsidR="00733199" w:rsidRPr="00733199" w:rsidRDefault="00733199" w:rsidP="00733199">
            <w:pPr>
              <w:spacing w:beforeLines="0" w:before="120" w:line="240" w:lineRule="auto"/>
              <w:ind w:left="540"/>
              <w:rPr>
                <w:rFonts w:ascii="Times" w:eastAsia="Times New Roman" w:hAnsi="Times" w:cs="Times"/>
                <w:lang w:val="en-US" w:eastAsia="zh-CN"/>
              </w:rPr>
            </w:pPr>
            <w:r w:rsidRPr="00733199">
              <w:rPr>
                <w:rFonts w:ascii="Times" w:eastAsia="Times New Roman" w:hAnsi="Times" w:cs="Times"/>
                <w:b/>
                <w:bCs/>
                <w:highlight w:val="green"/>
                <w:lang w:val="en-US" w:eastAsia="zh-CN"/>
              </w:rPr>
              <w:t>Agreement</w:t>
            </w:r>
          </w:p>
          <w:p w14:paraId="127B91B2" w14:textId="414CDCBC" w:rsidR="00733199" w:rsidRPr="00733199" w:rsidRDefault="00733199" w:rsidP="00733199">
            <w:pPr>
              <w:spacing w:beforeLines="0" w:before="0" w:line="240" w:lineRule="auto"/>
              <w:ind w:left="540"/>
              <w:rPr>
                <w:rFonts w:ascii="Times" w:eastAsia="Times New Roman" w:hAnsi="Times" w:cs="Times"/>
                <w:lang w:val="en-US" w:eastAsia="zh-CN"/>
              </w:rPr>
            </w:pPr>
            <w:r w:rsidRPr="00733199">
              <w:rPr>
                <w:rFonts w:ascii="Times" w:eastAsia="Times New Roman" w:hAnsi="Times" w:cs="Times"/>
                <w:lang w:val="en-US" w:eastAsia="zh-CN"/>
              </w:rPr>
              <w:t>Study the following aspects to support</w:t>
            </w:r>
            <w:r w:rsidR="00186791">
              <w:rPr>
                <w:rFonts w:ascii="Times" w:eastAsia="Times New Roman" w:hAnsi="Times" w:cs="Times"/>
                <w:lang w:val="en-US" w:eastAsia="zh-CN"/>
              </w:rPr>
              <w:t xml:space="preserve"> DO-A t</w:t>
            </w:r>
            <w:r w:rsidRPr="00733199">
              <w:rPr>
                <w:rFonts w:ascii="Times" w:eastAsia="Times New Roman" w:hAnsi="Times" w:cs="Times"/>
                <w:lang w:val="en-US" w:eastAsia="zh-CN"/>
              </w:rPr>
              <w:t xml:space="preserve">raffic </w:t>
            </w:r>
            <w:r w:rsidRPr="00733199">
              <w:rPr>
                <w:rFonts w:ascii="Times" w:eastAsia="Times New Roman" w:hAnsi="Times" w:cs="Times"/>
                <w:lang w:eastAsia="zh-CN"/>
              </w:rPr>
              <w:t>(periodic and event-triggered)</w:t>
            </w:r>
            <w:r w:rsidRPr="00733199">
              <w:rPr>
                <w:rFonts w:ascii="Times" w:eastAsia="Times New Roman" w:hAnsi="Times" w:cs="Times"/>
                <w:lang w:val="en-US" w:eastAsia="zh-CN"/>
              </w:rPr>
              <w:t xml:space="preserve"> for Device 2b and for Device C in Rel-20.</w:t>
            </w:r>
          </w:p>
          <w:p w14:paraId="29910C64" w14:textId="77777777" w:rsidR="00733199" w:rsidRPr="00733199" w:rsidRDefault="00733199" w:rsidP="00733199">
            <w:pPr>
              <w:numPr>
                <w:ilvl w:val="0"/>
                <w:numId w:val="20"/>
              </w:numPr>
              <w:spacing w:beforeLines="0" w:before="0" w:line="240" w:lineRule="auto"/>
              <w:textAlignment w:val="center"/>
              <w:rPr>
                <w:rFonts w:ascii="Calibri" w:eastAsia="Times New Roman" w:hAnsi="Calibri" w:cs="Calibri"/>
                <w:sz w:val="22"/>
                <w:szCs w:val="22"/>
                <w:lang w:eastAsia="zh-CN"/>
              </w:rPr>
            </w:pPr>
            <w:r w:rsidRPr="00733199">
              <w:rPr>
                <w:rFonts w:ascii="Times" w:eastAsia="Times New Roman" w:hAnsi="Times" w:cs="Times"/>
                <w:lang w:eastAsia="zh-CN"/>
              </w:rPr>
              <w:t>Timing and frequency synchronization for DO-A transmission</w:t>
            </w:r>
          </w:p>
          <w:p w14:paraId="3C95310B" w14:textId="77777777" w:rsidR="00733199" w:rsidRPr="00733199" w:rsidRDefault="00733199" w:rsidP="00733199">
            <w:pPr>
              <w:numPr>
                <w:ilvl w:val="0"/>
                <w:numId w:val="20"/>
              </w:numPr>
              <w:spacing w:beforeLines="0" w:before="0" w:line="240" w:lineRule="auto"/>
              <w:textAlignment w:val="center"/>
              <w:rPr>
                <w:rFonts w:ascii="Calibri" w:eastAsia="Times New Roman" w:hAnsi="Calibri" w:cs="Calibri"/>
                <w:sz w:val="22"/>
                <w:szCs w:val="22"/>
                <w:lang w:eastAsia="zh-CN"/>
              </w:rPr>
            </w:pPr>
            <w:r w:rsidRPr="00733199">
              <w:rPr>
                <w:rFonts w:ascii="Times" w:eastAsia="Times New Roman" w:hAnsi="Times" w:cs="Times"/>
                <w:lang w:eastAsia="zh-CN"/>
              </w:rPr>
              <w:lastRenderedPageBreak/>
              <w:t>Resource allocation/determination method for DO-A transmission</w:t>
            </w:r>
          </w:p>
          <w:p w14:paraId="216B9B8E" w14:textId="45C07F6D" w:rsidR="00733199" w:rsidRPr="00733199" w:rsidRDefault="00733199" w:rsidP="00733199">
            <w:pPr>
              <w:numPr>
                <w:ilvl w:val="0"/>
                <w:numId w:val="20"/>
              </w:numPr>
              <w:spacing w:beforeLines="0" w:before="120" w:line="240" w:lineRule="auto"/>
              <w:textAlignment w:val="center"/>
              <w:rPr>
                <w:rFonts w:ascii="Calibri" w:eastAsia="Times New Roman" w:hAnsi="Calibri" w:cs="Calibri"/>
                <w:sz w:val="22"/>
                <w:szCs w:val="22"/>
                <w:lang w:eastAsia="zh-CN"/>
              </w:rPr>
            </w:pPr>
            <w:r w:rsidRPr="00733199">
              <w:rPr>
                <w:rFonts w:ascii="Times" w:eastAsia="Times New Roman" w:hAnsi="Times" w:cs="Times"/>
                <w:lang w:eastAsia="zh-CN"/>
              </w:rPr>
              <w:t>Configuration/signaling of necessary information</w:t>
            </w:r>
          </w:p>
        </w:tc>
      </w:tr>
    </w:tbl>
    <w:p w14:paraId="34F63605" w14:textId="5CE710E6" w:rsidR="00B21066" w:rsidRPr="00B21066" w:rsidRDefault="00B21066" w:rsidP="00B21066">
      <w:pPr>
        <w:spacing w:before="120"/>
        <w:rPr>
          <w:rFonts w:ascii="Times" w:hAnsi="Times" w:cs="Times"/>
          <w:lang w:val="en-US"/>
        </w:rPr>
      </w:pPr>
      <w:r w:rsidRPr="00B21066">
        <w:rPr>
          <w:rFonts w:ascii="Times" w:hAnsi="Times" w:cs="Times"/>
          <w:lang w:val="en-US"/>
        </w:rPr>
        <w:lastRenderedPageBreak/>
        <w:t>From our perspective, it is essential to further discuss and clarify the specific characteristics of DO-A traffic. In particular, the transmission interval and message payload size for DO-A traffic are critical factors that are closely tied to the design of the DO-A procedure, and by extension, to the detailed physical layer design. For instance, the physical layer requirements and design considerations may differ significantly between periodic DO-A transmissions and event-triggered DO-A transmissions. Furthermore, if both periodic and event-triggered DO-A traffic types are to be supported simultaneously, additional complexity may arise in the physical layer design to accommodate the differing requirements of each traffic type.</w:t>
      </w:r>
    </w:p>
    <w:p w14:paraId="3FAC696B" w14:textId="1D85F44C" w:rsidR="00B21066" w:rsidRPr="00013A5A" w:rsidRDefault="00B21066" w:rsidP="00733199">
      <w:pPr>
        <w:spacing w:before="120"/>
        <w:rPr>
          <w:rFonts w:ascii="Times" w:hAnsi="Times" w:cs="Times"/>
          <w:lang w:val="en-US"/>
        </w:rPr>
      </w:pPr>
      <w:r w:rsidRPr="00B21066">
        <w:rPr>
          <w:rFonts w:ascii="Times" w:hAnsi="Times" w:cs="Times"/>
          <w:lang w:val="en-US"/>
        </w:rPr>
        <w:t>Therefore, we recommend a comprehensive analysis of the DO-A traffic characteristics, including typical transmission intervals and payload sizes</w:t>
      </w:r>
      <w:r w:rsidR="00013A5A">
        <w:rPr>
          <w:rFonts w:ascii="Times" w:hAnsi="Times" w:cs="Times"/>
          <w:lang w:val="en-US"/>
        </w:rPr>
        <w:t xml:space="preserve"> and etc.</w:t>
      </w:r>
      <w:r w:rsidRPr="00B21066">
        <w:rPr>
          <w:rFonts w:ascii="Times" w:hAnsi="Times" w:cs="Times"/>
          <w:lang w:val="en-US"/>
        </w:rPr>
        <w:t>, to inform the development of efficient and robust physical layer solutions. This will ensure that the system can effectively support the diverse requirements of DO-A traffic in future releases.</w:t>
      </w:r>
    </w:p>
    <w:p w14:paraId="24BCCCD1" w14:textId="26CCFA87" w:rsidR="00733199" w:rsidRPr="00FA1560" w:rsidRDefault="00733199" w:rsidP="00FA1560">
      <w:pPr>
        <w:pStyle w:val="a3"/>
        <w:spacing w:before="120"/>
      </w:pPr>
      <w:bookmarkStart w:id="18" w:name="_Ref210228071"/>
      <w:r>
        <w:t xml:space="preserve">Observation </w:t>
      </w:r>
      <w:r>
        <w:fldChar w:fldCharType="begin"/>
      </w:r>
      <w:r>
        <w:instrText xml:space="preserve"> SEQ Observation \* ARABIC </w:instrText>
      </w:r>
      <w:r>
        <w:fldChar w:fldCharType="separate"/>
      </w:r>
      <w:r w:rsidR="00B1614C">
        <w:rPr>
          <w:noProof/>
        </w:rPr>
        <w:t>4</w:t>
      </w:r>
      <w:r>
        <w:fldChar w:fldCharType="end"/>
      </w:r>
      <w:r>
        <w:t>: The DO-A procedure design is highly related with the DO-A traffic characteristics.</w:t>
      </w:r>
      <w:bookmarkEnd w:id="18"/>
      <w:r>
        <w:t xml:space="preserve"> </w:t>
      </w:r>
    </w:p>
    <w:p w14:paraId="5B130EA6" w14:textId="7CE0BF69" w:rsidR="001C4E8D" w:rsidRPr="00677BB7" w:rsidRDefault="00733199" w:rsidP="00677BB7">
      <w:pPr>
        <w:pStyle w:val="a3"/>
        <w:spacing w:before="120"/>
      </w:pPr>
      <w:bookmarkStart w:id="19" w:name="_Ref210228103"/>
      <w:r>
        <w:t xml:space="preserve">Proposal </w:t>
      </w:r>
      <w:r>
        <w:fldChar w:fldCharType="begin"/>
      </w:r>
      <w:r>
        <w:instrText xml:space="preserve"> SEQ Proposal \* ARABIC </w:instrText>
      </w:r>
      <w:r>
        <w:fldChar w:fldCharType="separate"/>
      </w:r>
      <w:r w:rsidR="00B1614C">
        <w:rPr>
          <w:noProof/>
        </w:rPr>
        <w:t>5</w:t>
      </w:r>
      <w:r>
        <w:fldChar w:fldCharType="end"/>
      </w:r>
      <w:r>
        <w:t xml:space="preserve">: </w:t>
      </w:r>
      <w:bookmarkEnd w:id="17"/>
      <w:r w:rsidR="004E3CDE">
        <w:t>Support f</w:t>
      </w:r>
      <w:r w:rsidR="004E3CDE" w:rsidRPr="004E3CDE">
        <w:t xml:space="preserve">urther study </w:t>
      </w:r>
      <w:r w:rsidR="006D260B">
        <w:t xml:space="preserve">of </w:t>
      </w:r>
      <w:r w:rsidR="004E3CDE" w:rsidRPr="004E3CDE">
        <w:t xml:space="preserve">DO-A traffic </w:t>
      </w:r>
      <w:r w:rsidR="00FA1560">
        <w:t>characteristics</w:t>
      </w:r>
      <w:r w:rsidR="004E3CDE" w:rsidRPr="004E3CDE">
        <w:t xml:space="preserve">, e.g., DO-A interval, </w:t>
      </w:r>
      <w:r w:rsidR="00B13464">
        <w:t xml:space="preserve">typical </w:t>
      </w:r>
      <w:r w:rsidR="004E3CDE" w:rsidRPr="004E3CDE">
        <w:t>message size, etc.</w:t>
      </w:r>
      <w:bookmarkEnd w:id="19"/>
    </w:p>
    <w:p w14:paraId="261FE15F" w14:textId="44F0214F" w:rsidR="00677BB7" w:rsidRDefault="00677BB7" w:rsidP="00677BB7">
      <w:pPr>
        <w:pStyle w:val="a3"/>
        <w:spacing w:before="120"/>
        <w:rPr>
          <w:b w:val="0"/>
          <w:bCs w:val="0"/>
        </w:rPr>
      </w:pPr>
      <w:r>
        <w:rPr>
          <w:b w:val="0"/>
          <w:bCs w:val="0"/>
        </w:rPr>
        <w:t xml:space="preserve">DO-A traffic is not supported </w:t>
      </w:r>
      <w:r w:rsidR="00437830">
        <w:rPr>
          <w:b w:val="0"/>
          <w:bCs w:val="0"/>
        </w:rPr>
        <w:t>with</w:t>
      </w:r>
      <w:r>
        <w:rPr>
          <w:b w:val="0"/>
          <w:bCs w:val="0"/>
        </w:rPr>
        <w:t xml:space="preserve"> Release 19</w:t>
      </w:r>
      <w:r w:rsidR="00437830">
        <w:rPr>
          <w:b w:val="0"/>
          <w:bCs w:val="0"/>
        </w:rPr>
        <w:t xml:space="preserve"> physical layer design</w:t>
      </w:r>
      <w:r>
        <w:rPr>
          <w:b w:val="0"/>
          <w:bCs w:val="0"/>
        </w:rPr>
        <w:t>. For other traffic types, such as Device-originated by device-terminated trigger (DO-DTT) and device-terminated (DT) traffic, the resources required for D2R transmission are indicated within an R2D</w:t>
      </w:r>
      <w:r w:rsidR="00D509FD">
        <w:rPr>
          <w:b w:val="0"/>
          <w:bCs w:val="0"/>
        </w:rPr>
        <w:t xml:space="preserve"> </w:t>
      </w:r>
      <w:r>
        <w:rPr>
          <w:b w:val="0"/>
          <w:bCs w:val="0"/>
        </w:rPr>
        <w:t>transmission. However, this resource indication mechanism is not applicable, at least for the initial D2R transmission in the case of DO-A traffic since there is no prior R2D transmission to convey the necessary resource information.</w:t>
      </w:r>
    </w:p>
    <w:p w14:paraId="23801FF3" w14:textId="16F23346" w:rsidR="00D509FD" w:rsidRPr="00D509FD" w:rsidRDefault="00D509FD" w:rsidP="00D509FD">
      <w:pPr>
        <w:spacing w:before="120"/>
        <w:rPr>
          <w:lang w:val="en-US"/>
        </w:rPr>
      </w:pPr>
      <w:r w:rsidRPr="00D509FD">
        <w:rPr>
          <w:lang w:val="en-US"/>
        </w:rPr>
        <w:t>Prior to the initial D2R</w:t>
      </w:r>
      <w:r w:rsidR="00437830">
        <w:rPr>
          <w:lang w:val="en-US"/>
        </w:rPr>
        <w:t xml:space="preserve"> t</w:t>
      </w:r>
      <w:r w:rsidRPr="00D509FD">
        <w:rPr>
          <w:lang w:val="en-US"/>
        </w:rPr>
        <w:t xml:space="preserve">ransmission of DO-A traffic, there is no established synchronization between the device and the reader. This absence of synchronization means that critical parameters, such as CFO and SFO, can be extremely large. Specifically, CFO may reach values as high as 10^4 parts per million (ppm), and SFO may be as high as 10^3 ppm before any calibration procedures </w:t>
      </w:r>
      <w:r w:rsidR="00437830" w:rsidRPr="00D509FD">
        <w:rPr>
          <w:lang w:val="en-US"/>
        </w:rPr>
        <w:t>is</w:t>
      </w:r>
      <w:r w:rsidRPr="00D509FD">
        <w:rPr>
          <w:lang w:val="en-US"/>
        </w:rPr>
        <w:t xml:space="preserve"> performed. To mitigate these issues, it is essential for the device to first receive a R2D signal before attempting its initial D2R DO-A transmission. The R2D signal acts as a reference, allowing the device to perform necessary synchronization operations, including the calibration of both CFO and SFO. By aligning its timing and frequency parameters with those of the reader, the device can substantially reduce these offsets, thereby establishing a stable and reliable communication link for subsequent D2R transmissions.</w:t>
      </w:r>
    </w:p>
    <w:p w14:paraId="28C142A6" w14:textId="6AF36D4E" w:rsidR="00D509FD" w:rsidRDefault="00D509FD" w:rsidP="001C4E8D">
      <w:pPr>
        <w:spacing w:before="120"/>
        <w:rPr>
          <w:lang w:val="en-US"/>
        </w:rPr>
      </w:pPr>
      <w:r w:rsidRPr="00D509FD">
        <w:rPr>
          <w:lang w:val="en-US"/>
        </w:rPr>
        <w:t xml:space="preserve">Given the critical role of robust synchronization in enabling successful DO-A traffic transmission, it is recommended that further studies be conducted to determine the optimal design of the R2D synchronization signal. </w:t>
      </w:r>
    </w:p>
    <w:p w14:paraId="67812650" w14:textId="4F14760A" w:rsidR="00677BB7" w:rsidRDefault="00677BB7" w:rsidP="00677BB7">
      <w:pPr>
        <w:pStyle w:val="a3"/>
        <w:spacing w:before="120"/>
      </w:pPr>
      <w:bookmarkStart w:id="20" w:name="_Ref210301501"/>
      <w:r>
        <w:t xml:space="preserve">Observation </w:t>
      </w:r>
      <w:r>
        <w:fldChar w:fldCharType="begin"/>
      </w:r>
      <w:r>
        <w:instrText xml:space="preserve"> SEQ Observation \* ARABIC </w:instrText>
      </w:r>
      <w:r>
        <w:fldChar w:fldCharType="separate"/>
      </w:r>
      <w:r w:rsidR="00B1614C">
        <w:rPr>
          <w:noProof/>
        </w:rPr>
        <w:t>5</w:t>
      </w:r>
      <w:r>
        <w:fldChar w:fldCharType="end"/>
      </w:r>
      <w:r>
        <w:t xml:space="preserve">: </w:t>
      </w:r>
      <w:r w:rsidRPr="00677BB7">
        <w:t xml:space="preserve">A R2D synchronization signal is needed </w:t>
      </w:r>
      <w:r>
        <w:t>before the</w:t>
      </w:r>
      <w:r w:rsidRPr="00677BB7">
        <w:t xml:space="preserve"> DO-A transmission</w:t>
      </w:r>
      <w:r>
        <w:t>.</w:t>
      </w:r>
      <w:bookmarkEnd w:id="20"/>
    </w:p>
    <w:p w14:paraId="2140F2E1" w14:textId="23030BC4" w:rsidR="00677BB7" w:rsidRPr="00677BB7" w:rsidRDefault="00677BB7" w:rsidP="00677BB7">
      <w:pPr>
        <w:pStyle w:val="a3"/>
        <w:spacing w:before="120"/>
        <w:rPr>
          <w:lang w:val="en-US"/>
        </w:rPr>
      </w:pPr>
      <w:bookmarkStart w:id="21" w:name="_Ref210301511"/>
      <w:r>
        <w:t xml:space="preserve">Proposal </w:t>
      </w:r>
      <w:r>
        <w:fldChar w:fldCharType="begin"/>
      </w:r>
      <w:r>
        <w:instrText xml:space="preserve"> SEQ Proposal \* ARABIC </w:instrText>
      </w:r>
      <w:r>
        <w:fldChar w:fldCharType="separate"/>
      </w:r>
      <w:r w:rsidR="00B1614C">
        <w:rPr>
          <w:noProof/>
        </w:rPr>
        <w:t>6</w:t>
      </w:r>
      <w:r>
        <w:fldChar w:fldCharType="end"/>
      </w:r>
      <w:r>
        <w:t>: Support of a signal for DO-A R2D synchronization.</w:t>
      </w:r>
      <w:bookmarkEnd w:id="21"/>
      <w:r>
        <w:t xml:space="preserve"> </w:t>
      </w:r>
    </w:p>
    <w:p w14:paraId="6621A053" w14:textId="77777777" w:rsidR="00B074C9" w:rsidRDefault="00B074C9">
      <w:pPr>
        <w:spacing w:before="120"/>
        <w:rPr>
          <w:b/>
          <w:sz w:val="21"/>
          <w:szCs w:val="21"/>
          <w:lang w:val="en-US" w:eastAsia="zh-CN"/>
        </w:rPr>
      </w:pPr>
    </w:p>
    <w:p w14:paraId="20E061D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5B15C35A" w14:textId="04FC3007" w:rsidR="00B10874" w:rsidRDefault="00571C1C">
      <w:pPr>
        <w:spacing w:before="120"/>
        <w:rPr>
          <w:kern w:val="2"/>
          <w:sz w:val="21"/>
          <w:szCs w:val="22"/>
          <w:lang w:val="en-US" w:eastAsia="zh-CN"/>
        </w:rPr>
      </w:pPr>
      <w:r w:rsidRPr="00571C1C">
        <w:rPr>
          <w:kern w:val="2"/>
          <w:sz w:val="21"/>
          <w:szCs w:val="22"/>
          <w:lang w:val="en-US" w:eastAsia="zh-CN"/>
        </w:rPr>
        <w:t>In this contribution, the following observation and proposals are made</w:t>
      </w:r>
      <w:r>
        <w:rPr>
          <w:rFonts w:hint="eastAsia"/>
          <w:kern w:val="2"/>
          <w:sz w:val="21"/>
          <w:szCs w:val="22"/>
          <w:lang w:val="en-US" w:eastAsia="zh-CN"/>
        </w:rPr>
        <w:t>:</w:t>
      </w:r>
    </w:p>
    <w:p w14:paraId="15D769DD" w14:textId="0F0F86C8" w:rsidR="005862AC" w:rsidRPr="005862AC" w:rsidRDefault="005862AC">
      <w:pPr>
        <w:spacing w:before="120"/>
        <w:rPr>
          <w:b/>
          <w:sz w:val="21"/>
          <w:szCs w:val="21"/>
          <w:lang w:val="en-US" w:eastAsia="zh-CN"/>
        </w:rPr>
      </w:pPr>
      <w:r w:rsidRPr="005862AC">
        <w:rPr>
          <w:b/>
          <w:sz w:val="21"/>
          <w:szCs w:val="21"/>
          <w:lang w:val="en-US" w:eastAsia="zh-CN"/>
        </w:rPr>
        <w:fldChar w:fldCharType="begin"/>
      </w:r>
      <w:r w:rsidRPr="005862AC">
        <w:rPr>
          <w:b/>
          <w:sz w:val="21"/>
          <w:szCs w:val="21"/>
          <w:lang w:val="en-US" w:eastAsia="zh-CN"/>
        </w:rPr>
        <w:instrText xml:space="preserve"> REF _Ref210228067 \h  \* MERGEFORMAT </w:instrText>
      </w:r>
      <w:r w:rsidRPr="005862AC">
        <w:rPr>
          <w:b/>
          <w:sz w:val="21"/>
          <w:szCs w:val="21"/>
          <w:lang w:val="en-US" w:eastAsia="zh-CN"/>
        </w:rPr>
      </w:r>
      <w:r w:rsidRPr="005862AC">
        <w:rPr>
          <w:b/>
          <w:sz w:val="21"/>
          <w:szCs w:val="21"/>
          <w:lang w:val="en-US" w:eastAsia="zh-CN"/>
        </w:rPr>
        <w:fldChar w:fldCharType="separate"/>
      </w:r>
      <w:r w:rsidR="00B1614C" w:rsidRPr="00B1614C">
        <w:rPr>
          <w:b/>
        </w:rPr>
        <w:t xml:space="preserve">Observation </w:t>
      </w:r>
      <w:r w:rsidR="00B1614C" w:rsidRPr="00B1614C">
        <w:rPr>
          <w:b/>
          <w:noProof/>
        </w:rPr>
        <w:t>1</w:t>
      </w:r>
      <w:r w:rsidR="00B1614C" w:rsidRPr="00B1614C">
        <w:rPr>
          <w:b/>
        </w:rPr>
        <w:t>: The necessary and feasible changes to the Rel-19 air interface to support outdoor scenarios are highly related with the coverage target</w:t>
      </w:r>
      <w:r w:rsidRPr="005862AC">
        <w:rPr>
          <w:b/>
          <w:sz w:val="21"/>
          <w:szCs w:val="21"/>
          <w:lang w:val="en-US" w:eastAsia="zh-CN"/>
        </w:rPr>
        <w:fldChar w:fldCharType="end"/>
      </w:r>
    </w:p>
    <w:p w14:paraId="5ACC761B" w14:textId="3F1EC408" w:rsidR="005862AC" w:rsidRPr="005862AC" w:rsidRDefault="005862AC">
      <w:pPr>
        <w:spacing w:before="120"/>
        <w:rPr>
          <w:b/>
          <w:sz w:val="21"/>
          <w:szCs w:val="21"/>
          <w:lang w:val="en-US" w:eastAsia="zh-CN"/>
        </w:rPr>
      </w:pPr>
      <w:r w:rsidRPr="005862AC">
        <w:rPr>
          <w:b/>
          <w:sz w:val="21"/>
          <w:szCs w:val="21"/>
          <w:lang w:val="en-US" w:eastAsia="zh-CN"/>
        </w:rPr>
        <w:fldChar w:fldCharType="begin"/>
      </w:r>
      <w:r w:rsidRPr="005862AC">
        <w:rPr>
          <w:b/>
          <w:sz w:val="21"/>
          <w:szCs w:val="21"/>
          <w:lang w:val="en-US" w:eastAsia="zh-CN"/>
        </w:rPr>
        <w:instrText xml:space="preserve"> REF _Ref210228068 \h  \* MERGEFORMAT </w:instrText>
      </w:r>
      <w:r w:rsidRPr="005862AC">
        <w:rPr>
          <w:b/>
          <w:sz w:val="21"/>
          <w:szCs w:val="21"/>
          <w:lang w:val="en-US" w:eastAsia="zh-CN"/>
        </w:rPr>
      </w:r>
      <w:r w:rsidRPr="005862AC">
        <w:rPr>
          <w:b/>
          <w:sz w:val="21"/>
          <w:szCs w:val="21"/>
          <w:lang w:val="en-US" w:eastAsia="zh-CN"/>
        </w:rPr>
        <w:fldChar w:fldCharType="separate"/>
      </w:r>
      <w:r w:rsidR="00B1614C" w:rsidRPr="00B1614C">
        <w:rPr>
          <w:b/>
        </w:rPr>
        <w:t xml:space="preserve">Observation </w:t>
      </w:r>
      <w:r w:rsidR="00B1614C" w:rsidRPr="00B1614C">
        <w:rPr>
          <w:b/>
          <w:noProof/>
        </w:rPr>
        <w:t>2</w:t>
      </w:r>
      <w:r w:rsidR="00B1614C" w:rsidRPr="00B1614C">
        <w:rPr>
          <w:b/>
        </w:rPr>
        <w:t>: D2R DBPSK modulation method has better performance than BPSK for large SFO and large payload size.</w:t>
      </w:r>
      <w:r w:rsidRPr="005862AC">
        <w:rPr>
          <w:b/>
          <w:sz w:val="21"/>
          <w:szCs w:val="21"/>
          <w:lang w:val="en-US" w:eastAsia="zh-CN"/>
        </w:rPr>
        <w:fldChar w:fldCharType="end"/>
      </w:r>
    </w:p>
    <w:p w14:paraId="6057C068" w14:textId="10617542" w:rsidR="005862AC"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_Ref210228070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Observation </w:t>
      </w:r>
      <w:r w:rsidR="00B1614C" w:rsidRPr="00B1614C">
        <w:rPr>
          <w:b/>
          <w:noProof/>
        </w:rPr>
        <w:t>3</w:t>
      </w:r>
      <w:r w:rsidR="00B1614C" w:rsidRPr="00B1614C">
        <w:rPr>
          <w:b/>
        </w:rPr>
        <w:t>: The performance of M=2 is better than M=1 due to power boosting effect</w:t>
      </w:r>
      <w:r w:rsidRPr="00D509FD">
        <w:rPr>
          <w:b/>
          <w:sz w:val="21"/>
          <w:szCs w:val="21"/>
          <w:lang w:val="en-US" w:eastAsia="zh-CN"/>
        </w:rPr>
        <w:fldChar w:fldCharType="end"/>
      </w:r>
    </w:p>
    <w:p w14:paraId="3025944C" w14:textId="134856C1" w:rsidR="00572A71"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_Ref210228071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Observation </w:t>
      </w:r>
      <w:r w:rsidR="00B1614C" w:rsidRPr="00B1614C">
        <w:rPr>
          <w:b/>
          <w:noProof/>
        </w:rPr>
        <w:t>4</w:t>
      </w:r>
      <w:r w:rsidR="00B1614C" w:rsidRPr="00B1614C">
        <w:rPr>
          <w:b/>
        </w:rPr>
        <w:t>: The DO-A procedure design is highly related with the DO-A traffic characteristics.</w:t>
      </w:r>
      <w:r w:rsidRPr="00D509FD">
        <w:rPr>
          <w:b/>
          <w:sz w:val="21"/>
          <w:szCs w:val="21"/>
          <w:lang w:val="en-US" w:eastAsia="zh-CN"/>
        </w:rPr>
        <w:fldChar w:fldCharType="end"/>
      </w:r>
    </w:p>
    <w:p w14:paraId="1C83368B" w14:textId="2F15488D" w:rsidR="00D509FD" w:rsidRPr="00D509FD" w:rsidRDefault="00D509FD">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_Ref210301501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Observation </w:t>
      </w:r>
      <w:r w:rsidR="00B1614C" w:rsidRPr="00B1614C">
        <w:rPr>
          <w:b/>
          <w:noProof/>
        </w:rPr>
        <w:t>5</w:t>
      </w:r>
      <w:r w:rsidR="00B1614C" w:rsidRPr="00B1614C">
        <w:rPr>
          <w:b/>
        </w:rPr>
        <w:t>: A R2D synchronization signal is needed before the DO-A transmission.</w:t>
      </w:r>
      <w:r w:rsidRPr="00D509FD">
        <w:rPr>
          <w:b/>
          <w:sz w:val="21"/>
          <w:szCs w:val="21"/>
          <w:lang w:val="en-US" w:eastAsia="zh-CN"/>
        </w:rPr>
        <w:fldChar w:fldCharType="end"/>
      </w:r>
    </w:p>
    <w:p w14:paraId="38174F9B" w14:textId="77777777" w:rsidR="005862AC" w:rsidRPr="00D509FD" w:rsidRDefault="005862AC">
      <w:pPr>
        <w:spacing w:before="120"/>
        <w:rPr>
          <w:b/>
          <w:sz w:val="21"/>
          <w:szCs w:val="21"/>
          <w:lang w:val="en-US" w:eastAsia="zh-CN"/>
        </w:rPr>
      </w:pPr>
    </w:p>
    <w:p w14:paraId="2F0074B7" w14:textId="68C93724" w:rsidR="005862AC" w:rsidRPr="00D509FD" w:rsidRDefault="005862AC">
      <w:pPr>
        <w:spacing w:before="120"/>
        <w:rPr>
          <w:b/>
          <w:sz w:val="21"/>
          <w:szCs w:val="21"/>
          <w:lang w:val="en-US" w:eastAsia="zh-CN"/>
        </w:rPr>
      </w:pPr>
      <w:r w:rsidRPr="00D509FD">
        <w:rPr>
          <w:b/>
          <w:sz w:val="21"/>
          <w:szCs w:val="21"/>
          <w:lang w:val="en-US" w:eastAsia="zh-CN"/>
        </w:rPr>
        <w:lastRenderedPageBreak/>
        <w:fldChar w:fldCharType="begin"/>
      </w:r>
      <w:r w:rsidRPr="00D509FD">
        <w:rPr>
          <w:b/>
          <w:sz w:val="21"/>
          <w:szCs w:val="21"/>
          <w:lang w:val="en-US" w:eastAsia="zh-CN"/>
        </w:rPr>
        <w:instrText xml:space="preserve"> REF _Ref210048787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1</w:t>
      </w:r>
      <w:r w:rsidR="00B1614C" w:rsidRPr="00B1614C">
        <w:rPr>
          <w:b/>
        </w:rPr>
        <w:t>: The coverage target need to be considered to study necessary and feasible changes to air interface to support outdoor scenarios</w:t>
      </w:r>
      <w:r w:rsidRPr="00D509FD">
        <w:rPr>
          <w:b/>
          <w:sz w:val="21"/>
          <w:szCs w:val="21"/>
          <w:lang w:val="en-US" w:eastAsia="zh-CN"/>
        </w:rPr>
        <w:fldChar w:fldCharType="end"/>
      </w:r>
    </w:p>
    <w:p w14:paraId="3996DA8F" w14:textId="41627E2C" w:rsidR="005862AC"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_Ref210048789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2</w:t>
      </w:r>
      <w:r w:rsidR="00B1614C" w:rsidRPr="00B1614C">
        <w:rPr>
          <w:b/>
        </w:rPr>
        <w:t>: Support the enhancement of D2R required SNR of 9 dB at BLER 10%</w:t>
      </w:r>
      <w:r w:rsidRPr="00D509FD">
        <w:rPr>
          <w:b/>
          <w:sz w:val="21"/>
          <w:szCs w:val="21"/>
          <w:lang w:val="en-US" w:eastAsia="zh-CN"/>
        </w:rPr>
        <w:fldChar w:fldCharType="end"/>
      </w:r>
    </w:p>
    <w:p w14:paraId="4A74E194" w14:textId="1BD87D0A" w:rsidR="005862AC"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_Ref210048790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3</w:t>
      </w:r>
      <w:r w:rsidR="00B1614C" w:rsidRPr="00B1614C">
        <w:rPr>
          <w:b/>
        </w:rPr>
        <w:t xml:space="preserve">: Support D2R DBPSK modulation method </w:t>
      </w:r>
      <w:r w:rsidRPr="00D509FD">
        <w:rPr>
          <w:b/>
          <w:sz w:val="21"/>
          <w:szCs w:val="21"/>
          <w:lang w:val="en-US" w:eastAsia="zh-CN"/>
        </w:rPr>
        <w:fldChar w:fldCharType="end"/>
      </w:r>
    </w:p>
    <w:p w14:paraId="4A72ACD7" w14:textId="1B5C7E41" w:rsidR="005862AC"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_Ref210048791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4</w:t>
      </w:r>
      <w:r w:rsidR="00B1614C" w:rsidRPr="00B1614C">
        <w:rPr>
          <w:b/>
        </w:rPr>
        <w:t>: Support larger block repetition number for D2R, e.g., R = {1,2,4,8,16}</w:t>
      </w:r>
      <w:r w:rsidRPr="00D509FD">
        <w:rPr>
          <w:b/>
          <w:sz w:val="21"/>
          <w:szCs w:val="21"/>
          <w:lang w:val="en-US" w:eastAsia="zh-CN"/>
        </w:rPr>
        <w:fldChar w:fldCharType="end"/>
      </w:r>
    </w:p>
    <w:p w14:paraId="3A3E055B" w14:textId="5B893BC4" w:rsidR="005862AC" w:rsidRPr="00D509FD" w:rsidRDefault="005862AC">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_Ref210228103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5</w:t>
      </w:r>
      <w:r w:rsidR="00B1614C" w:rsidRPr="00B1614C">
        <w:rPr>
          <w:b/>
        </w:rPr>
        <w:t>: Support further study of DO-A traffic characteristics, e.g., DO-A interval, typical message size, etc.</w:t>
      </w:r>
      <w:r w:rsidRPr="00D509FD">
        <w:rPr>
          <w:b/>
          <w:sz w:val="21"/>
          <w:szCs w:val="21"/>
          <w:lang w:val="en-US" w:eastAsia="zh-CN"/>
        </w:rPr>
        <w:fldChar w:fldCharType="end"/>
      </w:r>
    </w:p>
    <w:p w14:paraId="61301CF9" w14:textId="768F931A" w:rsidR="00D509FD" w:rsidRPr="00D509FD" w:rsidRDefault="00D509FD">
      <w:pPr>
        <w:spacing w:before="120"/>
        <w:rPr>
          <w:b/>
          <w:sz w:val="21"/>
          <w:szCs w:val="21"/>
          <w:lang w:val="en-US" w:eastAsia="zh-CN"/>
        </w:rPr>
      </w:pPr>
      <w:r w:rsidRPr="00D509FD">
        <w:rPr>
          <w:b/>
          <w:sz w:val="21"/>
          <w:szCs w:val="21"/>
          <w:lang w:val="en-US" w:eastAsia="zh-CN"/>
        </w:rPr>
        <w:fldChar w:fldCharType="begin"/>
      </w:r>
      <w:r w:rsidRPr="00D509FD">
        <w:rPr>
          <w:b/>
          <w:sz w:val="21"/>
          <w:szCs w:val="21"/>
          <w:lang w:val="en-US" w:eastAsia="zh-CN"/>
        </w:rPr>
        <w:instrText xml:space="preserve"> REF _Ref210301511 \h  \* MERGEFORMAT </w:instrText>
      </w:r>
      <w:r w:rsidRPr="00D509FD">
        <w:rPr>
          <w:b/>
          <w:sz w:val="21"/>
          <w:szCs w:val="21"/>
          <w:lang w:val="en-US" w:eastAsia="zh-CN"/>
        </w:rPr>
      </w:r>
      <w:r w:rsidRPr="00D509FD">
        <w:rPr>
          <w:b/>
          <w:sz w:val="21"/>
          <w:szCs w:val="21"/>
          <w:lang w:val="en-US" w:eastAsia="zh-CN"/>
        </w:rPr>
        <w:fldChar w:fldCharType="separate"/>
      </w:r>
      <w:r w:rsidR="00B1614C" w:rsidRPr="00B1614C">
        <w:rPr>
          <w:b/>
        </w:rPr>
        <w:t xml:space="preserve">Proposal </w:t>
      </w:r>
      <w:r w:rsidR="00B1614C" w:rsidRPr="00B1614C">
        <w:rPr>
          <w:b/>
          <w:noProof/>
        </w:rPr>
        <w:t>6</w:t>
      </w:r>
      <w:r w:rsidR="00B1614C" w:rsidRPr="00B1614C">
        <w:rPr>
          <w:b/>
        </w:rPr>
        <w:t>: Support of a signal for DO-A R2D synchronization.</w:t>
      </w:r>
      <w:r w:rsidRPr="00D509FD">
        <w:rPr>
          <w:b/>
          <w:sz w:val="21"/>
          <w:szCs w:val="21"/>
          <w:lang w:val="en-US" w:eastAsia="zh-CN"/>
        </w:rPr>
        <w:fldChar w:fldCharType="end"/>
      </w:r>
    </w:p>
    <w:p w14:paraId="7EFFF9ED" w14:textId="77777777" w:rsidR="005862AC" w:rsidRPr="00C84499" w:rsidRDefault="005862AC">
      <w:pPr>
        <w:spacing w:before="120"/>
        <w:rPr>
          <w:b/>
          <w:bCs/>
          <w:lang w:eastAsia="zh-CN"/>
        </w:rPr>
      </w:pPr>
    </w:p>
    <w:p w14:paraId="6CF43C84" w14:textId="77777777" w:rsidR="00B10874" w:rsidRDefault="00A13B5A">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0C29893" w14:textId="031D6F84" w:rsidR="00B10874" w:rsidRPr="000B108B" w:rsidRDefault="00FD5C09" w:rsidP="000B108B">
      <w:pPr>
        <w:pStyle w:val="af7"/>
        <w:numPr>
          <w:ilvl w:val="0"/>
          <w:numId w:val="16"/>
        </w:numPr>
        <w:spacing w:before="120"/>
        <w:ind w:firstLineChars="0"/>
        <w:rPr>
          <w:rFonts w:ascii="Times New Roman" w:eastAsia="宋体" w:hAnsi="Times New Roman"/>
        </w:rPr>
      </w:pPr>
      <w:bookmarkStart w:id="22" w:name="_Ref210301666"/>
      <w:r w:rsidRPr="00FD5C09">
        <w:rPr>
          <w:rFonts w:ascii="Times New Roman" w:eastAsia="宋体" w:hAnsi="Times New Roman"/>
        </w:rPr>
        <w:t>RP-252964, Revised SID: Study on enhancements for solutions for Ambient IoT (Internet of Things) in NR outdoor for active devices, LG Electronics, RAN #109, September 15-18, 2025.</w:t>
      </w:r>
      <w:bookmarkEnd w:id="22"/>
    </w:p>
    <w:sectPr w:rsidR="00B10874" w:rsidRPr="000B108B">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4CEC7" w14:textId="77777777" w:rsidR="00FB52D1" w:rsidRDefault="00FB52D1">
      <w:pPr>
        <w:spacing w:before="120" w:line="240" w:lineRule="auto"/>
      </w:pPr>
      <w:r>
        <w:separator/>
      </w:r>
    </w:p>
  </w:endnote>
  <w:endnote w:type="continuationSeparator" w:id="0">
    <w:p w14:paraId="48600903" w14:textId="77777777" w:rsidR="00FB52D1" w:rsidRDefault="00FB52D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6067" w14:textId="77777777" w:rsidR="00B10874" w:rsidRDefault="00B10874">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4A05" w14:textId="77777777" w:rsidR="00B10874" w:rsidRDefault="00B10874">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5FE0" w14:textId="77777777" w:rsidR="00B10874" w:rsidRDefault="00B10874">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B04F" w14:textId="77777777" w:rsidR="00FB52D1" w:rsidRDefault="00FB52D1">
      <w:pPr>
        <w:spacing w:before="120"/>
      </w:pPr>
      <w:r>
        <w:separator/>
      </w:r>
    </w:p>
  </w:footnote>
  <w:footnote w:type="continuationSeparator" w:id="0">
    <w:p w14:paraId="0DB4B6AF" w14:textId="77777777" w:rsidR="00FB52D1" w:rsidRDefault="00FB52D1">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87C8" w14:textId="77777777" w:rsidR="00B10874" w:rsidRDefault="00B10874">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E598" w14:textId="77777777" w:rsidR="00B10874" w:rsidRDefault="00B10874">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8276" w14:textId="77777777" w:rsidR="00B10874" w:rsidRDefault="00B10874">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CC7F96C9"/>
    <w:multiLevelType w:val="singleLevel"/>
    <w:tmpl w:val="CC7F96C9"/>
    <w:lvl w:ilvl="0">
      <w:start w:val="1"/>
      <w:numFmt w:val="bullet"/>
      <w:lvlText w:val=""/>
      <w:lvlJc w:val="left"/>
      <w:pPr>
        <w:ind w:left="420" w:hanging="420"/>
      </w:pPr>
      <w:rPr>
        <w:rFonts w:ascii="Wingdings" w:hAnsi="Wingdings" w:hint="default"/>
      </w:rPr>
    </w:lvl>
  </w:abstractNum>
  <w:abstractNum w:abstractNumId="2" w15:restartNumberingAfterBreak="0">
    <w:nsid w:val="E29175AC"/>
    <w:multiLevelType w:val="multilevel"/>
    <w:tmpl w:val="E29175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560D4"/>
    <w:multiLevelType w:val="multilevel"/>
    <w:tmpl w:val="FFF560D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1D1C26"/>
    <w:multiLevelType w:val="multilevel"/>
    <w:tmpl w:val="17C8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B05DEE"/>
    <w:multiLevelType w:val="hybridMultilevel"/>
    <w:tmpl w:val="74D8EBDA"/>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32BF5EB2"/>
    <w:multiLevelType w:val="multilevel"/>
    <w:tmpl w:val="32BF5EB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5A161E0"/>
    <w:multiLevelType w:val="multilevel"/>
    <w:tmpl w:val="45A161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43412775">
    <w:abstractNumId w:val="17"/>
  </w:num>
  <w:num w:numId="2" w16cid:durableId="1977907356">
    <w:abstractNumId w:val="12"/>
  </w:num>
  <w:num w:numId="3" w16cid:durableId="110059023">
    <w:abstractNumId w:val="16"/>
  </w:num>
  <w:num w:numId="4" w16cid:durableId="1049303096">
    <w:abstractNumId w:val="10"/>
  </w:num>
  <w:num w:numId="5" w16cid:durableId="782460216">
    <w:abstractNumId w:val="7"/>
  </w:num>
  <w:num w:numId="6" w16cid:durableId="261498518">
    <w:abstractNumId w:val="14"/>
  </w:num>
  <w:num w:numId="7" w16cid:durableId="1090007602">
    <w:abstractNumId w:val="0"/>
  </w:num>
  <w:num w:numId="8" w16cid:durableId="596254729">
    <w:abstractNumId w:val="6"/>
  </w:num>
  <w:num w:numId="9" w16cid:durableId="152064096">
    <w:abstractNumId w:val="15"/>
  </w:num>
  <w:num w:numId="10" w16cid:durableId="1475365281">
    <w:abstractNumId w:val="11"/>
  </w:num>
  <w:num w:numId="11" w16cid:durableId="1085227024">
    <w:abstractNumId w:val="4"/>
  </w:num>
  <w:num w:numId="12" w16cid:durableId="1044141668">
    <w:abstractNumId w:val="13"/>
  </w:num>
  <w:num w:numId="13" w16cid:durableId="1038093714">
    <w:abstractNumId w:val="3"/>
  </w:num>
  <w:num w:numId="14" w16cid:durableId="831070983">
    <w:abstractNumId w:val="2"/>
  </w:num>
  <w:num w:numId="15" w16cid:durableId="200438568">
    <w:abstractNumId w:val="1"/>
  </w:num>
  <w:num w:numId="16" w16cid:durableId="666709959">
    <w:abstractNumId w:val="5"/>
  </w:num>
  <w:num w:numId="17" w16cid:durableId="14049874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91512">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295445">
    <w:abstractNumId w:val="9"/>
  </w:num>
  <w:num w:numId="20" w16cid:durableId="8191535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B5B00D"/>
    <w:rsid w:val="CD9B670D"/>
    <w:rsid w:val="DB2FFE77"/>
    <w:rsid w:val="DD8FC846"/>
    <w:rsid w:val="E3AF0CED"/>
    <w:rsid w:val="F7DFF9DF"/>
    <w:rsid w:val="F7FFD237"/>
    <w:rsid w:val="FBD73E03"/>
    <w:rsid w:val="FBF1BBC7"/>
    <w:rsid w:val="FDEFD506"/>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3A5A"/>
    <w:rsid w:val="00014B39"/>
    <w:rsid w:val="0001542C"/>
    <w:rsid w:val="000155D1"/>
    <w:rsid w:val="00015988"/>
    <w:rsid w:val="00015B32"/>
    <w:rsid w:val="00015BE4"/>
    <w:rsid w:val="000160B4"/>
    <w:rsid w:val="00016442"/>
    <w:rsid w:val="00016552"/>
    <w:rsid w:val="000165AF"/>
    <w:rsid w:val="00016B45"/>
    <w:rsid w:val="00016C27"/>
    <w:rsid w:val="00017B1D"/>
    <w:rsid w:val="00017E72"/>
    <w:rsid w:val="00020B6F"/>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08B"/>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29C3"/>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791"/>
    <w:rsid w:val="00186B7E"/>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4E8D"/>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6E8C"/>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06E4"/>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BFE"/>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4D03"/>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48E"/>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BBC"/>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6C7"/>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0"/>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85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CDE"/>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2A71"/>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2AC"/>
    <w:rsid w:val="0058675F"/>
    <w:rsid w:val="00586814"/>
    <w:rsid w:val="00586BD8"/>
    <w:rsid w:val="00586FCC"/>
    <w:rsid w:val="00587FEB"/>
    <w:rsid w:val="00590055"/>
    <w:rsid w:val="005906B5"/>
    <w:rsid w:val="00590848"/>
    <w:rsid w:val="00590965"/>
    <w:rsid w:val="00590BA9"/>
    <w:rsid w:val="00590CE0"/>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1FF"/>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025"/>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77BB7"/>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60B"/>
    <w:rsid w:val="006D285C"/>
    <w:rsid w:val="006D2868"/>
    <w:rsid w:val="006D2CEB"/>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2AF"/>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199"/>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98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594"/>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0AF2"/>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97D"/>
    <w:rsid w:val="008E3F22"/>
    <w:rsid w:val="008E40BD"/>
    <w:rsid w:val="008E427D"/>
    <w:rsid w:val="008E4F9E"/>
    <w:rsid w:val="008E6376"/>
    <w:rsid w:val="008E652B"/>
    <w:rsid w:val="008E745E"/>
    <w:rsid w:val="008E7864"/>
    <w:rsid w:val="008E7BBA"/>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3F61"/>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2C58"/>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44B"/>
    <w:rsid w:val="009B0939"/>
    <w:rsid w:val="009B0B77"/>
    <w:rsid w:val="009B0EF6"/>
    <w:rsid w:val="009B153D"/>
    <w:rsid w:val="009B1ED8"/>
    <w:rsid w:val="009B22D3"/>
    <w:rsid w:val="009B24DF"/>
    <w:rsid w:val="009B30F8"/>
    <w:rsid w:val="009B32DD"/>
    <w:rsid w:val="009B35A1"/>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743"/>
    <w:rsid w:val="009E3847"/>
    <w:rsid w:val="009E390F"/>
    <w:rsid w:val="009E398C"/>
    <w:rsid w:val="009E3C18"/>
    <w:rsid w:val="009E40B2"/>
    <w:rsid w:val="009E44C7"/>
    <w:rsid w:val="009E4AC8"/>
    <w:rsid w:val="009E4EFD"/>
    <w:rsid w:val="009E531F"/>
    <w:rsid w:val="009E5AA6"/>
    <w:rsid w:val="009E5C05"/>
    <w:rsid w:val="009E661C"/>
    <w:rsid w:val="009E67A5"/>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238"/>
    <w:rsid w:val="00A115F2"/>
    <w:rsid w:val="00A11D0F"/>
    <w:rsid w:val="00A136E9"/>
    <w:rsid w:val="00A13B5A"/>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08C"/>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0C13"/>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13A"/>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A42"/>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4C9"/>
    <w:rsid w:val="00B07A9F"/>
    <w:rsid w:val="00B07EA5"/>
    <w:rsid w:val="00B10874"/>
    <w:rsid w:val="00B11013"/>
    <w:rsid w:val="00B11666"/>
    <w:rsid w:val="00B1206B"/>
    <w:rsid w:val="00B12B14"/>
    <w:rsid w:val="00B12D6E"/>
    <w:rsid w:val="00B13112"/>
    <w:rsid w:val="00B13226"/>
    <w:rsid w:val="00B1338F"/>
    <w:rsid w:val="00B13464"/>
    <w:rsid w:val="00B13682"/>
    <w:rsid w:val="00B155DE"/>
    <w:rsid w:val="00B158FE"/>
    <w:rsid w:val="00B15A09"/>
    <w:rsid w:val="00B15E8C"/>
    <w:rsid w:val="00B16066"/>
    <w:rsid w:val="00B1614C"/>
    <w:rsid w:val="00B16489"/>
    <w:rsid w:val="00B16A13"/>
    <w:rsid w:val="00B16CAE"/>
    <w:rsid w:val="00B16FFA"/>
    <w:rsid w:val="00B17573"/>
    <w:rsid w:val="00B20224"/>
    <w:rsid w:val="00B20A1E"/>
    <w:rsid w:val="00B21066"/>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12CA"/>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24A"/>
    <w:rsid w:val="00C326E9"/>
    <w:rsid w:val="00C32F6F"/>
    <w:rsid w:val="00C33308"/>
    <w:rsid w:val="00C333D8"/>
    <w:rsid w:val="00C33D2B"/>
    <w:rsid w:val="00C34339"/>
    <w:rsid w:val="00C347C5"/>
    <w:rsid w:val="00C35339"/>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655"/>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0D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09FD"/>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09A9"/>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89D"/>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459"/>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AA4"/>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2E9"/>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0"/>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2D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3A"/>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5C09"/>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0B939BD"/>
    <w:rsid w:val="215A0945"/>
    <w:rsid w:val="21E01B52"/>
    <w:rsid w:val="22071599"/>
    <w:rsid w:val="220E10B9"/>
    <w:rsid w:val="223100B1"/>
    <w:rsid w:val="22635EB7"/>
    <w:rsid w:val="23091760"/>
    <w:rsid w:val="232337B3"/>
    <w:rsid w:val="23826D38"/>
    <w:rsid w:val="23913F12"/>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9D6AB3"/>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376651D"/>
    <w:rsid w:val="640F0F52"/>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6FF715CD"/>
    <w:rsid w:val="708F6DAD"/>
    <w:rsid w:val="70B65B38"/>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794135"/>
    <w:rsid w:val="79A53CD6"/>
    <w:rsid w:val="7A3351A6"/>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96B21"/>
    <w:rsid w:val="7D8B4291"/>
    <w:rsid w:val="7DBE9282"/>
    <w:rsid w:val="7DCA03D8"/>
    <w:rsid w:val="7DDDADF1"/>
    <w:rsid w:val="7E44440C"/>
    <w:rsid w:val="7E4A1159"/>
    <w:rsid w:val="7E5760A6"/>
    <w:rsid w:val="7E784F83"/>
    <w:rsid w:val="7EC32874"/>
    <w:rsid w:val="7ED226B5"/>
    <w:rsid w:val="7ED319F2"/>
    <w:rsid w:val="7EEF3ECD"/>
    <w:rsid w:val="7EF398E1"/>
    <w:rsid w:val="7EF6798A"/>
    <w:rsid w:val="7EFBFED8"/>
    <w:rsid w:val="7F1D6731"/>
    <w:rsid w:val="7F6C10C9"/>
    <w:rsid w:val="7F9B2C0F"/>
    <w:rsid w:val="7FDA3984"/>
    <w:rsid w:val="7FFD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B7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rsid w:val="006F52AF"/>
    <w:rPr>
      <w:rFonts w:eastAsia="Times New Roman"/>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Lista1,1st level - Bullet List Paragraph,Lettre d'introduction,Paragrafo elenco,Normal bullet 2,Bullet list,Numbered List,- Bullets,リスト段落,?? ??,?????,????,列出段落1,中等深浅网格 1 - 着色 21,¥¡¡¡¡ì¬º¥¹¥È¶ÎÂä,ÁÐ³ö¶ÎÂä,列表段落1,목록 단,リ"/>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sid w:val="006F52AF"/>
    <w:rPr>
      <w:rFonts w:eastAsia="Times New Roman"/>
      <w:b/>
      <w:bCs/>
      <w:lang w:val="en-GB" w:eastAsia="en-US"/>
    </w:rPr>
  </w:style>
  <w:style w:type="character" w:customStyle="1" w:styleId="af8">
    <w:name w:val="列表段落 字符"/>
    <w:aliases w:val="Lista1 字符,1st level - Bullet List Paragraph 字符,Lettre d'introduction 字符,Paragrafo elenco 字符,Normal bullet 2 字符,Bullet list 字符,Numbered List 字符,- Bullets 字符,リスト段落 字符,?? ?? 字符,????? 字符,???? 字符,列出段落1 字符,中等深浅网格 1 - 着色 21 字符,¥¡¡¡¡ì¬º¥¹¥È¶ÎÂä 字符,リ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872">
      <w:bodyDiv w:val="1"/>
      <w:marLeft w:val="0"/>
      <w:marRight w:val="0"/>
      <w:marTop w:val="0"/>
      <w:marBottom w:val="0"/>
      <w:divBdr>
        <w:top w:val="none" w:sz="0" w:space="0" w:color="auto"/>
        <w:left w:val="none" w:sz="0" w:space="0" w:color="auto"/>
        <w:bottom w:val="none" w:sz="0" w:space="0" w:color="auto"/>
        <w:right w:val="none" w:sz="0" w:space="0" w:color="auto"/>
      </w:divBdr>
    </w:div>
    <w:div w:id="17052698">
      <w:bodyDiv w:val="1"/>
      <w:marLeft w:val="0"/>
      <w:marRight w:val="0"/>
      <w:marTop w:val="0"/>
      <w:marBottom w:val="0"/>
      <w:divBdr>
        <w:top w:val="none" w:sz="0" w:space="0" w:color="auto"/>
        <w:left w:val="none" w:sz="0" w:space="0" w:color="auto"/>
        <w:bottom w:val="none" w:sz="0" w:space="0" w:color="auto"/>
        <w:right w:val="none" w:sz="0" w:space="0" w:color="auto"/>
      </w:divBdr>
    </w:div>
    <w:div w:id="103616639">
      <w:bodyDiv w:val="1"/>
      <w:marLeft w:val="0"/>
      <w:marRight w:val="0"/>
      <w:marTop w:val="0"/>
      <w:marBottom w:val="0"/>
      <w:divBdr>
        <w:top w:val="none" w:sz="0" w:space="0" w:color="auto"/>
        <w:left w:val="none" w:sz="0" w:space="0" w:color="auto"/>
        <w:bottom w:val="none" w:sz="0" w:space="0" w:color="auto"/>
        <w:right w:val="none" w:sz="0" w:space="0" w:color="auto"/>
      </w:divBdr>
    </w:div>
    <w:div w:id="286930199">
      <w:bodyDiv w:val="1"/>
      <w:marLeft w:val="0"/>
      <w:marRight w:val="0"/>
      <w:marTop w:val="0"/>
      <w:marBottom w:val="0"/>
      <w:divBdr>
        <w:top w:val="none" w:sz="0" w:space="0" w:color="auto"/>
        <w:left w:val="none" w:sz="0" w:space="0" w:color="auto"/>
        <w:bottom w:val="none" w:sz="0" w:space="0" w:color="auto"/>
        <w:right w:val="none" w:sz="0" w:space="0" w:color="auto"/>
      </w:divBdr>
    </w:div>
    <w:div w:id="358893303">
      <w:bodyDiv w:val="1"/>
      <w:marLeft w:val="0"/>
      <w:marRight w:val="0"/>
      <w:marTop w:val="0"/>
      <w:marBottom w:val="0"/>
      <w:divBdr>
        <w:top w:val="none" w:sz="0" w:space="0" w:color="auto"/>
        <w:left w:val="none" w:sz="0" w:space="0" w:color="auto"/>
        <w:bottom w:val="none" w:sz="0" w:space="0" w:color="auto"/>
        <w:right w:val="none" w:sz="0" w:space="0" w:color="auto"/>
      </w:divBdr>
    </w:div>
    <w:div w:id="417993016">
      <w:bodyDiv w:val="1"/>
      <w:marLeft w:val="0"/>
      <w:marRight w:val="0"/>
      <w:marTop w:val="0"/>
      <w:marBottom w:val="0"/>
      <w:divBdr>
        <w:top w:val="none" w:sz="0" w:space="0" w:color="auto"/>
        <w:left w:val="none" w:sz="0" w:space="0" w:color="auto"/>
        <w:bottom w:val="none" w:sz="0" w:space="0" w:color="auto"/>
        <w:right w:val="none" w:sz="0" w:space="0" w:color="auto"/>
      </w:divBdr>
    </w:div>
    <w:div w:id="501357686">
      <w:bodyDiv w:val="1"/>
      <w:marLeft w:val="0"/>
      <w:marRight w:val="0"/>
      <w:marTop w:val="0"/>
      <w:marBottom w:val="0"/>
      <w:divBdr>
        <w:top w:val="none" w:sz="0" w:space="0" w:color="auto"/>
        <w:left w:val="none" w:sz="0" w:space="0" w:color="auto"/>
        <w:bottom w:val="none" w:sz="0" w:space="0" w:color="auto"/>
        <w:right w:val="none" w:sz="0" w:space="0" w:color="auto"/>
      </w:divBdr>
    </w:div>
    <w:div w:id="534270882">
      <w:bodyDiv w:val="1"/>
      <w:marLeft w:val="0"/>
      <w:marRight w:val="0"/>
      <w:marTop w:val="0"/>
      <w:marBottom w:val="0"/>
      <w:divBdr>
        <w:top w:val="none" w:sz="0" w:space="0" w:color="auto"/>
        <w:left w:val="none" w:sz="0" w:space="0" w:color="auto"/>
        <w:bottom w:val="none" w:sz="0" w:space="0" w:color="auto"/>
        <w:right w:val="none" w:sz="0" w:space="0" w:color="auto"/>
      </w:divBdr>
    </w:div>
    <w:div w:id="555892696">
      <w:bodyDiv w:val="1"/>
      <w:marLeft w:val="0"/>
      <w:marRight w:val="0"/>
      <w:marTop w:val="0"/>
      <w:marBottom w:val="0"/>
      <w:divBdr>
        <w:top w:val="none" w:sz="0" w:space="0" w:color="auto"/>
        <w:left w:val="none" w:sz="0" w:space="0" w:color="auto"/>
        <w:bottom w:val="none" w:sz="0" w:space="0" w:color="auto"/>
        <w:right w:val="none" w:sz="0" w:space="0" w:color="auto"/>
      </w:divBdr>
    </w:div>
    <w:div w:id="556209123">
      <w:bodyDiv w:val="1"/>
      <w:marLeft w:val="0"/>
      <w:marRight w:val="0"/>
      <w:marTop w:val="0"/>
      <w:marBottom w:val="0"/>
      <w:divBdr>
        <w:top w:val="none" w:sz="0" w:space="0" w:color="auto"/>
        <w:left w:val="none" w:sz="0" w:space="0" w:color="auto"/>
        <w:bottom w:val="none" w:sz="0" w:space="0" w:color="auto"/>
        <w:right w:val="none" w:sz="0" w:space="0" w:color="auto"/>
      </w:divBdr>
    </w:div>
    <w:div w:id="611864916">
      <w:bodyDiv w:val="1"/>
      <w:marLeft w:val="0"/>
      <w:marRight w:val="0"/>
      <w:marTop w:val="0"/>
      <w:marBottom w:val="0"/>
      <w:divBdr>
        <w:top w:val="none" w:sz="0" w:space="0" w:color="auto"/>
        <w:left w:val="none" w:sz="0" w:space="0" w:color="auto"/>
        <w:bottom w:val="none" w:sz="0" w:space="0" w:color="auto"/>
        <w:right w:val="none" w:sz="0" w:space="0" w:color="auto"/>
      </w:divBdr>
    </w:div>
    <w:div w:id="720327472">
      <w:bodyDiv w:val="1"/>
      <w:marLeft w:val="0"/>
      <w:marRight w:val="0"/>
      <w:marTop w:val="0"/>
      <w:marBottom w:val="0"/>
      <w:divBdr>
        <w:top w:val="none" w:sz="0" w:space="0" w:color="auto"/>
        <w:left w:val="none" w:sz="0" w:space="0" w:color="auto"/>
        <w:bottom w:val="none" w:sz="0" w:space="0" w:color="auto"/>
        <w:right w:val="none" w:sz="0" w:space="0" w:color="auto"/>
      </w:divBdr>
    </w:div>
    <w:div w:id="772166295">
      <w:bodyDiv w:val="1"/>
      <w:marLeft w:val="0"/>
      <w:marRight w:val="0"/>
      <w:marTop w:val="0"/>
      <w:marBottom w:val="0"/>
      <w:divBdr>
        <w:top w:val="none" w:sz="0" w:space="0" w:color="auto"/>
        <w:left w:val="none" w:sz="0" w:space="0" w:color="auto"/>
        <w:bottom w:val="none" w:sz="0" w:space="0" w:color="auto"/>
        <w:right w:val="none" w:sz="0" w:space="0" w:color="auto"/>
      </w:divBdr>
    </w:div>
    <w:div w:id="784033495">
      <w:bodyDiv w:val="1"/>
      <w:marLeft w:val="0"/>
      <w:marRight w:val="0"/>
      <w:marTop w:val="0"/>
      <w:marBottom w:val="0"/>
      <w:divBdr>
        <w:top w:val="none" w:sz="0" w:space="0" w:color="auto"/>
        <w:left w:val="none" w:sz="0" w:space="0" w:color="auto"/>
        <w:bottom w:val="none" w:sz="0" w:space="0" w:color="auto"/>
        <w:right w:val="none" w:sz="0" w:space="0" w:color="auto"/>
      </w:divBdr>
    </w:div>
    <w:div w:id="914902666">
      <w:bodyDiv w:val="1"/>
      <w:marLeft w:val="0"/>
      <w:marRight w:val="0"/>
      <w:marTop w:val="0"/>
      <w:marBottom w:val="0"/>
      <w:divBdr>
        <w:top w:val="none" w:sz="0" w:space="0" w:color="auto"/>
        <w:left w:val="none" w:sz="0" w:space="0" w:color="auto"/>
        <w:bottom w:val="none" w:sz="0" w:space="0" w:color="auto"/>
        <w:right w:val="none" w:sz="0" w:space="0" w:color="auto"/>
      </w:divBdr>
    </w:div>
    <w:div w:id="951866460">
      <w:bodyDiv w:val="1"/>
      <w:marLeft w:val="0"/>
      <w:marRight w:val="0"/>
      <w:marTop w:val="0"/>
      <w:marBottom w:val="0"/>
      <w:divBdr>
        <w:top w:val="none" w:sz="0" w:space="0" w:color="auto"/>
        <w:left w:val="none" w:sz="0" w:space="0" w:color="auto"/>
        <w:bottom w:val="none" w:sz="0" w:space="0" w:color="auto"/>
        <w:right w:val="none" w:sz="0" w:space="0" w:color="auto"/>
      </w:divBdr>
    </w:div>
    <w:div w:id="1064065635">
      <w:bodyDiv w:val="1"/>
      <w:marLeft w:val="0"/>
      <w:marRight w:val="0"/>
      <w:marTop w:val="0"/>
      <w:marBottom w:val="0"/>
      <w:divBdr>
        <w:top w:val="none" w:sz="0" w:space="0" w:color="auto"/>
        <w:left w:val="none" w:sz="0" w:space="0" w:color="auto"/>
        <w:bottom w:val="none" w:sz="0" w:space="0" w:color="auto"/>
        <w:right w:val="none" w:sz="0" w:space="0" w:color="auto"/>
      </w:divBdr>
    </w:div>
    <w:div w:id="1610821892">
      <w:bodyDiv w:val="1"/>
      <w:marLeft w:val="0"/>
      <w:marRight w:val="0"/>
      <w:marTop w:val="0"/>
      <w:marBottom w:val="0"/>
      <w:divBdr>
        <w:top w:val="none" w:sz="0" w:space="0" w:color="auto"/>
        <w:left w:val="none" w:sz="0" w:space="0" w:color="auto"/>
        <w:bottom w:val="none" w:sz="0" w:space="0" w:color="auto"/>
        <w:right w:val="none" w:sz="0" w:space="0" w:color="auto"/>
      </w:divBdr>
    </w:div>
    <w:div w:id="1735621735">
      <w:bodyDiv w:val="1"/>
      <w:marLeft w:val="0"/>
      <w:marRight w:val="0"/>
      <w:marTop w:val="0"/>
      <w:marBottom w:val="0"/>
      <w:divBdr>
        <w:top w:val="none" w:sz="0" w:space="0" w:color="auto"/>
        <w:left w:val="none" w:sz="0" w:space="0" w:color="auto"/>
        <w:bottom w:val="none" w:sz="0" w:space="0" w:color="auto"/>
        <w:right w:val="none" w:sz="0" w:space="0" w:color="auto"/>
      </w:divBdr>
    </w:div>
    <w:div w:id="1909266947">
      <w:bodyDiv w:val="1"/>
      <w:marLeft w:val="0"/>
      <w:marRight w:val="0"/>
      <w:marTop w:val="0"/>
      <w:marBottom w:val="0"/>
      <w:divBdr>
        <w:top w:val="none" w:sz="0" w:space="0" w:color="auto"/>
        <w:left w:val="none" w:sz="0" w:space="0" w:color="auto"/>
        <w:bottom w:val="none" w:sz="0" w:space="0" w:color="auto"/>
        <w:right w:val="none" w:sz="0" w:space="0" w:color="auto"/>
      </w:divBdr>
    </w:div>
    <w:div w:id="1956600656">
      <w:bodyDiv w:val="1"/>
      <w:marLeft w:val="0"/>
      <w:marRight w:val="0"/>
      <w:marTop w:val="0"/>
      <w:marBottom w:val="0"/>
      <w:divBdr>
        <w:top w:val="none" w:sz="0" w:space="0" w:color="auto"/>
        <w:left w:val="none" w:sz="0" w:space="0" w:color="auto"/>
        <w:bottom w:val="none" w:sz="0" w:space="0" w:color="auto"/>
        <w:right w:val="none" w:sz="0" w:space="0" w:color="auto"/>
      </w:divBdr>
    </w:div>
    <w:div w:id="2020428678">
      <w:bodyDiv w:val="1"/>
      <w:marLeft w:val="0"/>
      <w:marRight w:val="0"/>
      <w:marTop w:val="0"/>
      <w:marBottom w:val="0"/>
      <w:divBdr>
        <w:top w:val="none" w:sz="0" w:space="0" w:color="auto"/>
        <w:left w:val="none" w:sz="0" w:space="0" w:color="auto"/>
        <w:bottom w:val="none" w:sz="0" w:space="0" w:color="auto"/>
        <w:right w:val="none" w:sz="0" w:space="0" w:color="auto"/>
      </w:divBdr>
    </w:div>
    <w:div w:id="20491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2285</Words>
  <Characters>13355</Characters>
  <Application>Microsoft Office Word</Application>
  <DocSecurity>0</DocSecurity>
  <Lines>111</Lines>
  <Paragraphs>31</Paragraphs>
  <ScaleCrop>false</ScaleCrop>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2025-10-03T05:59:00Z</dcterms:created>
  <dcterms:modified xsi:type="dcterms:W3CDTF">2025-10-03T07:19:00Z</dcterms:modified>
</cp:coreProperties>
</file>