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20FF2F3" w:rsidR="0052234F" w:rsidRPr="00B94D30" w:rsidRDefault="0044534E">
      <w:pPr>
        <w:pStyle w:val="Header"/>
        <w:tabs>
          <w:tab w:val="right" w:pos="9639"/>
        </w:tabs>
        <w:rPr>
          <w:bCs/>
          <w:sz w:val="24"/>
          <w:szCs w:val="24"/>
          <w:lang w:val="de-DE"/>
        </w:rPr>
      </w:pPr>
      <w:r w:rsidRPr="00B94D30">
        <w:rPr>
          <w:bCs/>
          <w:sz w:val="24"/>
          <w:szCs w:val="24"/>
          <w:lang w:val="de-DE"/>
        </w:rPr>
        <w:t>3GPP TSG RAN WG1 #</w:t>
      </w:r>
      <w:r w:rsidR="008163DD" w:rsidRPr="00B94D30">
        <w:rPr>
          <w:bCs/>
          <w:sz w:val="24"/>
          <w:szCs w:val="24"/>
          <w:lang w:val="de-DE"/>
        </w:rPr>
        <w:t>12</w:t>
      </w:r>
      <w:r w:rsidR="00DB4D06" w:rsidRPr="00B94D30">
        <w:rPr>
          <w:bCs/>
          <w:sz w:val="24"/>
          <w:szCs w:val="24"/>
          <w:lang w:val="de-DE"/>
        </w:rPr>
        <w:t>2</w:t>
      </w:r>
      <w:r w:rsidR="00314292" w:rsidRPr="00B94D30">
        <w:rPr>
          <w:bCs/>
          <w:sz w:val="24"/>
          <w:szCs w:val="24"/>
          <w:lang w:val="de-DE"/>
        </w:rPr>
        <w:t>bis</w:t>
      </w:r>
      <w:r w:rsidRPr="00B94D30">
        <w:rPr>
          <w:bCs/>
          <w:sz w:val="24"/>
          <w:szCs w:val="24"/>
          <w:lang w:val="de-DE"/>
        </w:rPr>
        <w:tab/>
      </w:r>
      <w:r w:rsidR="00B94D30" w:rsidRPr="00B94D30">
        <w:rPr>
          <w:bCs/>
          <w:sz w:val="24"/>
          <w:szCs w:val="24"/>
          <w:lang w:val="de-DE"/>
        </w:rPr>
        <w:t>R1-2507544</w:t>
      </w:r>
    </w:p>
    <w:p w14:paraId="39FC1783" w14:textId="5213542A" w:rsidR="0052234F" w:rsidRPr="00566DD3" w:rsidRDefault="00314292">
      <w:pPr>
        <w:pStyle w:val="Header"/>
        <w:rPr>
          <w:sz w:val="24"/>
          <w:szCs w:val="24"/>
          <w:lang w:val="en-GB"/>
        </w:rPr>
      </w:pPr>
      <w:r>
        <w:rPr>
          <w:bCs/>
          <w:sz w:val="24"/>
          <w:szCs w:val="24"/>
          <w:lang w:val="en-GB"/>
        </w:rPr>
        <w:t>Prague</w:t>
      </w:r>
      <w:r w:rsidR="00DA5117" w:rsidRPr="00566DD3">
        <w:rPr>
          <w:bCs/>
          <w:sz w:val="24"/>
          <w:szCs w:val="24"/>
          <w:lang w:val="en-GB"/>
        </w:rPr>
        <w:t xml:space="preserve">, </w:t>
      </w:r>
      <w:r>
        <w:rPr>
          <w:bCs/>
          <w:sz w:val="24"/>
          <w:szCs w:val="24"/>
          <w:lang w:val="en-GB"/>
        </w:rPr>
        <w:t>1</w:t>
      </w:r>
      <w:r w:rsidR="00DB4D06">
        <w:rPr>
          <w:bCs/>
          <w:sz w:val="24"/>
          <w:szCs w:val="24"/>
          <w:lang w:val="en-GB"/>
        </w:rPr>
        <w:t>3</w:t>
      </w:r>
      <w:r w:rsidR="00DA5117" w:rsidRPr="00566DD3">
        <w:rPr>
          <w:bCs/>
          <w:sz w:val="24"/>
          <w:szCs w:val="24"/>
          <w:lang w:val="en-GB"/>
        </w:rPr>
        <w:t xml:space="preserve"> – </w:t>
      </w:r>
      <w:r>
        <w:rPr>
          <w:bCs/>
          <w:sz w:val="24"/>
          <w:szCs w:val="24"/>
          <w:lang w:val="en-GB"/>
        </w:rPr>
        <w:t>1</w:t>
      </w:r>
      <w:r w:rsidR="00237DD5">
        <w:rPr>
          <w:bCs/>
          <w:sz w:val="24"/>
          <w:szCs w:val="24"/>
          <w:lang w:val="en-GB"/>
        </w:rPr>
        <w:t>7</w:t>
      </w:r>
      <w:r w:rsidR="00880C35">
        <w:rPr>
          <w:bCs/>
          <w:sz w:val="24"/>
          <w:szCs w:val="24"/>
          <w:lang w:val="en-GB"/>
        </w:rPr>
        <w:t xml:space="preserve"> </w:t>
      </w:r>
      <w:r>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658ED58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83696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C50F82">
        <w:rPr>
          <w:rFonts w:ascii="Arial" w:hAnsi="Arial" w:cs="Arial"/>
          <w:b/>
          <w:bCs/>
          <w:sz w:val="24"/>
        </w:rPr>
        <w:t xml:space="preserve">the Overview of </w:t>
      </w:r>
      <w:r w:rsidR="00D63AB2">
        <w:rPr>
          <w:rFonts w:ascii="Arial" w:hAnsi="Arial" w:cs="Arial"/>
          <w:b/>
          <w:bCs/>
          <w:sz w:val="24"/>
        </w:rPr>
        <w:t xml:space="preserve">6GR </w:t>
      </w:r>
      <w:r w:rsidR="00C50F82">
        <w:rPr>
          <w:rFonts w:ascii="Arial" w:hAnsi="Arial" w:cs="Arial"/>
          <w:b/>
          <w:bCs/>
          <w:sz w:val="24"/>
        </w:rPr>
        <w:t>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E52C3D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Content>
          <w:r>
            <w:fldChar w:fldCharType="begin"/>
          </w:r>
          <w:r w:rsidR="00C85044">
            <w:instrText xml:space="preserve">CITATION RP_251881 \l 2057 </w:instrText>
          </w:r>
          <w:r>
            <w:fldChar w:fldCharType="separate"/>
          </w:r>
          <w:r w:rsidR="00CD1669" w:rsidRPr="00CD1669">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190C17">
        <w:rPr>
          <w:rFonts w:eastAsia="Times New Roman"/>
          <w:szCs w:val="24"/>
          <w:highlight w:val="yellow"/>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Improved spectrum utilization and operations </w:t>
      </w:r>
      <w:proofErr w:type="gramStart"/>
      <w:r w:rsidRPr="00DA3431">
        <w:rPr>
          <w:rFonts w:eastAsia="Times New Roman"/>
          <w:szCs w:val="24"/>
        </w:rPr>
        <w:t>taking into account</w:t>
      </w:r>
      <w:proofErr w:type="gramEnd"/>
      <w:r w:rsidRPr="00DA3431">
        <w:rPr>
          <w:rFonts w:eastAsia="Times New Roman"/>
          <w:szCs w:val="24"/>
        </w:rPr>
        <w:t xml:space="preserve"> diverse spectrum allocations.</w:t>
      </w:r>
    </w:p>
    <w:p w14:paraId="4DCED88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using common 6G Radio design, which meets mobile broadband service requirements as high priority, to also meet vertical needs.</w:t>
      </w:r>
    </w:p>
    <w:p w14:paraId="1356A0D9"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a harmonized 6G Radio design for TN and NTN, including their integration.</w:t>
      </w:r>
    </w:p>
    <w:p w14:paraId="7D654F76"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System simplification, including reducing configuration complexity, enabling more efficient Cell/UE management, etc.</w:t>
      </w:r>
    </w:p>
    <w:p w14:paraId="675EC983" w14:textId="30616849" w:rsidR="00C50F82" w:rsidRDefault="00DA3431" w:rsidP="00890721">
      <w:pPr>
        <w:overflowPunct/>
        <w:autoSpaceDE/>
        <w:autoSpaceDN/>
        <w:adjustRightInd/>
        <w:snapToGrid w:val="0"/>
        <w:spacing w:after="0"/>
        <w:ind w:left="1080"/>
        <w:textAlignment w:val="auto"/>
      </w:pPr>
      <w:r w:rsidRPr="00DA3431">
        <w:rPr>
          <w:rFonts w:eastAsia="Times New Roman"/>
          <w:szCs w:val="24"/>
        </w:rPr>
        <w:t xml:space="preserve">Note1: the term stand-alone architecture does not imply any </w:t>
      </w:r>
      <w:proofErr w:type="gramStart"/>
      <w:r w:rsidRPr="00DA3431">
        <w:rPr>
          <w:rFonts w:eastAsia="Times New Roman"/>
          <w:szCs w:val="24"/>
        </w:rPr>
        <w:t>particular Core</w:t>
      </w:r>
      <w:proofErr w:type="gramEnd"/>
      <w:r w:rsidRPr="00DA3431">
        <w:rPr>
          <w:rFonts w:eastAsia="Times New Roman"/>
          <w:szCs w:val="24"/>
        </w:rPr>
        <w:t xml:space="preserve"> network architecture, which is up to SA2 discussion.</w:t>
      </w:r>
    </w:p>
    <w:p w14:paraId="2EF34BE3" w14:textId="1396EB48"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8205D4" w:rsidRPr="002E6B47">
        <w:t xml:space="preserve">the </w:t>
      </w:r>
      <w:r w:rsidR="002E6B47">
        <w:t>a</w:t>
      </w:r>
      <w:r w:rsidR="002E6B47" w:rsidRPr="002E6B47">
        <w:t xml:space="preserve">ir </w:t>
      </w:r>
      <w:r w:rsidR="002E6B47">
        <w:t>i</w:t>
      </w:r>
      <w:r w:rsidR="002E6B47" w:rsidRPr="002E6B47">
        <w:t xml:space="preserve">nterface </w:t>
      </w:r>
      <w:r w:rsidR="002E6982" w:rsidRPr="002E6B47">
        <w:t>for</w:t>
      </w:r>
      <w:r w:rsidR="002E6982">
        <w:t xml:space="preserve"> 6GR.</w:t>
      </w:r>
    </w:p>
    <w:p w14:paraId="46B82012" w14:textId="77777777" w:rsidR="00BF588E" w:rsidRDefault="00BF588E" w:rsidP="00BF588E">
      <w:pPr>
        <w:pStyle w:val="Heading1"/>
      </w:pPr>
      <w:r>
        <w:t>Discussion</w:t>
      </w:r>
    </w:p>
    <w:p w14:paraId="5638363E" w14:textId="0105D3F3" w:rsidR="00014C00" w:rsidRDefault="00014C00" w:rsidP="00BF588E">
      <w:pPr>
        <w:pStyle w:val="Heading2"/>
      </w:pPr>
      <w:r>
        <w:t>Characterization and Categorization of 6GR Device Types for Scalable Design</w:t>
      </w:r>
    </w:p>
    <w:p w14:paraId="1A261DE9" w14:textId="66573B40" w:rsidR="00480541" w:rsidRDefault="00480541" w:rsidP="00480541">
      <w:r>
        <w:t xml:space="preserve">According to the following agreements </w:t>
      </w:r>
      <w:r w:rsidR="00975D3C">
        <w:t>i</w:t>
      </w:r>
      <w:r>
        <w:t>n RAN1 #122 meetings</w:t>
      </w:r>
      <w:r w:rsidR="00E06666">
        <w:t xml:space="preserve"> </w:t>
      </w:r>
      <w:sdt>
        <w:sdtPr>
          <w:id w:val="-1286265598"/>
          <w:citation/>
        </w:sdtPr>
        <w:sdtContent>
          <w:r w:rsidR="00E06666">
            <w:fldChar w:fldCharType="begin"/>
          </w:r>
          <w:r w:rsidR="00E06666">
            <w:instrText xml:space="preserve"> CITATION RAN1_122 \l 2057 </w:instrText>
          </w:r>
          <w:r w:rsidR="00E06666">
            <w:fldChar w:fldCharType="separate"/>
          </w:r>
          <w:r w:rsidR="00CD1669" w:rsidRPr="00CD1669">
            <w:rPr>
              <w:noProof/>
            </w:rPr>
            <w:t>[2]</w:t>
          </w:r>
          <w:r w:rsidR="00E06666">
            <w:fldChar w:fldCharType="end"/>
          </w:r>
        </w:sdtContent>
      </w:sdt>
      <w:r w:rsidR="00E06666">
        <w:t>,</w:t>
      </w:r>
    </w:p>
    <w:tbl>
      <w:tblPr>
        <w:tblStyle w:val="TableGrid"/>
        <w:tblW w:w="9634" w:type="dxa"/>
        <w:tblLook w:val="04A0" w:firstRow="1" w:lastRow="0" w:firstColumn="1" w:lastColumn="0" w:noHBand="0" w:noVBand="1"/>
      </w:tblPr>
      <w:tblGrid>
        <w:gridCol w:w="9634"/>
      </w:tblGrid>
      <w:tr w:rsidR="00480541" w14:paraId="4DC3C493" w14:textId="77777777" w:rsidTr="00F7320F">
        <w:tc>
          <w:tcPr>
            <w:tcW w:w="9634" w:type="dxa"/>
            <w:tcBorders>
              <w:top w:val="single" w:sz="4" w:space="0" w:color="auto"/>
              <w:left w:val="single" w:sz="4" w:space="0" w:color="auto"/>
              <w:bottom w:val="single" w:sz="4" w:space="0" w:color="auto"/>
              <w:right w:val="single" w:sz="4" w:space="0" w:color="auto"/>
            </w:tcBorders>
          </w:tcPr>
          <w:p w14:paraId="435644B8" w14:textId="77777777" w:rsidR="00480541" w:rsidRPr="00152A86" w:rsidRDefault="00480541" w:rsidP="00F7320F">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5F970ED9" w14:textId="77777777" w:rsidR="00480541" w:rsidRPr="00152A86" w:rsidRDefault="00480541" w:rsidP="00F7320F">
            <w:pPr>
              <w:overflowPunct/>
              <w:autoSpaceDE/>
              <w:autoSpaceDN/>
              <w:adjustRightInd/>
              <w:spacing w:after="0"/>
              <w:textAlignment w:val="auto"/>
              <w:rPr>
                <w:rFonts w:eastAsia="Batang"/>
                <w:szCs w:val="24"/>
                <w:lang w:val="en-US"/>
              </w:rPr>
            </w:pPr>
            <w:r w:rsidRPr="00152A86">
              <w:rPr>
                <w:rFonts w:eastAsia="Batang"/>
                <w:szCs w:val="24"/>
                <w:lang w:val="en-US"/>
              </w:rPr>
              <w:t>Study a scalable 6GR design for diverse device types</w:t>
            </w:r>
            <w:r w:rsidRPr="00152A86">
              <w:rPr>
                <w:rFonts w:eastAsia="Batang"/>
                <w:szCs w:val="24"/>
                <w:lang w:val="en-US" w:eastAsia="zh-CN"/>
              </w:rPr>
              <w:t xml:space="preserve">, considering </w:t>
            </w:r>
            <w:r w:rsidRPr="00152A86">
              <w:rPr>
                <w:rFonts w:eastAsia="Batang"/>
                <w:szCs w:val="24"/>
                <w:lang w:val="en-US"/>
              </w:rPr>
              <w:t>aspects:</w:t>
            </w:r>
          </w:p>
          <w:p w14:paraId="41218A07" w14:textId="77777777" w:rsidR="00480541" w:rsidRPr="00152A86" w:rsidRDefault="00480541" w:rsidP="00DE026A">
            <w:pPr>
              <w:numPr>
                <w:ilvl w:val="0"/>
                <w:numId w:val="10"/>
              </w:numPr>
              <w:overflowPunct/>
              <w:autoSpaceDE/>
              <w:autoSpaceDN/>
              <w:adjustRightInd/>
              <w:spacing w:after="0"/>
              <w:contextualSpacing/>
              <w:textAlignment w:val="auto"/>
              <w:rPr>
                <w:lang w:val="en-US" w:eastAsia="ja-JP"/>
              </w:rPr>
            </w:pPr>
            <w:r w:rsidRPr="00152A86">
              <w:rPr>
                <w:lang w:val="en-US" w:eastAsia="zh-CN"/>
              </w:rPr>
              <w:t xml:space="preserve">What should be </w:t>
            </w:r>
            <w:r w:rsidRPr="00152A86">
              <w:rPr>
                <w:lang w:val="en-US" w:eastAsia="ja-JP"/>
              </w:rPr>
              <w:t>commonly applicable to all 6G device types</w:t>
            </w:r>
          </w:p>
          <w:p w14:paraId="3EB8F74C" w14:textId="77777777" w:rsidR="00480541" w:rsidRPr="00152A86" w:rsidRDefault="00480541" w:rsidP="00DE026A">
            <w:pPr>
              <w:numPr>
                <w:ilvl w:val="0"/>
                <w:numId w:val="10"/>
              </w:numPr>
              <w:overflowPunct/>
              <w:autoSpaceDE/>
              <w:autoSpaceDN/>
              <w:adjustRightInd/>
              <w:spacing w:after="0"/>
              <w:contextualSpacing/>
              <w:textAlignment w:val="auto"/>
              <w:rPr>
                <w:lang w:val="en-US" w:eastAsia="ja-JP"/>
              </w:rPr>
            </w:pPr>
            <w:r w:rsidRPr="00152A86">
              <w:rPr>
                <w:lang w:val="en-US" w:eastAsia="ja-JP"/>
              </w:rPr>
              <w:t>FFS: add-on features dedicated to specific device types, if any</w:t>
            </w:r>
          </w:p>
          <w:p w14:paraId="58F406C2" w14:textId="77777777" w:rsidR="00480541" w:rsidRPr="00417A9E" w:rsidRDefault="00480541" w:rsidP="00F7320F">
            <w:pPr>
              <w:overflowPunct/>
              <w:autoSpaceDE/>
              <w:autoSpaceDN/>
              <w:adjustRightInd/>
              <w:spacing w:after="0"/>
              <w:textAlignment w:val="auto"/>
              <w:rPr>
                <w:rFonts w:eastAsia="Batang"/>
                <w:szCs w:val="24"/>
                <w:highlight w:val="green"/>
                <w:lang w:val="en-US" w:eastAsia="zh-CN"/>
              </w:rPr>
            </w:pPr>
          </w:p>
          <w:p w14:paraId="24B42CC0" w14:textId="77777777" w:rsidR="00480541" w:rsidRPr="00152A86" w:rsidRDefault="00480541" w:rsidP="00F7320F">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2F258749" w14:textId="77777777" w:rsidR="00480541" w:rsidRPr="00152A86" w:rsidRDefault="00480541" w:rsidP="00F7320F">
            <w:pPr>
              <w:overflowPunct/>
              <w:autoSpaceDE/>
              <w:autoSpaceDN/>
              <w:adjustRightInd/>
              <w:spacing w:after="0"/>
              <w:textAlignment w:val="auto"/>
              <w:rPr>
                <w:rFonts w:ascii="Times" w:eastAsia="Batang" w:hAnsi="Times"/>
                <w:szCs w:val="24"/>
                <w:lang w:val="en-US"/>
              </w:rPr>
            </w:pPr>
            <w:r w:rsidRPr="00152A86">
              <w:rPr>
                <w:rFonts w:eastAsia="Batang"/>
                <w:szCs w:val="24"/>
                <w:lang w:val="en-US"/>
              </w:rPr>
              <w:t>Study</w:t>
            </w:r>
            <w:r w:rsidRPr="00152A86">
              <w:rPr>
                <w:rFonts w:eastAsia="Batang"/>
                <w:szCs w:val="24"/>
                <w:lang w:val="en-US" w:eastAsia="zh-CN"/>
              </w:rPr>
              <w:t xml:space="preserve"> the </w:t>
            </w:r>
            <w:r w:rsidRPr="00152A86">
              <w:rPr>
                <w:rFonts w:eastAsia="Batang"/>
                <w:szCs w:val="24"/>
                <w:lang w:val="en-US"/>
              </w:rPr>
              <w:t xml:space="preserve">device types </w:t>
            </w:r>
            <w:r w:rsidRPr="00152A86">
              <w:rPr>
                <w:rFonts w:eastAsia="Batang"/>
                <w:szCs w:val="24"/>
                <w:lang w:val="en-US" w:eastAsia="zh-CN"/>
              </w:rPr>
              <w:t xml:space="preserve">from physical layer perspective to be </w:t>
            </w:r>
            <w:r w:rsidRPr="00152A86">
              <w:rPr>
                <w:rFonts w:eastAsia="Batang"/>
                <w:szCs w:val="24"/>
                <w:lang w:val="en-US"/>
              </w:rPr>
              <w:t>suppor</w:t>
            </w:r>
            <w:r w:rsidRPr="00152A86">
              <w:rPr>
                <w:rFonts w:eastAsia="Batang"/>
                <w:szCs w:val="24"/>
                <w:lang w:val="en-US" w:eastAsia="zh-CN"/>
              </w:rPr>
              <w:t>t</w:t>
            </w:r>
            <w:r w:rsidRPr="00152A86">
              <w:rPr>
                <w:rFonts w:eastAsia="Batang"/>
                <w:szCs w:val="24"/>
                <w:lang w:val="en-US"/>
              </w:rPr>
              <w:t>ed by 6GR</w:t>
            </w:r>
            <w:r w:rsidRPr="00152A86">
              <w:rPr>
                <w:rFonts w:eastAsia="Batang"/>
                <w:szCs w:val="24"/>
                <w:lang w:val="en-US" w:eastAsia="zh-CN"/>
              </w:rPr>
              <w:t>, subject to further discussion and confirmation in RAN.</w:t>
            </w:r>
          </w:p>
        </w:tc>
      </w:tr>
    </w:tbl>
    <w:p w14:paraId="77235699" w14:textId="434BFD77" w:rsidR="00480541" w:rsidRDefault="00480541" w:rsidP="000F05F6">
      <w:pPr>
        <w:spacing w:before="120"/>
      </w:pPr>
      <w:r w:rsidRPr="00F45D6A">
        <w:t xml:space="preserve">RAN1 #122 </w:t>
      </w:r>
      <w:r w:rsidR="00190C17">
        <w:t xml:space="preserve">has </w:t>
      </w:r>
      <w:r w:rsidRPr="00F45D6A">
        <w:t>agreed to initiate a study on a scalable 6GR physical layer design framework that accommodates a broad spectrum of device types. The study will explore a common baseline architecture with optional FFS</w:t>
      </w:r>
      <w:r w:rsidR="00AF3CAA">
        <w:t xml:space="preserve"> </w:t>
      </w:r>
      <w:r w:rsidRPr="00F45D6A">
        <w:lastRenderedPageBreak/>
        <w:t>enhancements to support device-specific capabilities. Additionally, RAN1 endorsed further investigation into device classification from a physical layer standpoint, with scope and methodology subject to ongoing discussion.</w:t>
      </w:r>
    </w:p>
    <w:p w14:paraId="037427C3" w14:textId="21BE18FB" w:rsidR="00480541" w:rsidRDefault="00480541" w:rsidP="00480541">
      <w:r w:rsidRPr="00394FCF">
        <w:t>A clear understanding and categorization of 6GR device types are fundamental to designing a truly scalable air interface that can efficiently support a wide range of applications, from ultra-low-power IoT to high-performance XR devices. Defining common features and specific add-ons early can prevent unnecessary complexity.</w:t>
      </w:r>
    </w:p>
    <w:p w14:paraId="68488444" w14:textId="06353202" w:rsidR="0096212D" w:rsidRPr="0096212D" w:rsidRDefault="0096212D" w:rsidP="0096212D">
      <w:r w:rsidRPr="0096212D">
        <w:t>To ensure alignment between service-level expectations and physical layer capabilities in 6G</w:t>
      </w:r>
      <w:r w:rsidR="00921044">
        <w:t>R</w:t>
      </w:r>
      <w:r w:rsidRPr="0096212D">
        <w:t>, we propose a structured methodology for mapping SA1-defined use cases and requirements to distinct physical layer device categories. This approach begins with RAN1 explicitly identifying the authoritative SA1 documents</w:t>
      </w:r>
      <w:r w:rsidR="00FC48E3">
        <w:t xml:space="preserve"> </w:t>
      </w:r>
      <w:r w:rsidRPr="0096212D">
        <w:t>that comprehensively define the 6G use cases and their associated KPIs.</w:t>
      </w:r>
    </w:p>
    <w:p w14:paraId="410709A2" w14:textId="78317FD9" w:rsidR="0096212D" w:rsidRPr="0096212D" w:rsidRDefault="0096212D" w:rsidP="0096212D">
      <w:r w:rsidRPr="0096212D">
        <w:t>Once these foundational SA1 documents are available, we will systematically map each primary 6G</w:t>
      </w:r>
      <w:r w:rsidR="00FC3CE9">
        <w:t>R</w:t>
      </w:r>
      <w:r w:rsidRPr="0096212D">
        <w:t xml:space="preserve"> use case family or service category to </w:t>
      </w:r>
      <w:proofErr w:type="gramStart"/>
      <w:r w:rsidRPr="0096212D">
        <w:t>corresponding</w:t>
      </w:r>
      <w:proofErr w:type="gramEnd"/>
      <w:r w:rsidRPr="0096212D">
        <w:t xml:space="preserve"> physical layer device categories. This mapping will serve as a bridge between high-level service requirements and the technical specifications needed at the physical layer to support them.</w:t>
      </w:r>
    </w:p>
    <w:p w14:paraId="6AEC356F" w14:textId="77777777" w:rsidR="0096212D" w:rsidRDefault="0096212D" w:rsidP="00B81CC0">
      <w:pPr>
        <w:tabs>
          <w:tab w:val="num" w:pos="720"/>
        </w:tabs>
        <w:spacing w:after="0"/>
      </w:pPr>
      <w:r w:rsidRPr="0096212D">
        <w:t>For each use case or service defined by SA1, we will derive the dominant physical layer requirements. These requirements will inform the definition of device capabilities and guide the development of PHY layer features. The key physical layer parameters to be considered include:</w:t>
      </w:r>
    </w:p>
    <w:p w14:paraId="37C03196"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Throughput and Bandwidth:</w:t>
      </w:r>
      <w:r w:rsidRPr="00B81CC0">
        <w:rPr>
          <w:sz w:val="20"/>
          <w:szCs w:val="20"/>
          <w:lang w:val="en-GB"/>
        </w:rPr>
        <w:t xml:space="preserve"> Metrics such as peak and sustained data rates.</w:t>
      </w:r>
    </w:p>
    <w:p w14:paraId="50C8DDBD"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Latency:</w:t>
      </w:r>
      <w:r w:rsidRPr="0096212D">
        <w:rPr>
          <w:sz w:val="20"/>
          <w:szCs w:val="20"/>
          <w:lang w:val="en-GB"/>
        </w:rPr>
        <w:t xml:space="preserve"> Including both end-to-end and air interface latency targets.</w:t>
      </w:r>
    </w:p>
    <w:p w14:paraId="306B4097"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Reliability:</w:t>
      </w:r>
      <w:r w:rsidRPr="0096212D">
        <w:rPr>
          <w:sz w:val="20"/>
          <w:szCs w:val="20"/>
          <w:lang w:val="en-GB"/>
        </w:rPr>
        <w:t xml:space="preserve"> Defined by parameters like block error rate and service availability.</w:t>
      </w:r>
    </w:p>
    <w:p w14:paraId="46A2DF62"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Connection Density:</w:t>
      </w:r>
      <w:r w:rsidRPr="0096212D">
        <w:rPr>
          <w:sz w:val="20"/>
          <w:szCs w:val="20"/>
          <w:lang w:val="en-GB"/>
        </w:rPr>
        <w:t xml:space="preserve"> The number of supported devices per unit area.</w:t>
      </w:r>
    </w:p>
    <w:p w14:paraId="5E7A2D40"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Power Consumption:</w:t>
      </w:r>
      <w:r w:rsidRPr="0096212D">
        <w:rPr>
          <w:sz w:val="20"/>
          <w:szCs w:val="20"/>
          <w:lang w:val="en-GB"/>
        </w:rPr>
        <w:t xml:space="preserve"> Battery life and energy efficiency per transmitted bit.</w:t>
      </w:r>
    </w:p>
    <w:p w14:paraId="32D551E9"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Mobility Support:</w:t>
      </w:r>
      <w:r w:rsidRPr="0096212D">
        <w:rPr>
          <w:sz w:val="20"/>
          <w:szCs w:val="20"/>
          <w:lang w:val="en-GB"/>
        </w:rPr>
        <w:t xml:space="preserve"> Maximum supported speed and handover interruption times.</w:t>
      </w:r>
    </w:p>
    <w:p w14:paraId="3AC8AF0B"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Sensing Capabilities:</w:t>
      </w:r>
      <w:r w:rsidRPr="0096212D">
        <w:rPr>
          <w:sz w:val="20"/>
          <w:szCs w:val="20"/>
          <w:lang w:val="en-GB"/>
        </w:rPr>
        <w:t xml:space="preserve"> Resolution, accuracy, and range for integrated sensing functions.</w:t>
      </w:r>
    </w:p>
    <w:p w14:paraId="5A5A230D" w14:textId="77777777" w:rsidR="0096212D" w:rsidRPr="003D0A47" w:rsidRDefault="0096212D" w:rsidP="00DE026A">
      <w:pPr>
        <w:pStyle w:val="ListParagraph"/>
        <w:numPr>
          <w:ilvl w:val="0"/>
          <w:numId w:val="11"/>
        </w:numPr>
        <w:rPr>
          <w:sz w:val="20"/>
          <w:szCs w:val="20"/>
          <w:lang w:val="en-GB"/>
        </w:rPr>
      </w:pPr>
      <w:r w:rsidRPr="00BB1A73">
        <w:rPr>
          <w:b/>
          <w:bCs/>
          <w:sz w:val="20"/>
          <w:szCs w:val="20"/>
          <w:lang w:val="en-GB"/>
        </w:rPr>
        <w:t>AI/ML Processing:</w:t>
      </w:r>
      <w:r w:rsidRPr="0096212D">
        <w:rPr>
          <w:sz w:val="20"/>
          <w:szCs w:val="20"/>
          <w:lang w:val="en-GB"/>
        </w:rPr>
        <w:t xml:space="preserve"> Computational demands and data exchange rates for AI/ML tasks.</w:t>
      </w:r>
    </w:p>
    <w:p w14:paraId="1309DE38" w14:textId="77777777" w:rsidR="0096212D" w:rsidRPr="00B81CC0" w:rsidRDefault="0096212D" w:rsidP="00DE026A">
      <w:pPr>
        <w:pStyle w:val="ListParagraph"/>
        <w:numPr>
          <w:ilvl w:val="0"/>
          <w:numId w:val="11"/>
        </w:numPr>
        <w:rPr>
          <w:sz w:val="20"/>
          <w:szCs w:val="20"/>
          <w:lang w:val="en-GB"/>
        </w:rPr>
      </w:pPr>
      <w:r w:rsidRPr="00BB1A73">
        <w:rPr>
          <w:b/>
          <w:bCs/>
          <w:sz w:val="20"/>
          <w:szCs w:val="20"/>
          <w:lang w:val="en-GB"/>
        </w:rPr>
        <w:t>Antenna Configurations:</w:t>
      </w:r>
      <w:r w:rsidRPr="0096212D">
        <w:rPr>
          <w:sz w:val="20"/>
          <w:szCs w:val="20"/>
          <w:lang w:val="en-GB"/>
        </w:rPr>
        <w:t xml:space="preserve"> Number of antenna elements, panel count, and beamforming </w:t>
      </w:r>
      <w:r w:rsidRPr="00B81CC0">
        <w:rPr>
          <w:sz w:val="20"/>
          <w:szCs w:val="20"/>
          <w:lang w:val="en-GB"/>
        </w:rPr>
        <w:t>c</w:t>
      </w:r>
      <w:r w:rsidRPr="0096212D">
        <w:rPr>
          <w:sz w:val="20"/>
          <w:szCs w:val="20"/>
          <w:lang w:val="en-GB"/>
        </w:rPr>
        <w:t>apabilities.</w:t>
      </w:r>
    </w:p>
    <w:p w14:paraId="52AC8F50" w14:textId="77777777" w:rsidR="0096212D" w:rsidRPr="00B81CC0" w:rsidRDefault="0096212D" w:rsidP="00DE026A">
      <w:pPr>
        <w:pStyle w:val="ListParagraph"/>
        <w:numPr>
          <w:ilvl w:val="0"/>
          <w:numId w:val="11"/>
        </w:numPr>
        <w:spacing w:after="180"/>
        <w:ind w:left="714" w:hanging="357"/>
        <w:rPr>
          <w:sz w:val="20"/>
          <w:szCs w:val="20"/>
          <w:lang w:val="en-GB"/>
        </w:rPr>
      </w:pPr>
      <w:r w:rsidRPr="00BB1A73">
        <w:rPr>
          <w:b/>
          <w:bCs/>
          <w:sz w:val="20"/>
          <w:szCs w:val="20"/>
          <w:lang w:val="en-GB"/>
        </w:rPr>
        <w:t>Processing Capability:</w:t>
      </w:r>
      <w:r w:rsidRPr="0096212D">
        <w:rPr>
          <w:sz w:val="20"/>
          <w:szCs w:val="20"/>
          <w:lang w:val="en-GB"/>
        </w:rPr>
        <w:t xml:space="preserve"> Required computational resources for baseband and signal processing.</w:t>
      </w:r>
    </w:p>
    <w:p w14:paraId="1DFE2AA0" w14:textId="427C24AC" w:rsidR="0096212D" w:rsidRDefault="0096212D" w:rsidP="00B81CC0">
      <w:pPr>
        <w:tabs>
          <w:tab w:val="num" w:pos="720"/>
        </w:tabs>
      </w:pPr>
      <w:r w:rsidRPr="00B81CC0">
        <w:t>This mapping framework will enable a coherent and scalable design of 6G physical layer technologies, ensuring that device categories are optimally tailored to meet the diverse and demanding requirements of future 6G services.</w:t>
      </w:r>
      <w:r w:rsidR="000A70B7">
        <w:t xml:space="preserve"> Base</w:t>
      </w:r>
      <w:r w:rsidR="00B44F58">
        <w:t>d</w:t>
      </w:r>
      <w:r w:rsidR="000A70B7">
        <w:t xml:space="preserve"> on </w:t>
      </w:r>
      <w:r w:rsidR="00D360EF">
        <w:t>the above discussions</w:t>
      </w:r>
      <w:r w:rsidR="000A70B7">
        <w:t>, we propose the following:</w:t>
      </w:r>
    </w:p>
    <w:p w14:paraId="194CA411" w14:textId="085182B4" w:rsidR="008C25BD" w:rsidRPr="00C41AD9" w:rsidRDefault="008C25BD" w:rsidP="00C41AD9">
      <w:pPr>
        <w:tabs>
          <w:tab w:val="num" w:pos="720"/>
        </w:tabs>
        <w:spacing w:after="0"/>
        <w:rPr>
          <w:i/>
          <w:iCs/>
          <w:lang w:val="en-US"/>
        </w:rPr>
      </w:pPr>
      <w:r w:rsidRPr="00AF0CFA">
        <w:rPr>
          <w:b/>
          <w:bCs/>
          <w:i/>
          <w:iCs/>
          <w:lang w:val="en-US"/>
        </w:rPr>
        <w:t>Proposal 1</w:t>
      </w:r>
      <w:bookmarkStart w:id="0" w:name="_Hlk210033971"/>
      <w:r w:rsidRPr="00AF0CFA">
        <w:rPr>
          <w:b/>
          <w:bCs/>
          <w:i/>
          <w:iCs/>
          <w:lang w:val="en-US"/>
        </w:rPr>
        <w:t>:</w:t>
      </w:r>
      <w:r w:rsidRPr="00AF0CFA">
        <w:rPr>
          <w:i/>
          <w:iCs/>
          <w:lang w:val="en-US"/>
        </w:rPr>
        <w:t xml:space="preserve"> RAN1 identifies and references the authoritative SA1 documents</w:t>
      </w:r>
      <w:r w:rsidR="00536B43" w:rsidRPr="00AF0CFA">
        <w:rPr>
          <w:i/>
          <w:iCs/>
          <w:lang w:val="en-US"/>
        </w:rPr>
        <w:t>, including the</w:t>
      </w:r>
      <w:r w:rsidRPr="00AF0CFA">
        <w:rPr>
          <w:i/>
          <w:iCs/>
          <w:lang w:val="en-US"/>
        </w:rPr>
        <w:t xml:space="preserve"> TR 22.8</w:t>
      </w:r>
      <w:r w:rsidR="0097052C">
        <w:rPr>
          <w:i/>
          <w:iCs/>
          <w:lang w:val="en-US"/>
        </w:rPr>
        <w:t>xx</w:t>
      </w:r>
      <w:r w:rsidRPr="00AF0CFA">
        <w:rPr>
          <w:i/>
          <w:iCs/>
          <w:lang w:val="en-US"/>
        </w:rPr>
        <w:t xml:space="preserve"> series</w:t>
      </w:r>
      <w:r w:rsidR="00536B43" w:rsidRPr="00AF0CFA">
        <w:rPr>
          <w:i/>
          <w:iCs/>
          <w:lang w:val="en-US"/>
        </w:rPr>
        <w:t xml:space="preserve">, </w:t>
      </w:r>
      <w:r w:rsidRPr="00AF0CFA">
        <w:rPr>
          <w:i/>
          <w:iCs/>
          <w:lang w:val="en-US"/>
        </w:rPr>
        <w:t>that comprehensively define 6G</w:t>
      </w:r>
      <w:r w:rsidR="00E27D9B">
        <w:rPr>
          <w:i/>
          <w:iCs/>
          <w:lang w:val="en-US"/>
        </w:rPr>
        <w:t>R</w:t>
      </w:r>
      <w:r w:rsidRPr="00AF0CFA">
        <w:rPr>
          <w:i/>
          <w:iCs/>
          <w:lang w:val="en-US"/>
        </w:rPr>
        <w:t xml:space="preserve"> use cases and their associated KPIs</w:t>
      </w:r>
      <w:r w:rsidR="00536B43" w:rsidRPr="00AF0CFA">
        <w:rPr>
          <w:i/>
          <w:iCs/>
          <w:lang w:val="en-US"/>
        </w:rPr>
        <w:t xml:space="preserve"> to ensure</w:t>
      </w:r>
      <w:r w:rsidRPr="00AF0CFA">
        <w:rPr>
          <w:i/>
          <w:iCs/>
          <w:lang w:val="en-US"/>
        </w:rPr>
        <w:t xml:space="preserve"> that all subsequent technical work </w:t>
      </w:r>
      <w:r w:rsidR="00EA7480">
        <w:rPr>
          <w:i/>
          <w:iCs/>
          <w:lang w:val="en-US"/>
        </w:rPr>
        <w:t xml:space="preserve">on 6GR </w:t>
      </w:r>
      <w:r w:rsidRPr="00AF0CFA">
        <w:rPr>
          <w:i/>
          <w:iCs/>
          <w:lang w:val="en-US"/>
        </w:rPr>
        <w:t xml:space="preserve">is grounded in a </w:t>
      </w:r>
      <w:r w:rsidRPr="00C41AD9">
        <w:rPr>
          <w:i/>
          <w:iCs/>
          <w:lang w:val="en-US"/>
        </w:rPr>
        <w:t>consistent and validated set of service-level requirements, enabling coherent cross-layer alignment throughout the standardization process.</w:t>
      </w:r>
    </w:p>
    <w:p w14:paraId="53D17A81" w14:textId="79E8B701" w:rsidR="00C41AD9" w:rsidRPr="00C41AD9" w:rsidRDefault="00C41AD9" w:rsidP="00C41AD9">
      <w:pPr>
        <w:pStyle w:val="ListParagraph"/>
        <w:numPr>
          <w:ilvl w:val="0"/>
          <w:numId w:val="15"/>
        </w:numPr>
        <w:tabs>
          <w:tab w:val="num" w:pos="720"/>
        </w:tabs>
        <w:spacing w:after="180"/>
        <w:ind w:left="714" w:hanging="357"/>
        <w:rPr>
          <w:i/>
          <w:iCs/>
          <w:sz w:val="20"/>
          <w:szCs w:val="20"/>
          <w:lang w:val="en-US"/>
        </w:rPr>
      </w:pPr>
      <w:commentRangeStart w:id="1"/>
      <w:r w:rsidRPr="00C41AD9">
        <w:rPr>
          <w:i/>
          <w:iCs/>
          <w:sz w:val="20"/>
          <w:szCs w:val="20"/>
          <w:lang w:val="en-US"/>
        </w:rPr>
        <w:t>A LS to SA1 may be needed</w:t>
      </w:r>
      <w:commentRangeEnd w:id="1"/>
      <w:r w:rsidR="00EA722A">
        <w:rPr>
          <w:rStyle w:val="CommentReference"/>
          <w:rFonts w:eastAsia="MS Mincho"/>
          <w:szCs w:val="20"/>
          <w:lang w:val="en-GB" w:eastAsia="en-US"/>
        </w:rPr>
        <w:commentReference w:id="1"/>
      </w:r>
      <w:r w:rsidRPr="00C41AD9">
        <w:rPr>
          <w:i/>
          <w:iCs/>
          <w:sz w:val="20"/>
          <w:szCs w:val="20"/>
          <w:lang w:val="en-US"/>
        </w:rPr>
        <w:t>.</w:t>
      </w:r>
    </w:p>
    <w:p w14:paraId="020A5C64" w14:textId="4D1A0C9B" w:rsidR="008C25BD" w:rsidRPr="00AF0CFA" w:rsidRDefault="008C25BD" w:rsidP="008C25BD">
      <w:pPr>
        <w:tabs>
          <w:tab w:val="num" w:pos="720"/>
        </w:tabs>
        <w:rPr>
          <w:i/>
          <w:iCs/>
          <w:lang w:val="en-US"/>
        </w:rPr>
      </w:pPr>
      <w:r w:rsidRPr="00AF0CFA">
        <w:rPr>
          <w:b/>
          <w:bCs/>
          <w:i/>
          <w:iCs/>
          <w:lang w:val="en-US"/>
        </w:rPr>
        <w:t>Proposal 2:</w:t>
      </w:r>
      <w:r w:rsidR="00225CCA" w:rsidRPr="00AF0CFA">
        <w:rPr>
          <w:i/>
          <w:iCs/>
          <w:lang w:val="en-US"/>
        </w:rPr>
        <w:t xml:space="preserve"> </w:t>
      </w:r>
      <w:r w:rsidRPr="00AF0CFA">
        <w:rPr>
          <w:i/>
          <w:iCs/>
          <w:lang w:val="en-US"/>
        </w:rPr>
        <w:t xml:space="preserve">Once the SA1 documents are established, </w:t>
      </w:r>
      <w:r w:rsidR="002D54BD" w:rsidRPr="00AF0CFA">
        <w:rPr>
          <w:i/>
          <w:iCs/>
          <w:lang w:val="en-US"/>
        </w:rPr>
        <w:t xml:space="preserve">RAN1 </w:t>
      </w:r>
      <w:r w:rsidR="00CF0E31" w:rsidRPr="00AF0CFA">
        <w:rPr>
          <w:i/>
          <w:iCs/>
          <w:lang w:val="en-US"/>
        </w:rPr>
        <w:t xml:space="preserve">identifies </w:t>
      </w:r>
      <w:r w:rsidRPr="00AF0CFA">
        <w:rPr>
          <w:i/>
          <w:iCs/>
          <w:lang w:val="en-US"/>
        </w:rPr>
        <w:t>a systematic mapping of each primary 6G</w:t>
      </w:r>
      <w:r w:rsidR="00A449C8">
        <w:rPr>
          <w:i/>
          <w:iCs/>
          <w:lang w:val="en-US"/>
        </w:rPr>
        <w:t>R</w:t>
      </w:r>
      <w:r w:rsidRPr="00AF0CFA">
        <w:rPr>
          <w:i/>
          <w:iCs/>
          <w:lang w:val="en-US"/>
        </w:rPr>
        <w:t xml:space="preserve"> use case family or service category to distinct physical layer device </w:t>
      </w:r>
      <w:r w:rsidR="00E73173" w:rsidRPr="00AF0CFA">
        <w:rPr>
          <w:i/>
          <w:iCs/>
          <w:lang w:val="en-US"/>
        </w:rPr>
        <w:t>types</w:t>
      </w:r>
      <w:r w:rsidR="00CF0E31" w:rsidRPr="00AF0CFA">
        <w:rPr>
          <w:i/>
          <w:iCs/>
          <w:lang w:val="en-US"/>
        </w:rPr>
        <w:t xml:space="preserve"> to</w:t>
      </w:r>
      <w:r w:rsidRPr="00AF0CFA">
        <w:rPr>
          <w:i/>
          <w:iCs/>
          <w:lang w:val="en-US"/>
        </w:rPr>
        <w:t xml:space="preserve"> serve as a foundational framework to classify devices based on the specific service demands they are intended to support, facilitating targeted design and optimization of physical layer technologies.</w:t>
      </w:r>
    </w:p>
    <w:p w14:paraId="2D87642F" w14:textId="7D76B2F1" w:rsidR="002A6C75" w:rsidRPr="00FC3CE9" w:rsidRDefault="008C25BD" w:rsidP="002A6C75">
      <w:pPr>
        <w:tabs>
          <w:tab w:val="num" w:pos="720"/>
        </w:tabs>
        <w:spacing w:after="0"/>
        <w:rPr>
          <w:i/>
          <w:iCs/>
          <w:lang w:val="en-US"/>
        </w:rPr>
      </w:pPr>
      <w:r w:rsidRPr="00AF0CFA">
        <w:rPr>
          <w:b/>
          <w:bCs/>
          <w:i/>
          <w:iCs/>
          <w:lang w:val="en-US"/>
        </w:rPr>
        <w:t>Proposal 3:</w:t>
      </w:r>
      <w:r w:rsidRPr="00AF0CFA">
        <w:rPr>
          <w:i/>
          <w:iCs/>
          <w:lang w:val="en-US"/>
        </w:rPr>
        <w:t xml:space="preserve"> </w:t>
      </w:r>
      <w:r w:rsidR="002A6C75">
        <w:rPr>
          <w:i/>
          <w:iCs/>
          <w:lang w:val="en-US"/>
        </w:rPr>
        <w:t>Fo</w:t>
      </w:r>
      <w:r w:rsidR="002A6C75" w:rsidRPr="00FC3CE9">
        <w:rPr>
          <w:i/>
          <w:iCs/>
          <w:lang w:val="en-US"/>
        </w:rPr>
        <w:t>r each mapped use case or service category, RAN1 derives the dominant physical layer requirements that will guide the definition of device capabilities and PHY features, including</w:t>
      </w:r>
    </w:p>
    <w:p w14:paraId="3E1B24FC"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t</w:t>
      </w:r>
      <w:r w:rsidRPr="00FC3CE9">
        <w:rPr>
          <w:i/>
          <w:iCs/>
          <w:sz w:val="20"/>
          <w:szCs w:val="20"/>
          <w:lang w:val="en-US"/>
        </w:rPr>
        <w:t>hroughput</w:t>
      </w:r>
    </w:p>
    <w:p w14:paraId="32669D15"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l</w:t>
      </w:r>
      <w:r w:rsidRPr="00FC3CE9">
        <w:rPr>
          <w:i/>
          <w:iCs/>
          <w:sz w:val="20"/>
          <w:szCs w:val="20"/>
          <w:lang w:val="en-US"/>
        </w:rPr>
        <w:t>atency</w:t>
      </w:r>
    </w:p>
    <w:p w14:paraId="25A4F7B0"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r</w:t>
      </w:r>
      <w:r w:rsidRPr="00FC3CE9">
        <w:rPr>
          <w:i/>
          <w:iCs/>
          <w:sz w:val="20"/>
          <w:szCs w:val="20"/>
          <w:lang w:val="en-US"/>
        </w:rPr>
        <w:t>eliability</w:t>
      </w:r>
    </w:p>
    <w:p w14:paraId="44BED23C"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c</w:t>
      </w:r>
      <w:r w:rsidRPr="00FC3CE9">
        <w:rPr>
          <w:i/>
          <w:iCs/>
          <w:sz w:val="20"/>
          <w:szCs w:val="20"/>
          <w:lang w:val="en-US"/>
        </w:rPr>
        <w:t>onnection density</w:t>
      </w:r>
    </w:p>
    <w:p w14:paraId="67942395"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p</w:t>
      </w:r>
      <w:r w:rsidRPr="00FC3CE9">
        <w:rPr>
          <w:i/>
          <w:iCs/>
          <w:sz w:val="20"/>
          <w:szCs w:val="20"/>
          <w:lang w:val="en-US"/>
        </w:rPr>
        <w:t>ower consumption</w:t>
      </w:r>
    </w:p>
    <w:p w14:paraId="3925F886"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m</w:t>
      </w:r>
      <w:r w:rsidRPr="00FC3CE9">
        <w:rPr>
          <w:i/>
          <w:iCs/>
          <w:sz w:val="20"/>
          <w:szCs w:val="20"/>
          <w:lang w:val="en-US"/>
        </w:rPr>
        <w:t>obility support</w:t>
      </w:r>
    </w:p>
    <w:p w14:paraId="00BC0E04"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s</w:t>
      </w:r>
      <w:r w:rsidRPr="00FC3CE9">
        <w:rPr>
          <w:i/>
          <w:iCs/>
          <w:sz w:val="20"/>
          <w:szCs w:val="20"/>
          <w:lang w:val="en-US"/>
        </w:rPr>
        <w:t>ensing capabilities</w:t>
      </w:r>
    </w:p>
    <w:p w14:paraId="4972610E" w14:textId="77777777" w:rsidR="002A6C75" w:rsidRPr="00FC3CE9" w:rsidRDefault="002A6C75" w:rsidP="002A6C75">
      <w:pPr>
        <w:pStyle w:val="ListParagraph"/>
        <w:numPr>
          <w:ilvl w:val="0"/>
          <w:numId w:val="15"/>
        </w:numPr>
        <w:tabs>
          <w:tab w:val="num" w:pos="720"/>
        </w:tabs>
        <w:rPr>
          <w:sz w:val="20"/>
          <w:szCs w:val="20"/>
          <w:lang w:val="en-US"/>
        </w:rPr>
      </w:pPr>
      <w:r w:rsidRPr="00FC3CE9">
        <w:rPr>
          <w:i/>
          <w:iCs/>
          <w:sz w:val="20"/>
          <w:szCs w:val="20"/>
          <w:lang w:val="en-US"/>
        </w:rPr>
        <w:t>AI/ML processing demands</w:t>
      </w:r>
    </w:p>
    <w:p w14:paraId="4402395E" w14:textId="77777777" w:rsidR="002A6C75" w:rsidRPr="00FC3CE9" w:rsidRDefault="002A6C75" w:rsidP="002A6C75">
      <w:pPr>
        <w:pStyle w:val="ListParagraph"/>
        <w:numPr>
          <w:ilvl w:val="0"/>
          <w:numId w:val="15"/>
        </w:numPr>
        <w:tabs>
          <w:tab w:val="num" w:pos="720"/>
        </w:tabs>
        <w:rPr>
          <w:sz w:val="20"/>
          <w:szCs w:val="20"/>
          <w:lang w:val="en-US"/>
        </w:rPr>
      </w:pPr>
      <w:r>
        <w:rPr>
          <w:i/>
          <w:iCs/>
          <w:sz w:val="20"/>
          <w:szCs w:val="20"/>
          <w:lang w:val="en-US"/>
        </w:rPr>
        <w:t>a</w:t>
      </w:r>
      <w:r w:rsidRPr="00FC3CE9">
        <w:rPr>
          <w:i/>
          <w:iCs/>
          <w:sz w:val="20"/>
          <w:szCs w:val="20"/>
          <w:lang w:val="en-US"/>
        </w:rPr>
        <w:t>ntenna configurations</w:t>
      </w:r>
    </w:p>
    <w:p w14:paraId="245FA3F1" w14:textId="326FD69D" w:rsidR="002A6C75" w:rsidRPr="002A6C75" w:rsidRDefault="002A6C75" w:rsidP="002A6C75">
      <w:pPr>
        <w:pStyle w:val="ListParagraph"/>
        <w:numPr>
          <w:ilvl w:val="0"/>
          <w:numId w:val="15"/>
        </w:numPr>
        <w:tabs>
          <w:tab w:val="num" w:pos="720"/>
        </w:tabs>
        <w:spacing w:after="180"/>
        <w:ind w:left="714" w:hanging="357"/>
        <w:rPr>
          <w:sz w:val="20"/>
          <w:szCs w:val="20"/>
          <w:lang w:val="en-US"/>
        </w:rPr>
      </w:pPr>
      <w:r>
        <w:rPr>
          <w:i/>
          <w:iCs/>
          <w:sz w:val="20"/>
          <w:szCs w:val="20"/>
          <w:lang w:val="en-US"/>
        </w:rPr>
        <w:t>p</w:t>
      </w:r>
      <w:r w:rsidRPr="00FC3CE9">
        <w:rPr>
          <w:i/>
          <w:iCs/>
          <w:sz w:val="20"/>
          <w:szCs w:val="20"/>
          <w:lang w:val="en-US"/>
        </w:rPr>
        <w:t>rocessing capacity</w:t>
      </w:r>
      <w:r>
        <w:rPr>
          <w:i/>
          <w:iCs/>
          <w:sz w:val="20"/>
          <w:szCs w:val="20"/>
          <w:lang w:val="en-US"/>
        </w:rPr>
        <w:t>.</w:t>
      </w:r>
    </w:p>
    <w:bookmarkEnd w:id="0"/>
    <w:p w14:paraId="02947B1F" w14:textId="6741F255" w:rsidR="00CC1E86" w:rsidRDefault="00B23EE8" w:rsidP="00CC1E86">
      <w:r>
        <w:t>We illustrate t</w:t>
      </w:r>
      <w:r w:rsidR="00371F04">
        <w:t>he definition</w:t>
      </w:r>
      <w:r>
        <w:t xml:space="preserve"> of device types in the following table</w:t>
      </w:r>
      <w:r w:rsidR="00721A20">
        <w:t>:</w:t>
      </w:r>
    </w:p>
    <w:tbl>
      <w:tblPr>
        <w:tblStyle w:val="TableGrid"/>
        <w:tblW w:w="0" w:type="auto"/>
        <w:tblLook w:val="04A0" w:firstRow="1" w:lastRow="0" w:firstColumn="1" w:lastColumn="0" w:noHBand="0" w:noVBand="1"/>
      </w:tblPr>
      <w:tblGrid>
        <w:gridCol w:w="2407"/>
        <w:gridCol w:w="2407"/>
        <w:gridCol w:w="2407"/>
        <w:gridCol w:w="2408"/>
      </w:tblGrid>
      <w:tr w:rsidR="00721A20" w14:paraId="522645B9" w14:textId="77777777">
        <w:tc>
          <w:tcPr>
            <w:tcW w:w="2407" w:type="dxa"/>
          </w:tcPr>
          <w:p w14:paraId="7D117F9D" w14:textId="3AEC7D2B" w:rsidR="00721A20" w:rsidRPr="0088282C" w:rsidRDefault="00721A20" w:rsidP="0088282C">
            <w:pPr>
              <w:jc w:val="center"/>
              <w:rPr>
                <w:b/>
                <w:bCs/>
              </w:rPr>
            </w:pPr>
            <w:r w:rsidRPr="0088282C">
              <w:rPr>
                <w:b/>
                <w:bCs/>
              </w:rPr>
              <w:lastRenderedPageBreak/>
              <w:t>Device Type</w:t>
            </w:r>
          </w:p>
        </w:tc>
        <w:tc>
          <w:tcPr>
            <w:tcW w:w="2407" w:type="dxa"/>
          </w:tcPr>
          <w:p w14:paraId="2359AE5C" w14:textId="4DD10E1F" w:rsidR="00721A20" w:rsidRPr="0088282C" w:rsidRDefault="00721A20" w:rsidP="0088282C">
            <w:pPr>
              <w:jc w:val="center"/>
              <w:rPr>
                <w:b/>
                <w:bCs/>
              </w:rPr>
            </w:pPr>
            <w:r w:rsidRPr="0088282C">
              <w:rPr>
                <w:b/>
                <w:bCs/>
              </w:rPr>
              <w:t>Potential Use Cases</w:t>
            </w:r>
          </w:p>
        </w:tc>
        <w:tc>
          <w:tcPr>
            <w:tcW w:w="2407" w:type="dxa"/>
          </w:tcPr>
          <w:p w14:paraId="4282D0DE" w14:textId="04B85371" w:rsidR="00721A20" w:rsidRPr="0088282C" w:rsidRDefault="00675573" w:rsidP="0088282C">
            <w:pPr>
              <w:jc w:val="center"/>
              <w:rPr>
                <w:b/>
                <w:bCs/>
              </w:rPr>
            </w:pPr>
            <w:r w:rsidRPr="0088282C">
              <w:rPr>
                <w:b/>
                <w:bCs/>
              </w:rPr>
              <w:t>(Illustrative) KPI for Dominant PHY Requirements</w:t>
            </w:r>
          </w:p>
        </w:tc>
        <w:tc>
          <w:tcPr>
            <w:tcW w:w="2408" w:type="dxa"/>
          </w:tcPr>
          <w:p w14:paraId="2F93BF7F" w14:textId="32698038" w:rsidR="00721A20" w:rsidRPr="0088282C" w:rsidRDefault="00675573" w:rsidP="0088282C">
            <w:pPr>
              <w:jc w:val="center"/>
              <w:rPr>
                <w:b/>
                <w:bCs/>
              </w:rPr>
            </w:pPr>
            <w:r w:rsidRPr="0088282C">
              <w:rPr>
                <w:b/>
                <w:bCs/>
              </w:rPr>
              <w:t>Potential Add-on Features</w:t>
            </w:r>
          </w:p>
        </w:tc>
      </w:tr>
      <w:tr w:rsidR="00721A20" w14:paraId="355C0584" w14:textId="77777777">
        <w:tc>
          <w:tcPr>
            <w:tcW w:w="2407" w:type="dxa"/>
          </w:tcPr>
          <w:p w14:paraId="214DBB33" w14:textId="0159FD92" w:rsidR="00721A20" w:rsidRDefault="0088282C" w:rsidP="00CC1E86">
            <w:r>
              <w:t>Type A</w:t>
            </w:r>
            <w:r w:rsidR="00DF00C8">
              <w:t xml:space="preserve"> for immersive and high-fidelity XR devices</w:t>
            </w:r>
          </w:p>
        </w:tc>
        <w:tc>
          <w:tcPr>
            <w:tcW w:w="2407" w:type="dxa"/>
          </w:tcPr>
          <w:p w14:paraId="3E136A12" w14:textId="157C7372" w:rsidR="00721A20" w:rsidRDefault="00DF00C8" w:rsidP="00CC1E86">
            <w:r w:rsidRPr="00DF00C8">
              <w:t>Holographic Communication, High-Fidelity Digital Twins, Tactile Internet</w:t>
            </w:r>
          </w:p>
        </w:tc>
        <w:tc>
          <w:tcPr>
            <w:tcW w:w="2407" w:type="dxa"/>
          </w:tcPr>
          <w:p w14:paraId="09D90684" w14:textId="7592F9D9" w:rsidR="00721A20" w:rsidRDefault="00FC0180" w:rsidP="00CC1E86">
            <w:r w:rsidRPr="00FC0180">
              <w:t xml:space="preserve">- Peak Throughput: &gt;1 </w:t>
            </w:r>
            <w:proofErr w:type="spellStart"/>
            <w:r w:rsidRPr="00FC0180">
              <w:t>Tbps</w:t>
            </w:r>
            <w:proofErr w:type="spellEnd"/>
            <w:r w:rsidRPr="00FC0180">
              <w:br/>
              <w:t xml:space="preserve">- Latency: &lt; 1 </w:t>
            </w:r>
            <w:proofErr w:type="spellStart"/>
            <w:r w:rsidRPr="00FC0180">
              <w:t>ms</w:t>
            </w:r>
            <w:proofErr w:type="spellEnd"/>
            <w:r w:rsidRPr="00FC0180">
              <w:br/>
              <w:t>- Reliability: 99.999%</w:t>
            </w:r>
            <w:r w:rsidRPr="00FC0180">
              <w:br/>
              <w:t>- Mobility: High</w:t>
            </w:r>
            <w:r w:rsidRPr="00FC0180">
              <w:br/>
              <w:t>- Processing: Very High (on-device AI/ML)</w:t>
            </w:r>
          </w:p>
        </w:tc>
        <w:tc>
          <w:tcPr>
            <w:tcW w:w="2408" w:type="dxa"/>
          </w:tcPr>
          <w:p w14:paraId="65DB9E7D" w14:textId="1323326A" w:rsidR="00721A20" w:rsidRDefault="00C53EA1" w:rsidP="00CC1E86">
            <w:r w:rsidRPr="00C53EA1">
              <w:t>- Multi-panel massive MIMO</w:t>
            </w:r>
            <w:r w:rsidRPr="00C53EA1">
              <w:br/>
              <w:t>- Advanced joint communication &amp; sensing</w:t>
            </w:r>
            <w:r w:rsidRPr="00C53EA1">
              <w:br/>
              <w:t>- Ultra-wideband operation</w:t>
            </w:r>
            <w:r w:rsidRPr="00C53EA1">
              <w:br/>
              <w:t>- Real-time AI/ML inferencing in PHY</w:t>
            </w:r>
          </w:p>
        </w:tc>
      </w:tr>
      <w:tr w:rsidR="00721A20" w14:paraId="14405D71" w14:textId="77777777">
        <w:tc>
          <w:tcPr>
            <w:tcW w:w="2407" w:type="dxa"/>
          </w:tcPr>
          <w:p w14:paraId="264C6635" w14:textId="1F07674A" w:rsidR="00721A20" w:rsidRDefault="0088282C" w:rsidP="00CC1E86">
            <w:r>
              <w:t>Type B</w:t>
            </w:r>
            <w:r w:rsidR="00DF00C8">
              <w:t xml:space="preserve"> for critical and autonomous system devices</w:t>
            </w:r>
          </w:p>
        </w:tc>
        <w:tc>
          <w:tcPr>
            <w:tcW w:w="2407" w:type="dxa"/>
          </w:tcPr>
          <w:p w14:paraId="5BF9BD25" w14:textId="50AE5090" w:rsidR="00721A20" w:rsidRDefault="00DF00C8" w:rsidP="00CC1E86">
            <w:r w:rsidRPr="00DF00C8">
              <w:t>Autonomous Driving/Flying, Industrial Automation, Remote Surgery</w:t>
            </w:r>
          </w:p>
        </w:tc>
        <w:tc>
          <w:tcPr>
            <w:tcW w:w="2407" w:type="dxa"/>
          </w:tcPr>
          <w:p w14:paraId="16DA0FA2" w14:textId="27600C67" w:rsidR="00721A20" w:rsidRDefault="007E1591" w:rsidP="00CC1E86">
            <w:r w:rsidRPr="007E1591">
              <w:t>- Latency: &lt; 100 µs</w:t>
            </w:r>
            <w:r w:rsidRPr="007E1591">
              <w:br/>
              <w:t>- Reliability: 99.9999%</w:t>
            </w:r>
            <w:r w:rsidRPr="007E1591">
              <w:br/>
              <w:t>- Positioning Accuracy: &lt; 1 cm</w:t>
            </w:r>
            <w:r w:rsidRPr="007E1591">
              <w:br/>
              <w:t>- Robustness: Extreme (zero-outage)</w:t>
            </w:r>
            <w:r w:rsidRPr="007E1591">
              <w:br/>
              <w:t>- Security: Quantum-resistant</w:t>
            </w:r>
          </w:p>
        </w:tc>
        <w:tc>
          <w:tcPr>
            <w:tcW w:w="2408" w:type="dxa"/>
          </w:tcPr>
          <w:p w14:paraId="46966F80" w14:textId="69C51766" w:rsidR="00721A20" w:rsidRDefault="00C53EA1" w:rsidP="00CC1E86">
            <w:r>
              <w:t xml:space="preserve">- </w:t>
            </w:r>
            <w:r w:rsidRPr="00C53EA1">
              <w:t>Multi-connectivity PHY</w:t>
            </w:r>
            <w:r w:rsidRPr="00C53EA1">
              <w:br/>
              <w:t>- Integrated precise positioning</w:t>
            </w:r>
            <w:r w:rsidRPr="00C53EA1">
              <w:br/>
              <w:t>- Advanced interference management</w:t>
            </w:r>
            <w:r w:rsidRPr="00C53EA1">
              <w:br/>
              <w:t>- Side-link (D2D/V2X) enhancements</w:t>
            </w:r>
          </w:p>
        </w:tc>
      </w:tr>
      <w:tr w:rsidR="00721A20" w14:paraId="7755B9ED" w14:textId="77777777">
        <w:tc>
          <w:tcPr>
            <w:tcW w:w="2407" w:type="dxa"/>
          </w:tcPr>
          <w:p w14:paraId="044D66A9" w14:textId="7A103209" w:rsidR="00721A20" w:rsidRDefault="0088282C" w:rsidP="00CC1E86">
            <w:r>
              <w:t>Type C</w:t>
            </w:r>
            <w:r w:rsidR="00DF00C8">
              <w:t xml:space="preserve"> for massive IoT and extended coverage devices</w:t>
            </w:r>
          </w:p>
        </w:tc>
        <w:tc>
          <w:tcPr>
            <w:tcW w:w="2407" w:type="dxa"/>
          </w:tcPr>
          <w:p w14:paraId="2868141F" w14:textId="4DC29AA1" w:rsidR="00721A20" w:rsidRDefault="00DF00C8" w:rsidP="00CC1E86">
            <w:r>
              <w:t>Massive Sensor Net</w:t>
            </w:r>
            <w:r w:rsidR="00F90CCD">
              <w:t>works, Asset Tracking, Smart Agriculture</w:t>
            </w:r>
          </w:p>
        </w:tc>
        <w:tc>
          <w:tcPr>
            <w:tcW w:w="2407" w:type="dxa"/>
          </w:tcPr>
          <w:p w14:paraId="3BD8C1FA" w14:textId="0A43A6B0" w:rsidR="00721A20" w:rsidRDefault="007E1591" w:rsidP="007E1591">
            <w:r w:rsidRPr="007E1591">
              <w:t>- Power Consumption: Years of battery life</w:t>
            </w:r>
            <w:r w:rsidRPr="007E1591">
              <w:br/>
              <w:t>- Connection Density: &gt;10^7 devices/km²</w:t>
            </w:r>
            <w:r w:rsidRPr="007E1591">
              <w:br/>
              <w:t>- Coverage: Extreme (e.g., NTN, deep indoor)</w:t>
            </w:r>
            <w:r w:rsidRPr="007E1591">
              <w:br/>
              <w:t>- Data Rate: Low (Kbps-Mbps)</w:t>
            </w:r>
            <w:r w:rsidRPr="007E1591">
              <w:br/>
              <w:t>- Cost: Ultra-low</w:t>
            </w:r>
          </w:p>
        </w:tc>
        <w:tc>
          <w:tcPr>
            <w:tcW w:w="2408" w:type="dxa"/>
          </w:tcPr>
          <w:p w14:paraId="05967010" w14:textId="7C1A2BE5" w:rsidR="00721A20" w:rsidRDefault="00597C85" w:rsidP="00CC1E86">
            <w:r>
              <w:t xml:space="preserve">- </w:t>
            </w:r>
            <w:r w:rsidRPr="00597C85">
              <w:t>Wake-up radio (WUR)</w:t>
            </w:r>
            <w:r w:rsidRPr="00597C85">
              <w:br/>
              <w:t>- Energy harvesting support</w:t>
            </w:r>
            <w:r w:rsidRPr="00597C85">
              <w:br/>
              <w:t>- Simplified PHY/MAC protocols</w:t>
            </w:r>
            <w:r w:rsidRPr="00597C85">
              <w:br/>
              <w:t>- NTN specific PHY</w:t>
            </w:r>
            <w:r w:rsidRPr="00597C85">
              <w:br/>
              <w:t>- Ultra-narrowband/low-power mo</w:t>
            </w:r>
            <w:r>
              <w:t>de</w:t>
            </w:r>
          </w:p>
        </w:tc>
      </w:tr>
      <w:tr w:rsidR="0088282C" w14:paraId="6ABB693B" w14:textId="77777777">
        <w:tc>
          <w:tcPr>
            <w:tcW w:w="2407" w:type="dxa"/>
          </w:tcPr>
          <w:p w14:paraId="22F21D08" w14:textId="6B4E2395" w:rsidR="0088282C" w:rsidRDefault="0088282C" w:rsidP="00CC1E86">
            <w:r>
              <w:t>Type D</w:t>
            </w:r>
            <w:r w:rsidR="00DF00C8">
              <w:t xml:space="preserve"> for ISAC devices</w:t>
            </w:r>
          </w:p>
        </w:tc>
        <w:tc>
          <w:tcPr>
            <w:tcW w:w="2407" w:type="dxa"/>
          </w:tcPr>
          <w:p w14:paraId="3D509320" w14:textId="59F27DE0" w:rsidR="0088282C" w:rsidRDefault="00FC0180" w:rsidP="00CC1E86">
            <w:r w:rsidRPr="00FC0180">
              <w:t>Environmental Monitoring, Human-Machine Interaction with Sensing, Robotic Navigation</w:t>
            </w:r>
          </w:p>
        </w:tc>
        <w:tc>
          <w:tcPr>
            <w:tcW w:w="2407" w:type="dxa"/>
          </w:tcPr>
          <w:p w14:paraId="5728F695" w14:textId="741F34EF" w:rsidR="0088282C" w:rsidRDefault="007E1591" w:rsidP="00CC1E86">
            <w:r w:rsidRPr="007E1591">
              <w:t>- Sensing Resolution: High (mm-cm)</w:t>
            </w:r>
            <w:r w:rsidRPr="007E1591">
              <w:br/>
              <w:t>- Sensing Accuracy: High</w:t>
            </w:r>
            <w:r w:rsidRPr="007E1591">
              <w:br/>
              <w:t>- Sensing Update Rate: High (kHz)</w:t>
            </w:r>
            <w:r w:rsidRPr="007E1591">
              <w:br/>
              <w:t>- Communication &amp; Sensing Coexistence: Seamless</w:t>
            </w:r>
          </w:p>
        </w:tc>
        <w:tc>
          <w:tcPr>
            <w:tcW w:w="2408" w:type="dxa"/>
          </w:tcPr>
          <w:p w14:paraId="5988A8AA" w14:textId="7831F584" w:rsidR="0088282C" w:rsidRDefault="00F74BD2" w:rsidP="00CC1E86">
            <w:r w:rsidRPr="00F74BD2">
              <w:t xml:space="preserve">- </w:t>
            </w:r>
            <w:r w:rsidR="00BB6D7E">
              <w:t>Advanced (A</w:t>
            </w:r>
            <w:r w:rsidR="0060174D">
              <w:t>I/ML based)</w:t>
            </w:r>
            <w:r w:rsidR="00BB6D7E">
              <w:t xml:space="preserve"> d</w:t>
            </w:r>
            <w:r w:rsidRPr="00F74BD2">
              <w:t>ata compression</w:t>
            </w:r>
            <w:r w:rsidR="0060174D">
              <w:t xml:space="preserve"> and resource allocation for transmissions</w:t>
            </w:r>
            <w:r w:rsidR="0060174D" w:rsidRPr="00F74BD2">
              <w:t xml:space="preserve"> </w:t>
            </w:r>
            <w:r w:rsidRPr="00F74BD2">
              <w:br/>
              <w:t>- Secure multi-party computation in PHY</w:t>
            </w:r>
            <w:r w:rsidRPr="00F74BD2">
              <w:br/>
              <w:t>- Distributed learning optimizations</w:t>
            </w:r>
          </w:p>
        </w:tc>
      </w:tr>
    </w:tbl>
    <w:p w14:paraId="67C32ABB" w14:textId="4280BB7C" w:rsidR="002F51F3" w:rsidRDefault="003C2FEB" w:rsidP="002F51F3">
      <w:pPr>
        <w:spacing w:before="120"/>
      </w:pPr>
      <w:r>
        <w:t xml:space="preserve">Regarding the </w:t>
      </w:r>
      <w:r w:rsidR="006D39D4">
        <w:t>common PHY feature baseline, w</w:t>
      </w:r>
      <w:r w:rsidRPr="003C2FEB">
        <w:t>e propose that RAN1 define</w:t>
      </w:r>
      <w:r w:rsidR="00EA7480">
        <w:t>s</w:t>
      </w:r>
      <w:r w:rsidRPr="003C2FEB">
        <w:t xml:space="preserve"> a minimal, universal set of physical layer functionalities required for all 6GR device types. This baseline ensures basic connectivity and interoperability across the network, regardless of specific use case or device complexity. </w:t>
      </w:r>
      <w:r w:rsidR="006D39D4">
        <w:t>We</w:t>
      </w:r>
      <w:r w:rsidR="00D15374">
        <w:t xml:space="preserve"> compile them in the following </w:t>
      </w:r>
      <w:r w:rsidR="002F51F3">
        <w:t>proposal:</w:t>
      </w:r>
    </w:p>
    <w:p w14:paraId="4813E27A" w14:textId="608C501B" w:rsidR="005378D1" w:rsidRPr="00D64413" w:rsidRDefault="002F51F3" w:rsidP="00D64413">
      <w:pPr>
        <w:spacing w:after="0"/>
        <w:rPr>
          <w:i/>
          <w:iCs/>
        </w:rPr>
      </w:pPr>
      <w:r w:rsidRPr="00766926">
        <w:rPr>
          <w:b/>
          <w:bCs/>
          <w:i/>
          <w:iCs/>
        </w:rPr>
        <w:t xml:space="preserve">Proposal </w:t>
      </w:r>
      <w:r w:rsidR="003012AE">
        <w:rPr>
          <w:b/>
          <w:bCs/>
          <w:i/>
          <w:iCs/>
        </w:rPr>
        <w:t>4</w:t>
      </w:r>
      <w:r w:rsidR="00593E8C" w:rsidRPr="00766926">
        <w:rPr>
          <w:b/>
          <w:bCs/>
          <w:i/>
          <w:iCs/>
        </w:rPr>
        <w:t>:</w:t>
      </w:r>
      <w:r w:rsidR="00593E8C" w:rsidRPr="00D64413">
        <w:rPr>
          <w:i/>
          <w:iCs/>
        </w:rPr>
        <w:t xml:space="preserve"> Regarding </w:t>
      </w:r>
      <w:r w:rsidR="00781AF1" w:rsidRPr="00D64413">
        <w:rPr>
          <w:i/>
          <w:iCs/>
        </w:rPr>
        <w:t xml:space="preserve">what should be </w:t>
      </w:r>
      <w:r w:rsidR="00593E8C" w:rsidRPr="00D64413">
        <w:rPr>
          <w:i/>
          <w:iCs/>
        </w:rPr>
        <w:t>common</w:t>
      </w:r>
      <w:r w:rsidR="00781AF1" w:rsidRPr="00D64413">
        <w:rPr>
          <w:i/>
          <w:iCs/>
        </w:rPr>
        <w:t xml:space="preserve">ly applicable </w:t>
      </w:r>
      <w:r w:rsidR="00723259" w:rsidRPr="00D64413">
        <w:rPr>
          <w:i/>
          <w:iCs/>
        </w:rPr>
        <w:t xml:space="preserve">to all the </w:t>
      </w:r>
      <w:r w:rsidR="000B2EB1" w:rsidRPr="00D64413">
        <w:rPr>
          <w:i/>
          <w:iCs/>
        </w:rPr>
        <w:t>6G</w:t>
      </w:r>
      <w:r w:rsidR="00D245DD">
        <w:rPr>
          <w:i/>
          <w:iCs/>
        </w:rPr>
        <w:t>R</w:t>
      </w:r>
      <w:r w:rsidR="000B2EB1" w:rsidRPr="00D64413">
        <w:rPr>
          <w:i/>
          <w:iCs/>
        </w:rPr>
        <w:t xml:space="preserve"> device types from physical layer perspective, t</w:t>
      </w:r>
      <w:r w:rsidR="003C2FEB" w:rsidRPr="00D64413">
        <w:rPr>
          <w:i/>
          <w:iCs/>
        </w:rPr>
        <w:t xml:space="preserve">he common feature set </w:t>
      </w:r>
      <w:r w:rsidR="005378D1" w:rsidRPr="00D64413">
        <w:rPr>
          <w:i/>
          <w:iCs/>
        </w:rPr>
        <w:t xml:space="preserve">should include at least the following </w:t>
      </w:r>
      <w:r w:rsidR="003C2FEB" w:rsidRPr="00D64413">
        <w:rPr>
          <w:i/>
          <w:iCs/>
        </w:rPr>
        <w:t>elements</w:t>
      </w:r>
      <w:r w:rsidR="005378D1" w:rsidRPr="00D64413">
        <w:rPr>
          <w:i/>
          <w:iCs/>
        </w:rPr>
        <w:t>:</w:t>
      </w:r>
    </w:p>
    <w:p w14:paraId="5C4538F1" w14:textId="77777777" w:rsidR="005378D1" w:rsidRPr="00D64413" w:rsidRDefault="003C2FEB" w:rsidP="00DE026A">
      <w:pPr>
        <w:pStyle w:val="ListParagraph"/>
        <w:numPr>
          <w:ilvl w:val="0"/>
          <w:numId w:val="12"/>
        </w:numPr>
        <w:rPr>
          <w:i/>
          <w:iCs/>
          <w:sz w:val="20"/>
          <w:szCs w:val="20"/>
        </w:rPr>
      </w:pPr>
      <w:proofErr w:type="spellStart"/>
      <w:r w:rsidRPr="00D64413">
        <w:rPr>
          <w:i/>
          <w:iCs/>
          <w:sz w:val="20"/>
          <w:szCs w:val="20"/>
        </w:rPr>
        <w:t>synchronization</w:t>
      </w:r>
      <w:proofErr w:type="spellEnd"/>
      <w:r w:rsidRPr="00D64413">
        <w:rPr>
          <w:i/>
          <w:iCs/>
          <w:sz w:val="20"/>
          <w:szCs w:val="20"/>
        </w:rPr>
        <w:t xml:space="preserve"> </w:t>
      </w:r>
      <w:proofErr w:type="spellStart"/>
      <w:r w:rsidRPr="00D64413">
        <w:rPr>
          <w:i/>
          <w:iCs/>
          <w:sz w:val="20"/>
          <w:szCs w:val="20"/>
        </w:rPr>
        <w:t>mechanisms</w:t>
      </w:r>
      <w:proofErr w:type="spellEnd"/>
    </w:p>
    <w:p w14:paraId="17596B14" w14:textId="34636865" w:rsidR="00026918" w:rsidRDefault="00026918" w:rsidP="00DE026A">
      <w:pPr>
        <w:pStyle w:val="ListParagraph"/>
        <w:numPr>
          <w:ilvl w:val="0"/>
          <w:numId w:val="12"/>
        </w:numPr>
        <w:rPr>
          <w:i/>
          <w:iCs/>
          <w:sz w:val="20"/>
          <w:szCs w:val="20"/>
        </w:rPr>
      </w:pPr>
      <w:proofErr w:type="spellStart"/>
      <w:r>
        <w:rPr>
          <w:i/>
          <w:iCs/>
          <w:sz w:val="20"/>
          <w:szCs w:val="20"/>
        </w:rPr>
        <w:t>basic</w:t>
      </w:r>
      <w:proofErr w:type="spellEnd"/>
      <w:r>
        <w:rPr>
          <w:i/>
          <w:iCs/>
          <w:sz w:val="20"/>
          <w:szCs w:val="20"/>
        </w:rPr>
        <w:t xml:space="preserve"> </w:t>
      </w:r>
      <w:proofErr w:type="spellStart"/>
      <w:r>
        <w:rPr>
          <w:i/>
          <w:iCs/>
          <w:sz w:val="20"/>
          <w:szCs w:val="20"/>
        </w:rPr>
        <w:t>antenna</w:t>
      </w:r>
      <w:proofErr w:type="spellEnd"/>
      <w:r>
        <w:rPr>
          <w:i/>
          <w:iCs/>
          <w:sz w:val="20"/>
          <w:szCs w:val="20"/>
        </w:rPr>
        <w:t xml:space="preserve"> </w:t>
      </w:r>
      <w:proofErr w:type="spellStart"/>
      <w:r w:rsidR="00AD3E74">
        <w:rPr>
          <w:i/>
          <w:iCs/>
          <w:sz w:val="20"/>
          <w:szCs w:val="20"/>
        </w:rPr>
        <w:t>configuration</w:t>
      </w:r>
      <w:proofErr w:type="spellEnd"/>
      <w:r>
        <w:rPr>
          <w:i/>
          <w:iCs/>
          <w:sz w:val="20"/>
          <w:szCs w:val="20"/>
        </w:rPr>
        <w:t xml:space="preserve"> </w:t>
      </w:r>
    </w:p>
    <w:p w14:paraId="26DA79C8" w14:textId="299013EE" w:rsidR="005378D1" w:rsidRDefault="003C2FEB" w:rsidP="00DE026A">
      <w:pPr>
        <w:pStyle w:val="ListParagraph"/>
        <w:numPr>
          <w:ilvl w:val="0"/>
          <w:numId w:val="12"/>
        </w:numPr>
        <w:rPr>
          <w:i/>
          <w:iCs/>
          <w:sz w:val="20"/>
          <w:szCs w:val="20"/>
        </w:rPr>
      </w:pPr>
      <w:proofErr w:type="spellStart"/>
      <w:r w:rsidRPr="00D64413">
        <w:rPr>
          <w:i/>
          <w:iCs/>
          <w:sz w:val="20"/>
          <w:szCs w:val="20"/>
        </w:rPr>
        <w:t>minimal</w:t>
      </w:r>
      <w:proofErr w:type="spellEnd"/>
      <w:r w:rsidRPr="00D64413">
        <w:rPr>
          <w:i/>
          <w:iCs/>
          <w:sz w:val="20"/>
          <w:szCs w:val="20"/>
        </w:rPr>
        <w:t xml:space="preserve"> </w:t>
      </w:r>
      <w:proofErr w:type="spellStart"/>
      <w:r w:rsidRPr="00D64413">
        <w:rPr>
          <w:i/>
          <w:iCs/>
          <w:sz w:val="20"/>
          <w:szCs w:val="20"/>
        </w:rPr>
        <w:t>control</w:t>
      </w:r>
      <w:proofErr w:type="spellEnd"/>
      <w:r w:rsidRPr="00D64413">
        <w:rPr>
          <w:i/>
          <w:iCs/>
          <w:sz w:val="20"/>
          <w:szCs w:val="20"/>
        </w:rPr>
        <w:t xml:space="preserve"> </w:t>
      </w:r>
      <w:proofErr w:type="spellStart"/>
      <w:r w:rsidRPr="00D64413">
        <w:rPr>
          <w:i/>
          <w:iCs/>
          <w:sz w:val="20"/>
          <w:szCs w:val="20"/>
        </w:rPr>
        <w:t>signaling</w:t>
      </w:r>
      <w:proofErr w:type="spellEnd"/>
    </w:p>
    <w:p w14:paraId="5BE59927" w14:textId="77777777" w:rsidR="00026918" w:rsidRPr="00B03E49" w:rsidRDefault="00026918" w:rsidP="00DE026A">
      <w:pPr>
        <w:pStyle w:val="ListParagraph"/>
        <w:numPr>
          <w:ilvl w:val="0"/>
          <w:numId w:val="12"/>
        </w:numPr>
        <w:spacing w:after="180"/>
        <w:ind w:left="714" w:hanging="357"/>
      </w:pPr>
      <w:proofErr w:type="spellStart"/>
      <w:r>
        <w:rPr>
          <w:i/>
          <w:iCs/>
          <w:sz w:val="20"/>
          <w:szCs w:val="20"/>
        </w:rPr>
        <w:t>basic</w:t>
      </w:r>
      <w:proofErr w:type="spellEnd"/>
      <w:r>
        <w:rPr>
          <w:i/>
          <w:iCs/>
          <w:sz w:val="20"/>
          <w:szCs w:val="20"/>
        </w:rPr>
        <w:t xml:space="preserve"> </w:t>
      </w:r>
      <w:proofErr w:type="spellStart"/>
      <w:r w:rsidRPr="00D64413">
        <w:rPr>
          <w:i/>
          <w:iCs/>
          <w:sz w:val="20"/>
          <w:szCs w:val="20"/>
        </w:rPr>
        <w:t>power</w:t>
      </w:r>
      <w:proofErr w:type="spellEnd"/>
      <w:r w:rsidRPr="00D64413">
        <w:rPr>
          <w:i/>
          <w:iCs/>
          <w:sz w:val="20"/>
          <w:szCs w:val="20"/>
        </w:rPr>
        <w:t xml:space="preserve"> </w:t>
      </w:r>
      <w:proofErr w:type="spellStart"/>
      <w:r w:rsidRPr="00D64413">
        <w:rPr>
          <w:i/>
          <w:iCs/>
          <w:sz w:val="20"/>
          <w:szCs w:val="20"/>
        </w:rPr>
        <w:t>control</w:t>
      </w:r>
      <w:proofErr w:type="spellEnd"/>
    </w:p>
    <w:p w14:paraId="6C35DB58" w14:textId="76FF1F7C" w:rsidR="00D64413" w:rsidRPr="00026918" w:rsidRDefault="003C2FEB" w:rsidP="00DE026A">
      <w:pPr>
        <w:pStyle w:val="ListParagraph"/>
        <w:numPr>
          <w:ilvl w:val="0"/>
          <w:numId w:val="12"/>
        </w:numPr>
        <w:spacing w:after="180"/>
        <w:ind w:left="714" w:hanging="357"/>
        <w:rPr>
          <w:i/>
          <w:iCs/>
          <w:sz w:val="20"/>
          <w:szCs w:val="20"/>
          <w:lang w:val="en-GB"/>
        </w:rPr>
      </w:pPr>
      <w:r w:rsidRPr="00026918">
        <w:rPr>
          <w:i/>
          <w:iCs/>
          <w:sz w:val="20"/>
          <w:szCs w:val="20"/>
          <w:lang w:val="en-GB"/>
        </w:rPr>
        <w:t>fundamental modulation and coding schemes</w:t>
      </w:r>
      <w:r w:rsidR="00493219">
        <w:rPr>
          <w:i/>
          <w:iCs/>
          <w:sz w:val="20"/>
          <w:szCs w:val="20"/>
          <w:lang w:val="en-GB"/>
        </w:rPr>
        <w:t>.</w:t>
      </w:r>
    </w:p>
    <w:p w14:paraId="06F12356" w14:textId="69EF2A54" w:rsidR="006E4642" w:rsidRDefault="009F6039" w:rsidP="00B55EB7">
      <w:r w:rsidRPr="009F6039">
        <w:t>Building on the common baseline, we propose that each physical layer device category support a tailored set of optional "add-on features"</w:t>
      </w:r>
      <w:r w:rsidR="00F11B6D">
        <w:t xml:space="preserve">, aligning with </w:t>
      </w:r>
      <w:r w:rsidR="00F11B6D" w:rsidRPr="00F11B6D">
        <w:t>"FFS: add-on features dedicated to specific device types"</w:t>
      </w:r>
      <w:r w:rsidR="00BF61F7">
        <w:t>,</w:t>
      </w:r>
      <w:r w:rsidRPr="009F6039">
        <w:t xml:space="preserve"> derived from SA1-defined use case requirements. These </w:t>
      </w:r>
      <w:r w:rsidR="00BF61F7">
        <w:t xml:space="preserve">add-on </w:t>
      </w:r>
      <w:r w:rsidRPr="009F6039">
        <w:t>features</w:t>
      </w:r>
      <w:r w:rsidR="00BF61F7">
        <w:t xml:space="preserve">, e.g., </w:t>
      </w:r>
      <w:r w:rsidRPr="009F6039">
        <w:t>enhanced sensing, advanced beamforming, or AI/ML processing</w:t>
      </w:r>
      <w:r w:rsidR="00BF61F7">
        <w:t xml:space="preserve">, </w:t>
      </w:r>
      <w:r w:rsidRPr="009F6039">
        <w:t>can be selectively implemented to meet the demands of specific service</w:t>
      </w:r>
      <w:r w:rsidR="007D36F4">
        <w:t>s</w:t>
      </w:r>
      <w:r w:rsidRPr="009F6039">
        <w:t>. This modular approach ensures that the 6GR air interface remains flexible and efficient, avoiding unnecessary complexity for devices that do not require advanced capabilities.</w:t>
      </w:r>
      <w:r w:rsidR="006E4642">
        <w:t xml:space="preserve"> The approach is outlined in the following proposal:</w:t>
      </w:r>
    </w:p>
    <w:p w14:paraId="54C6D969" w14:textId="022816AA" w:rsidR="006E4642" w:rsidRPr="002F6FED" w:rsidRDefault="006E4642" w:rsidP="00B55EB7">
      <w:pPr>
        <w:rPr>
          <w:i/>
          <w:iCs/>
        </w:rPr>
      </w:pPr>
      <w:r w:rsidRPr="002F6FED">
        <w:rPr>
          <w:b/>
          <w:bCs/>
          <w:i/>
          <w:iCs/>
        </w:rPr>
        <w:t xml:space="preserve">Proposal </w:t>
      </w:r>
      <w:r w:rsidR="003012AE">
        <w:rPr>
          <w:b/>
          <w:bCs/>
          <w:i/>
          <w:iCs/>
        </w:rPr>
        <w:t>5</w:t>
      </w:r>
      <w:r w:rsidRPr="002F6FED">
        <w:rPr>
          <w:b/>
          <w:bCs/>
          <w:i/>
          <w:iCs/>
        </w:rPr>
        <w:t>:</w:t>
      </w:r>
      <w:r w:rsidRPr="002F6FED">
        <w:rPr>
          <w:i/>
          <w:iCs/>
        </w:rPr>
        <w:t xml:space="preserve"> </w:t>
      </w:r>
      <w:r w:rsidR="001179CE" w:rsidRPr="002F6FED">
        <w:rPr>
          <w:i/>
          <w:iCs/>
        </w:rPr>
        <w:t xml:space="preserve">Use </w:t>
      </w:r>
      <w:r w:rsidR="00A056E0" w:rsidRPr="002F6FED">
        <w:rPr>
          <w:i/>
          <w:iCs/>
        </w:rPr>
        <w:t xml:space="preserve">the modular approach that built </w:t>
      </w:r>
      <w:r w:rsidRPr="002F6FED">
        <w:rPr>
          <w:i/>
          <w:iCs/>
        </w:rPr>
        <w:t xml:space="preserve">each physical layer device </w:t>
      </w:r>
      <w:r w:rsidR="00D1249D" w:rsidRPr="002F6FED">
        <w:rPr>
          <w:i/>
          <w:iCs/>
        </w:rPr>
        <w:t xml:space="preserve">type </w:t>
      </w:r>
      <w:r w:rsidRPr="002F6FED">
        <w:rPr>
          <w:i/>
          <w:iCs/>
        </w:rPr>
        <w:t>upon a common baseline of essential PHY functionalities</w:t>
      </w:r>
      <w:r w:rsidR="00D1249D" w:rsidRPr="002F6FED">
        <w:rPr>
          <w:i/>
          <w:iCs/>
        </w:rPr>
        <w:t xml:space="preserve"> and extend</w:t>
      </w:r>
      <w:r w:rsidR="00AC24B4" w:rsidRPr="002F6FED">
        <w:rPr>
          <w:i/>
          <w:iCs/>
        </w:rPr>
        <w:t xml:space="preserve"> the functionalities supporting </w:t>
      </w:r>
      <w:r w:rsidRPr="002F6FED">
        <w:rPr>
          <w:i/>
          <w:iCs/>
        </w:rPr>
        <w:t>a tailored set of "add-on features"</w:t>
      </w:r>
      <w:r w:rsidR="00384AD1" w:rsidRPr="002F6FED">
        <w:rPr>
          <w:i/>
          <w:iCs/>
        </w:rPr>
        <w:t>.</w:t>
      </w:r>
    </w:p>
    <w:p w14:paraId="5CA65983" w14:textId="04EC6E3C" w:rsidR="00321ACE" w:rsidRDefault="0084609F" w:rsidP="00BF588E">
      <w:pPr>
        <w:pStyle w:val="Heading2"/>
      </w:pPr>
      <w:r>
        <w:lastRenderedPageBreak/>
        <w:t>High-Level Aspects for 6GR Synchronization Signal Structure and Periodicity</w:t>
      </w:r>
    </w:p>
    <w:p w14:paraId="2C73147C" w14:textId="0D8DDE15" w:rsidR="0084609F" w:rsidRDefault="0084609F" w:rsidP="0084609F">
      <w:r>
        <w:t xml:space="preserve">According to the following agreement </w:t>
      </w:r>
      <w:r w:rsidR="00975D3C">
        <w:t>i</w:t>
      </w:r>
      <w:r>
        <w:t>n RAN1 #122 meetings</w:t>
      </w:r>
      <w:r w:rsidR="00986424">
        <w:t xml:space="preserve"> </w:t>
      </w:r>
      <w:sdt>
        <w:sdtPr>
          <w:id w:val="-405151162"/>
          <w:citation/>
        </w:sdtPr>
        <w:sdtContent>
          <w:r w:rsidR="00986424">
            <w:fldChar w:fldCharType="begin"/>
          </w:r>
          <w:r w:rsidR="00986424">
            <w:instrText xml:space="preserve"> CITATION RAN1_122 \l 2057 </w:instrText>
          </w:r>
          <w:r w:rsidR="00986424">
            <w:fldChar w:fldCharType="separate"/>
          </w:r>
          <w:r w:rsidR="00CD1669" w:rsidRPr="00CD1669">
            <w:rPr>
              <w:noProof/>
            </w:rPr>
            <w:t>[2]</w:t>
          </w:r>
          <w:r w:rsidR="00986424">
            <w:fldChar w:fldCharType="end"/>
          </w:r>
        </w:sdtContent>
      </w:sdt>
      <w:r w:rsidR="00986424">
        <w:t>,</w:t>
      </w:r>
    </w:p>
    <w:tbl>
      <w:tblPr>
        <w:tblStyle w:val="TableGrid"/>
        <w:tblW w:w="9634" w:type="dxa"/>
        <w:tblLook w:val="04A0" w:firstRow="1" w:lastRow="0" w:firstColumn="1" w:lastColumn="0" w:noHBand="0" w:noVBand="1"/>
      </w:tblPr>
      <w:tblGrid>
        <w:gridCol w:w="9634"/>
      </w:tblGrid>
      <w:tr w:rsidR="0084609F" w14:paraId="1BBDBB9D" w14:textId="77777777" w:rsidTr="00F7320F">
        <w:tc>
          <w:tcPr>
            <w:tcW w:w="9634" w:type="dxa"/>
            <w:tcBorders>
              <w:top w:val="single" w:sz="4" w:space="0" w:color="auto"/>
              <w:left w:val="single" w:sz="4" w:space="0" w:color="auto"/>
              <w:bottom w:val="single" w:sz="4" w:space="0" w:color="auto"/>
              <w:right w:val="single" w:sz="4" w:space="0" w:color="auto"/>
            </w:tcBorders>
          </w:tcPr>
          <w:p w14:paraId="55E5B19C" w14:textId="77777777" w:rsidR="0084609F" w:rsidRPr="00152A86" w:rsidRDefault="0084609F" w:rsidP="00F7320F">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466E97AE" w14:textId="5727FC36" w:rsidR="0084609F" w:rsidRPr="005E6682" w:rsidRDefault="005E6682" w:rsidP="005E6682">
            <w:pPr>
              <w:rPr>
                <w:lang w:val="en-US"/>
              </w:rPr>
            </w:pPr>
            <w:r w:rsidRPr="00763F46">
              <w:rPr>
                <w:lang w:val="en-US"/>
              </w:rPr>
              <w:t>Identify the high-level aspects which impact on the 6GR sync signal structure and associated periodicity</w:t>
            </w:r>
            <w:r w:rsidRPr="00763F46">
              <w:rPr>
                <w:lang w:val="en-US" w:eastAsia="zh-CN"/>
              </w:rPr>
              <w:t>.</w:t>
            </w:r>
          </w:p>
        </w:tc>
      </w:tr>
    </w:tbl>
    <w:p w14:paraId="66E1CA77" w14:textId="6F251F1B" w:rsidR="00BB1A73" w:rsidRPr="00BB1A73" w:rsidRDefault="00BB1A73" w:rsidP="00BB1A73">
      <w:r w:rsidRPr="00BB1A73">
        <w:t xml:space="preserve">RAN1 has agreed to initiate a study </w:t>
      </w:r>
      <w:r w:rsidR="00572DC0" w:rsidRPr="00BB1A73">
        <w:t>focus</w:t>
      </w:r>
      <w:r w:rsidR="006D0585">
        <w:t>ed</w:t>
      </w:r>
      <w:r w:rsidRPr="00BB1A73">
        <w:t xml:space="preserve"> on identifying the high-level factors that influence the 6GR synchronization (sync) signal structure and its associated periodicity. These elements are fundamental to the performance of cell selection/reselection, initial access, measurement, and mobility procedures. Our views on the key aspects impacting sync signal design are outlined below:</w:t>
      </w:r>
    </w:p>
    <w:p w14:paraId="7F2128D1" w14:textId="55646F85" w:rsidR="00BB1A73" w:rsidRPr="00BB1A73" w:rsidRDefault="00BB1A73" w:rsidP="00DE026A">
      <w:pPr>
        <w:numPr>
          <w:ilvl w:val="0"/>
          <w:numId w:val="14"/>
        </w:numPr>
      </w:pPr>
      <w:r w:rsidRPr="00BB1A73">
        <w:rPr>
          <w:b/>
          <w:bCs/>
        </w:rPr>
        <w:t>Frequency Band</w:t>
      </w:r>
      <w:r>
        <w:rPr>
          <w:b/>
          <w:bCs/>
        </w:rPr>
        <w:t>:</w:t>
      </w:r>
      <w:r>
        <w:t xml:space="preserve"> </w:t>
      </w:r>
      <w:r w:rsidRPr="00BB1A73">
        <w:t>6GR is expected to operate across a broad spectrum</w:t>
      </w:r>
      <w:r w:rsidR="00EE7744">
        <w:t xml:space="preserve">, </w:t>
      </w:r>
      <w:r w:rsidRPr="00BB1A73">
        <w:t>from the lowest frequencies in FR1 to the highest</w:t>
      </w:r>
      <w:r w:rsidR="00EA7480">
        <w:t xml:space="preserve"> one</w:t>
      </w:r>
      <w:r w:rsidRPr="00BB1A73">
        <w:t xml:space="preserve"> in FR2-1. While higher frequencies suffer from greater path loss, they also support wider bandwidths, resulting in shorter symbol durations. This </w:t>
      </w:r>
      <w:proofErr w:type="gramStart"/>
      <w:r w:rsidRPr="00BB1A73">
        <w:t>opens up</w:t>
      </w:r>
      <w:proofErr w:type="gramEnd"/>
      <w:r w:rsidRPr="00BB1A73">
        <w:t xml:space="preserve"> opportunities to design sync signals that compensate for path loss through optimized timing and structure.</w:t>
      </w:r>
    </w:p>
    <w:p w14:paraId="3627E837" w14:textId="134D13BC" w:rsidR="00BB1A73" w:rsidRPr="00BB1A73" w:rsidRDefault="00BB1A73" w:rsidP="00DE026A">
      <w:pPr>
        <w:numPr>
          <w:ilvl w:val="0"/>
          <w:numId w:val="14"/>
        </w:numPr>
      </w:pPr>
      <w:r w:rsidRPr="00BB1A73">
        <w:rPr>
          <w:b/>
          <w:bCs/>
        </w:rPr>
        <w:t>Beamforming</w:t>
      </w:r>
      <w:r w:rsidR="00EE7744">
        <w:rPr>
          <w:b/>
          <w:bCs/>
        </w:rPr>
        <w:t>:</w:t>
      </w:r>
      <w:r>
        <w:t xml:space="preserve"> </w:t>
      </w:r>
      <w:r w:rsidRPr="00BB1A73">
        <w:t>In high-frequency bands with narrow beams, precise beam sweeping and initial beam alignment are critical. A beam-centric architecture</w:t>
      </w:r>
      <w:r w:rsidR="00EE7744">
        <w:t xml:space="preserve">, </w:t>
      </w:r>
      <w:r w:rsidRPr="00BB1A73">
        <w:t>moving beyond traditional cell-based models</w:t>
      </w:r>
      <w:r w:rsidR="00EE7744">
        <w:t xml:space="preserve">, </w:t>
      </w:r>
      <w:r w:rsidRPr="00BB1A73">
        <w:t xml:space="preserve">can enable dynamic beam management, reduce latency, and </w:t>
      </w:r>
      <w:commentRangeStart w:id="2"/>
      <w:r w:rsidRPr="00BB1A73">
        <w:t>enhance mobility support</w:t>
      </w:r>
      <w:commentRangeEnd w:id="2"/>
      <w:r w:rsidR="00EB4803">
        <w:rPr>
          <w:rStyle w:val="CommentReference"/>
          <w:rFonts w:eastAsia="MS Mincho"/>
        </w:rPr>
        <w:commentReference w:id="2"/>
      </w:r>
      <w:r w:rsidRPr="00BB1A73">
        <w:t>.</w:t>
      </w:r>
    </w:p>
    <w:p w14:paraId="34045D6C" w14:textId="725C4C99" w:rsidR="00BB1A73" w:rsidRPr="00BB1A73" w:rsidRDefault="00BB1A73" w:rsidP="00DE026A">
      <w:pPr>
        <w:numPr>
          <w:ilvl w:val="0"/>
          <w:numId w:val="14"/>
        </w:numPr>
      </w:pPr>
      <w:r w:rsidRPr="00BB1A73">
        <w:rPr>
          <w:b/>
          <w:bCs/>
        </w:rPr>
        <w:t>Deployment Scenarios</w:t>
      </w:r>
      <w:r w:rsidR="00EE7744">
        <w:rPr>
          <w:b/>
          <w:bCs/>
        </w:rPr>
        <w:t>:</w:t>
      </w:r>
      <w:r>
        <w:t xml:space="preserve"> </w:t>
      </w:r>
      <w:r w:rsidRPr="00BB1A73">
        <w:t>Sync signal structures must be adaptable to a variety of environments, including dense urban areas, rural regions, and NTN, which typically involve large cell sizes. Each scenario presents unique propagation delays that significantly influence sync signal design.</w:t>
      </w:r>
    </w:p>
    <w:p w14:paraId="2680D11A" w14:textId="59F3806B" w:rsidR="00BB1A73" w:rsidRPr="00BB1A73" w:rsidRDefault="00BB1A73" w:rsidP="00DE026A">
      <w:pPr>
        <w:numPr>
          <w:ilvl w:val="0"/>
          <w:numId w:val="14"/>
        </w:numPr>
      </w:pPr>
      <w:r w:rsidRPr="00BB1A73">
        <w:rPr>
          <w:b/>
          <w:bCs/>
        </w:rPr>
        <w:t>Device Types</w:t>
      </w:r>
      <w:r w:rsidR="00EE7744">
        <w:rPr>
          <w:b/>
          <w:bCs/>
        </w:rPr>
        <w:t>:</w:t>
      </w:r>
      <w:r>
        <w:t xml:space="preserve"> </w:t>
      </w:r>
      <w:r w:rsidRPr="00BB1A73">
        <w:t>Sync acquisition must be efficient for low-complexity devices while remaining robust for advanced terminals. This dual requirement necessitates a scalable and flexible signal structure.</w:t>
      </w:r>
    </w:p>
    <w:p w14:paraId="36E29642" w14:textId="6D926601" w:rsidR="00BB1A73" w:rsidRPr="00BB1A73" w:rsidRDefault="00BB1A73" w:rsidP="00DE026A">
      <w:pPr>
        <w:numPr>
          <w:ilvl w:val="0"/>
          <w:numId w:val="14"/>
        </w:numPr>
      </w:pPr>
      <w:r w:rsidRPr="00BB1A73">
        <w:rPr>
          <w:b/>
          <w:bCs/>
        </w:rPr>
        <w:t>Initial Access Procedures</w:t>
      </w:r>
      <w:r w:rsidR="00EE7744">
        <w:rPr>
          <w:b/>
          <w:bCs/>
        </w:rPr>
        <w:t>:</w:t>
      </w:r>
      <w:r>
        <w:t xml:space="preserve"> </w:t>
      </w:r>
      <w:r w:rsidRPr="00BB1A73">
        <w:t>A configurable sync signal burst and adaptive beam management can facilitate fast and reliable initial access, including random access procedures.</w:t>
      </w:r>
    </w:p>
    <w:p w14:paraId="2DAB2437" w14:textId="58FE46D2" w:rsidR="00BB1A73" w:rsidRPr="00BB1A73" w:rsidRDefault="00BB1A73" w:rsidP="00DE026A">
      <w:pPr>
        <w:numPr>
          <w:ilvl w:val="0"/>
          <w:numId w:val="14"/>
        </w:numPr>
      </w:pPr>
      <w:r w:rsidRPr="00BB1A73">
        <w:rPr>
          <w:b/>
          <w:bCs/>
        </w:rPr>
        <w:t>Power Consumption (Network and Device)</w:t>
      </w:r>
      <w:r w:rsidR="00EE7744">
        <w:rPr>
          <w:b/>
          <w:bCs/>
        </w:rPr>
        <w:t>:</w:t>
      </w:r>
      <w:r>
        <w:rPr>
          <w:b/>
          <w:bCs/>
        </w:rPr>
        <w:t xml:space="preserve"> </w:t>
      </w:r>
      <w:r w:rsidRPr="00BB1A73">
        <w:t>Both network and device power consumption models, along with energy efficiency requirements, are critical considerations. Sync signals must strike a balance</w:t>
      </w:r>
      <w:r w:rsidR="00174010">
        <w:t xml:space="preserve">, which must be </w:t>
      </w:r>
      <w:r w:rsidRPr="00BB1A73">
        <w:t>neither too sparse nor overly frequent</w:t>
      </w:r>
      <w:r w:rsidR="00174010">
        <w:t xml:space="preserve">, </w:t>
      </w:r>
      <w:r w:rsidRPr="00BB1A73">
        <w:t>to avoid negatively impacting energy efficiency.</w:t>
      </w:r>
    </w:p>
    <w:p w14:paraId="19991B57" w14:textId="11C92FEF" w:rsidR="00BB1A73" w:rsidRPr="00BB1A73" w:rsidRDefault="00BB1A73" w:rsidP="00DE026A">
      <w:pPr>
        <w:numPr>
          <w:ilvl w:val="0"/>
          <w:numId w:val="14"/>
        </w:numPr>
      </w:pPr>
      <w:r w:rsidRPr="00BB1A73">
        <w:rPr>
          <w:b/>
          <w:bCs/>
        </w:rPr>
        <w:t>Sensing Capabilities</w:t>
      </w:r>
      <w:r w:rsidR="00174010">
        <w:rPr>
          <w:b/>
          <w:bCs/>
        </w:rPr>
        <w:t>:</w:t>
      </w:r>
      <w:r>
        <w:rPr>
          <w:b/>
          <w:bCs/>
        </w:rPr>
        <w:t xml:space="preserve"> </w:t>
      </w:r>
      <w:r w:rsidRPr="00BB1A73">
        <w:t>Sync signal design should support integrated sensing functionalities, providing relevant information to enable or enhance sensing services.</w:t>
      </w:r>
    </w:p>
    <w:p w14:paraId="33D2B113" w14:textId="77777777" w:rsidR="00B773E6" w:rsidRPr="00B773E6" w:rsidRDefault="00B773E6" w:rsidP="00B773E6">
      <w:pPr>
        <w:rPr>
          <w:lang w:val="en-US"/>
        </w:rPr>
      </w:pPr>
      <w:r w:rsidRPr="00B773E6">
        <w:t xml:space="preserve">Regarding the sync signal periodicity, </w:t>
      </w:r>
      <w:proofErr w:type="gramStart"/>
      <w:r w:rsidRPr="00B773E6">
        <w:rPr>
          <w:lang w:val="en-US"/>
        </w:rPr>
        <w:t>it is clear that shorter</w:t>
      </w:r>
      <w:proofErr w:type="gramEnd"/>
      <w:r w:rsidRPr="00B773E6">
        <w:rPr>
          <w:lang w:val="en-US"/>
        </w:rPr>
        <w:t xml:space="preserve"> sync signal periodicity </w:t>
      </w:r>
      <w:r w:rsidRPr="00B773E6">
        <w:t>facilitates</w:t>
      </w:r>
      <w:r w:rsidRPr="00B773E6">
        <w:rPr>
          <w:lang w:val="en-US"/>
        </w:rPr>
        <w:t xml:space="preserve"> rapid acquisition of </w:t>
      </w:r>
      <w:r w:rsidRPr="008D6AC0">
        <w:t>synchronization</w:t>
      </w:r>
      <w:r w:rsidRPr="00B773E6">
        <w:rPr>
          <w:lang w:val="en-US"/>
        </w:rPr>
        <w:t xml:space="preserve"> and system information, which is essential for ultra-low latency applications such as critical communications and XR. It also enhances handover performance in high-mobility scenarios by supporting frequent and accurate measurements of neighboring cells. However, these benefits must be weighed against increased network overhead and higher power consumption for both the network and devices, particularly in scenarios involving frequent scanning and measurement gaps.</w:t>
      </w:r>
    </w:p>
    <w:p w14:paraId="34DA3FEA" w14:textId="56F134C4" w:rsidR="00B773E6" w:rsidRPr="00B773E6" w:rsidRDefault="00B773E6" w:rsidP="00B773E6">
      <w:r w:rsidRPr="00B773E6">
        <w:t xml:space="preserve">Conversely, longer sync signal periodicity supports energy efficient operation for devices in idle or low power modes, such as massive IoT deployments with stringent battery life requirements. It allows extended sleep cycles and reduces resource </w:t>
      </w:r>
      <w:proofErr w:type="gramStart"/>
      <w:r w:rsidRPr="00B773E6">
        <w:t>usage, but</w:t>
      </w:r>
      <w:proofErr w:type="gramEnd"/>
      <w:r w:rsidRPr="00B773E6">
        <w:t xml:space="preserve"> may delay cell discovery and reconnection. The design must also consider synchronization accuracy under dynamic channel conditions and the need to support diverse device types with varying capabilities. A flexible or adaptive sync signal periodicity configuration, potentially tailored to deployment scenarios and </w:t>
      </w:r>
      <w:r w:rsidR="00C87EA2">
        <w:t>device</w:t>
      </w:r>
      <w:r w:rsidRPr="00B773E6">
        <w:t xml:space="preserve"> profiles, can help balance robustness, efficiency, and scalability in future 6G networks.</w:t>
      </w:r>
    </w:p>
    <w:p w14:paraId="219A1CEF" w14:textId="6967F0D2" w:rsidR="00587BE0" w:rsidRDefault="00BB1A73" w:rsidP="0084609F">
      <w:r>
        <w:t>Based on th</w:t>
      </w:r>
      <w:r w:rsidR="00B773E6">
        <w:t>e discussion</w:t>
      </w:r>
      <w:r>
        <w:t xml:space="preserve"> we propose the following</w:t>
      </w:r>
      <w:r w:rsidR="00B773E6">
        <w:t>s</w:t>
      </w:r>
      <w:r>
        <w:t>:</w:t>
      </w:r>
    </w:p>
    <w:p w14:paraId="06ECC481" w14:textId="2294B93C" w:rsidR="00BB1A73" w:rsidRPr="00BB1A73" w:rsidRDefault="00BB1A73" w:rsidP="00BB1A73">
      <w:pPr>
        <w:spacing w:after="0"/>
        <w:rPr>
          <w:i/>
          <w:iCs/>
        </w:rPr>
      </w:pPr>
      <w:r w:rsidRPr="00BB1A73">
        <w:rPr>
          <w:b/>
          <w:bCs/>
          <w:i/>
          <w:iCs/>
        </w:rPr>
        <w:t xml:space="preserve">Proposal </w:t>
      </w:r>
      <w:r w:rsidR="003012AE">
        <w:rPr>
          <w:b/>
          <w:bCs/>
          <w:i/>
          <w:iCs/>
        </w:rPr>
        <w:t>6</w:t>
      </w:r>
      <w:r w:rsidRPr="00BB1A73">
        <w:rPr>
          <w:b/>
          <w:bCs/>
          <w:i/>
          <w:iCs/>
        </w:rPr>
        <w:t>:</w:t>
      </w:r>
      <w:r w:rsidRPr="00BB1A73">
        <w:rPr>
          <w:i/>
          <w:iCs/>
        </w:rPr>
        <w:t xml:space="preserve"> </w:t>
      </w:r>
      <w:r w:rsidR="00174010">
        <w:rPr>
          <w:i/>
          <w:iCs/>
        </w:rPr>
        <w:t>In studying</w:t>
      </w:r>
      <w:r w:rsidRPr="00BB1A73">
        <w:rPr>
          <w:i/>
          <w:iCs/>
        </w:rPr>
        <w:t xml:space="preserve"> high-level factors influencing the 6GR synchronization signal structure and periodicity</w:t>
      </w:r>
      <w:r w:rsidR="00AC156D">
        <w:rPr>
          <w:i/>
          <w:iCs/>
        </w:rPr>
        <w:t xml:space="preserve"> to</w:t>
      </w:r>
      <w:r w:rsidR="00AC156D" w:rsidRPr="00BB1A73">
        <w:rPr>
          <w:i/>
          <w:iCs/>
        </w:rPr>
        <w:t xml:space="preserve"> balance robustness, adaptability, and efficiency </w:t>
      </w:r>
      <w:r w:rsidR="00AC156D">
        <w:rPr>
          <w:i/>
          <w:iCs/>
        </w:rPr>
        <w:t>meeting the diverse and demanding requirement of</w:t>
      </w:r>
      <w:r w:rsidR="00AC156D" w:rsidRPr="00BB1A73">
        <w:rPr>
          <w:i/>
          <w:iCs/>
        </w:rPr>
        <w:t xml:space="preserve"> 6GR networks</w:t>
      </w:r>
      <w:r w:rsidR="00174010">
        <w:rPr>
          <w:i/>
          <w:iCs/>
        </w:rPr>
        <w:t>,</w:t>
      </w:r>
      <w:r w:rsidRPr="00BB1A73">
        <w:rPr>
          <w:i/>
          <w:iCs/>
        </w:rPr>
        <w:t xml:space="preserve"> </w:t>
      </w:r>
      <w:r w:rsidR="00174010">
        <w:rPr>
          <w:i/>
          <w:iCs/>
        </w:rPr>
        <w:t>a</w:t>
      </w:r>
      <w:r w:rsidRPr="00BB1A73">
        <w:rPr>
          <w:i/>
          <w:iCs/>
        </w:rPr>
        <w:t>t least the following aspects are included</w:t>
      </w:r>
    </w:p>
    <w:p w14:paraId="363D904E"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t>frequency</w:t>
      </w:r>
      <w:proofErr w:type="spellEnd"/>
      <w:r w:rsidRPr="00BB1A73">
        <w:rPr>
          <w:i/>
          <w:iCs/>
          <w:sz w:val="20"/>
          <w:szCs w:val="20"/>
        </w:rPr>
        <w:t xml:space="preserve"> </w:t>
      </w:r>
      <w:proofErr w:type="spellStart"/>
      <w:r w:rsidRPr="00BB1A73">
        <w:rPr>
          <w:i/>
          <w:iCs/>
          <w:sz w:val="20"/>
          <w:szCs w:val="20"/>
        </w:rPr>
        <w:t>band</w:t>
      </w:r>
      <w:proofErr w:type="spellEnd"/>
      <w:r w:rsidRPr="00BB1A73">
        <w:rPr>
          <w:i/>
          <w:iCs/>
          <w:sz w:val="20"/>
          <w:szCs w:val="20"/>
        </w:rPr>
        <w:t xml:space="preserve"> </w:t>
      </w:r>
      <w:proofErr w:type="spellStart"/>
      <w:r w:rsidRPr="00BB1A73">
        <w:rPr>
          <w:i/>
          <w:iCs/>
          <w:sz w:val="20"/>
          <w:szCs w:val="20"/>
        </w:rPr>
        <w:t>characteristics</w:t>
      </w:r>
      <w:proofErr w:type="spellEnd"/>
    </w:p>
    <w:p w14:paraId="0772F5DB"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t>beamforming</w:t>
      </w:r>
      <w:proofErr w:type="spellEnd"/>
      <w:r w:rsidRPr="00BB1A73">
        <w:rPr>
          <w:i/>
          <w:iCs/>
          <w:sz w:val="20"/>
          <w:szCs w:val="20"/>
        </w:rPr>
        <w:t xml:space="preserve"> </w:t>
      </w:r>
      <w:proofErr w:type="spellStart"/>
      <w:r w:rsidRPr="00BB1A73">
        <w:rPr>
          <w:i/>
          <w:iCs/>
          <w:sz w:val="20"/>
          <w:szCs w:val="20"/>
        </w:rPr>
        <w:t>strategies</w:t>
      </w:r>
      <w:proofErr w:type="spellEnd"/>
    </w:p>
    <w:p w14:paraId="04499268"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t>deployment</w:t>
      </w:r>
      <w:proofErr w:type="spellEnd"/>
      <w:r w:rsidRPr="00BB1A73">
        <w:rPr>
          <w:i/>
          <w:iCs/>
          <w:sz w:val="20"/>
          <w:szCs w:val="20"/>
        </w:rPr>
        <w:t xml:space="preserve"> </w:t>
      </w:r>
      <w:proofErr w:type="spellStart"/>
      <w:r w:rsidRPr="00BB1A73">
        <w:rPr>
          <w:i/>
          <w:iCs/>
          <w:sz w:val="20"/>
          <w:szCs w:val="20"/>
        </w:rPr>
        <w:t>scenarios</w:t>
      </w:r>
      <w:proofErr w:type="spellEnd"/>
    </w:p>
    <w:p w14:paraId="3FC00ED3"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t>device</w:t>
      </w:r>
      <w:proofErr w:type="spellEnd"/>
      <w:r w:rsidRPr="00BB1A73">
        <w:rPr>
          <w:i/>
          <w:iCs/>
          <w:sz w:val="20"/>
          <w:szCs w:val="20"/>
        </w:rPr>
        <w:t xml:space="preserve"> </w:t>
      </w:r>
      <w:proofErr w:type="spellStart"/>
      <w:r w:rsidRPr="00BB1A73">
        <w:rPr>
          <w:i/>
          <w:iCs/>
          <w:sz w:val="20"/>
          <w:szCs w:val="20"/>
        </w:rPr>
        <w:t>diversity</w:t>
      </w:r>
      <w:proofErr w:type="spellEnd"/>
    </w:p>
    <w:p w14:paraId="3C0109E8"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t>initial</w:t>
      </w:r>
      <w:proofErr w:type="spellEnd"/>
      <w:r w:rsidRPr="00BB1A73">
        <w:rPr>
          <w:i/>
          <w:iCs/>
          <w:sz w:val="20"/>
          <w:szCs w:val="20"/>
        </w:rPr>
        <w:t xml:space="preserve"> </w:t>
      </w:r>
      <w:proofErr w:type="spellStart"/>
      <w:r w:rsidRPr="00BB1A73">
        <w:rPr>
          <w:i/>
          <w:iCs/>
          <w:sz w:val="20"/>
          <w:szCs w:val="20"/>
        </w:rPr>
        <w:t>access</w:t>
      </w:r>
      <w:proofErr w:type="spellEnd"/>
      <w:r w:rsidRPr="00BB1A73">
        <w:rPr>
          <w:i/>
          <w:iCs/>
          <w:sz w:val="20"/>
          <w:szCs w:val="20"/>
        </w:rPr>
        <w:t xml:space="preserve"> </w:t>
      </w:r>
      <w:proofErr w:type="spellStart"/>
      <w:r w:rsidRPr="00BB1A73">
        <w:rPr>
          <w:i/>
          <w:iCs/>
          <w:sz w:val="20"/>
          <w:szCs w:val="20"/>
        </w:rPr>
        <w:t>flexibility</w:t>
      </w:r>
      <w:proofErr w:type="spellEnd"/>
    </w:p>
    <w:p w14:paraId="2E35FBD7" w14:textId="77777777" w:rsidR="00BB1A73" w:rsidRPr="00BB1A73" w:rsidRDefault="00BB1A73" w:rsidP="00DE026A">
      <w:pPr>
        <w:pStyle w:val="ListParagraph"/>
        <w:numPr>
          <w:ilvl w:val="0"/>
          <w:numId w:val="13"/>
        </w:numPr>
        <w:rPr>
          <w:i/>
          <w:iCs/>
          <w:sz w:val="20"/>
          <w:szCs w:val="20"/>
        </w:rPr>
      </w:pPr>
      <w:proofErr w:type="spellStart"/>
      <w:r w:rsidRPr="00BB1A73">
        <w:rPr>
          <w:i/>
          <w:iCs/>
          <w:sz w:val="20"/>
          <w:szCs w:val="20"/>
        </w:rPr>
        <w:lastRenderedPageBreak/>
        <w:t>energy</w:t>
      </w:r>
      <w:proofErr w:type="spellEnd"/>
      <w:r w:rsidRPr="00BB1A73">
        <w:rPr>
          <w:i/>
          <w:iCs/>
          <w:sz w:val="20"/>
          <w:szCs w:val="20"/>
        </w:rPr>
        <w:t xml:space="preserve"> </w:t>
      </w:r>
      <w:proofErr w:type="spellStart"/>
      <w:r w:rsidRPr="00BB1A73">
        <w:rPr>
          <w:i/>
          <w:iCs/>
          <w:sz w:val="20"/>
          <w:szCs w:val="20"/>
        </w:rPr>
        <w:t>efficiency</w:t>
      </w:r>
      <w:proofErr w:type="spellEnd"/>
    </w:p>
    <w:p w14:paraId="7D0C190D" w14:textId="702CB7DF" w:rsidR="00BB1A73" w:rsidRPr="00BB1A73" w:rsidRDefault="00BB1A73" w:rsidP="00CC6702">
      <w:pPr>
        <w:pStyle w:val="ListParagraph"/>
        <w:numPr>
          <w:ilvl w:val="0"/>
          <w:numId w:val="13"/>
        </w:numPr>
        <w:ind w:left="714" w:hanging="357"/>
        <w:rPr>
          <w:i/>
          <w:iCs/>
          <w:sz w:val="20"/>
          <w:szCs w:val="20"/>
        </w:rPr>
      </w:pPr>
      <w:proofErr w:type="spellStart"/>
      <w:r w:rsidRPr="00BB1A73">
        <w:rPr>
          <w:i/>
          <w:iCs/>
          <w:sz w:val="20"/>
          <w:szCs w:val="20"/>
        </w:rPr>
        <w:t>sensing</w:t>
      </w:r>
      <w:proofErr w:type="spellEnd"/>
      <w:r w:rsidRPr="00BB1A73">
        <w:rPr>
          <w:i/>
          <w:iCs/>
          <w:sz w:val="20"/>
          <w:szCs w:val="20"/>
        </w:rPr>
        <w:t xml:space="preserve"> </w:t>
      </w:r>
      <w:proofErr w:type="spellStart"/>
      <w:r w:rsidRPr="00BB1A73">
        <w:rPr>
          <w:i/>
          <w:iCs/>
          <w:sz w:val="20"/>
          <w:szCs w:val="20"/>
        </w:rPr>
        <w:t>support</w:t>
      </w:r>
      <w:proofErr w:type="spellEnd"/>
    </w:p>
    <w:p w14:paraId="7DE53F7B" w14:textId="5292578E" w:rsidR="00174010" w:rsidRDefault="00174010" w:rsidP="00174010">
      <w:pPr>
        <w:spacing w:after="0"/>
        <w:rPr>
          <w:i/>
          <w:iCs/>
        </w:rPr>
      </w:pPr>
      <w:r>
        <w:rPr>
          <w:i/>
          <w:iCs/>
        </w:rPr>
        <w:t>and at least the following key performance dimensions are considered</w:t>
      </w:r>
    </w:p>
    <w:p w14:paraId="472541A1" w14:textId="77777777" w:rsidR="00174010" w:rsidRPr="00174010" w:rsidRDefault="00174010" w:rsidP="00174010">
      <w:pPr>
        <w:pStyle w:val="ListParagraph"/>
        <w:numPr>
          <w:ilvl w:val="0"/>
          <w:numId w:val="13"/>
        </w:numPr>
        <w:rPr>
          <w:i/>
          <w:iCs/>
          <w:sz w:val="20"/>
          <w:szCs w:val="20"/>
        </w:rPr>
      </w:pPr>
      <w:proofErr w:type="spellStart"/>
      <w:r w:rsidRPr="00174010">
        <w:rPr>
          <w:i/>
          <w:iCs/>
          <w:sz w:val="20"/>
          <w:szCs w:val="20"/>
        </w:rPr>
        <w:t>initial</w:t>
      </w:r>
      <w:proofErr w:type="spellEnd"/>
      <w:r w:rsidRPr="00174010">
        <w:rPr>
          <w:i/>
          <w:iCs/>
          <w:sz w:val="20"/>
          <w:szCs w:val="20"/>
        </w:rPr>
        <w:t xml:space="preserve"> </w:t>
      </w:r>
      <w:proofErr w:type="spellStart"/>
      <w:r w:rsidRPr="00174010">
        <w:rPr>
          <w:i/>
          <w:iCs/>
          <w:sz w:val="20"/>
          <w:szCs w:val="20"/>
        </w:rPr>
        <w:t>access</w:t>
      </w:r>
      <w:proofErr w:type="spellEnd"/>
      <w:r w:rsidRPr="00174010">
        <w:rPr>
          <w:i/>
          <w:iCs/>
          <w:sz w:val="20"/>
          <w:szCs w:val="20"/>
        </w:rPr>
        <w:t xml:space="preserve"> </w:t>
      </w:r>
      <w:proofErr w:type="spellStart"/>
      <w:r w:rsidRPr="00174010">
        <w:rPr>
          <w:i/>
          <w:iCs/>
          <w:sz w:val="20"/>
          <w:szCs w:val="20"/>
        </w:rPr>
        <w:t>latency</w:t>
      </w:r>
      <w:proofErr w:type="spellEnd"/>
    </w:p>
    <w:p w14:paraId="59AB9ABF" w14:textId="77777777" w:rsidR="00174010" w:rsidRPr="00174010" w:rsidRDefault="00174010" w:rsidP="00174010">
      <w:pPr>
        <w:pStyle w:val="ListParagraph"/>
        <w:numPr>
          <w:ilvl w:val="0"/>
          <w:numId w:val="13"/>
        </w:numPr>
        <w:rPr>
          <w:i/>
          <w:iCs/>
          <w:sz w:val="20"/>
          <w:szCs w:val="20"/>
          <w:lang w:val="en-GB"/>
        </w:rPr>
      </w:pPr>
      <w:r w:rsidRPr="00174010">
        <w:rPr>
          <w:i/>
          <w:iCs/>
          <w:sz w:val="20"/>
          <w:szCs w:val="20"/>
          <w:lang w:val="en-GB"/>
        </w:rPr>
        <w:t>mobility management</w:t>
      </w:r>
    </w:p>
    <w:p w14:paraId="39FD7F14" w14:textId="08F5AFB3" w:rsidR="00174010" w:rsidRPr="00174010" w:rsidRDefault="008317F2" w:rsidP="00174010">
      <w:pPr>
        <w:pStyle w:val="ListParagraph"/>
        <w:numPr>
          <w:ilvl w:val="0"/>
          <w:numId w:val="13"/>
        </w:numPr>
        <w:rPr>
          <w:i/>
          <w:iCs/>
          <w:sz w:val="20"/>
          <w:szCs w:val="20"/>
          <w:lang w:val="en-GB"/>
        </w:rPr>
      </w:pPr>
      <w:r>
        <w:rPr>
          <w:i/>
          <w:iCs/>
          <w:sz w:val="20"/>
          <w:szCs w:val="20"/>
          <w:lang w:val="en-GB"/>
        </w:rPr>
        <w:t>device</w:t>
      </w:r>
      <w:r w:rsidR="00174010" w:rsidRPr="00174010">
        <w:rPr>
          <w:i/>
          <w:iCs/>
          <w:sz w:val="20"/>
          <w:szCs w:val="20"/>
          <w:lang w:val="en-GB"/>
        </w:rPr>
        <w:t xml:space="preserve"> power consumption</w:t>
      </w:r>
    </w:p>
    <w:p w14:paraId="48F46802" w14:textId="2FCB80B4" w:rsidR="00403E5B" w:rsidRPr="00AC156D" w:rsidRDefault="00174010" w:rsidP="00667D7C">
      <w:pPr>
        <w:pStyle w:val="ListParagraph"/>
        <w:numPr>
          <w:ilvl w:val="0"/>
          <w:numId w:val="13"/>
        </w:numPr>
        <w:spacing w:after="180"/>
        <w:ind w:left="714" w:hanging="357"/>
        <w:rPr>
          <w:i/>
          <w:iCs/>
          <w:sz w:val="20"/>
          <w:szCs w:val="20"/>
          <w:lang w:val="en-GB"/>
        </w:rPr>
      </w:pPr>
      <w:r w:rsidRPr="00174010">
        <w:rPr>
          <w:i/>
          <w:iCs/>
          <w:sz w:val="20"/>
          <w:szCs w:val="20"/>
          <w:lang w:val="en-GB"/>
        </w:rPr>
        <w:t xml:space="preserve">network </w:t>
      </w:r>
      <w:proofErr w:type="spellStart"/>
      <w:r w:rsidRPr="00174010">
        <w:rPr>
          <w:i/>
          <w:iCs/>
          <w:sz w:val="20"/>
          <w:szCs w:val="20"/>
        </w:rPr>
        <w:t>overhead</w:t>
      </w:r>
      <w:proofErr w:type="spellEnd"/>
      <w:r w:rsidR="00BB1A73" w:rsidRPr="00AC156D">
        <w:rPr>
          <w:i/>
          <w:iCs/>
        </w:rPr>
        <w:t>.</w:t>
      </w:r>
    </w:p>
    <w:p w14:paraId="5F8D89EB" w14:textId="39A1C721" w:rsidR="00796BE0" w:rsidRDefault="00796BE0" w:rsidP="003C457E">
      <w:pPr>
        <w:pStyle w:val="Heading2"/>
      </w:pPr>
      <w:r>
        <w:t>Lessons Learned from 5G BWP Framework</w:t>
      </w:r>
    </w:p>
    <w:p w14:paraId="3D62F22C" w14:textId="4D96FD60" w:rsidR="000C3213" w:rsidRDefault="000C3213" w:rsidP="000C3213">
      <w:r>
        <w:t xml:space="preserve">According to the following agreement </w:t>
      </w:r>
      <w:r w:rsidR="00975D3C">
        <w:t>i</w:t>
      </w:r>
      <w:r>
        <w:t xml:space="preserve">n RAN1 #122 meetings </w:t>
      </w:r>
      <w:sdt>
        <w:sdtPr>
          <w:id w:val="1124655069"/>
          <w:citation/>
        </w:sdtPr>
        <w:sdtContent>
          <w:r>
            <w:fldChar w:fldCharType="begin"/>
          </w:r>
          <w:r>
            <w:instrText xml:space="preserve"> CITATION RAN1_122 \l 2057 </w:instrText>
          </w:r>
          <w:r>
            <w:fldChar w:fldCharType="separate"/>
          </w:r>
          <w:r w:rsidRPr="00CD1669">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0C3213" w14:paraId="4F719679" w14:textId="77777777" w:rsidTr="00043087">
        <w:tc>
          <w:tcPr>
            <w:tcW w:w="9634" w:type="dxa"/>
            <w:tcBorders>
              <w:top w:val="single" w:sz="4" w:space="0" w:color="auto"/>
              <w:left w:val="single" w:sz="4" w:space="0" w:color="auto"/>
              <w:bottom w:val="single" w:sz="4" w:space="0" w:color="auto"/>
              <w:right w:val="single" w:sz="4" w:space="0" w:color="auto"/>
            </w:tcBorders>
          </w:tcPr>
          <w:p w14:paraId="17F14F8A" w14:textId="77777777" w:rsidR="000C3213" w:rsidRPr="00152A86" w:rsidRDefault="000C3213"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1F851489" w14:textId="509DA43B" w:rsidR="000C3213" w:rsidRPr="005E6682" w:rsidRDefault="00572DC0" w:rsidP="00043087">
            <w:pPr>
              <w:rPr>
                <w:lang w:val="en-US"/>
              </w:rPr>
            </w:pPr>
            <w:r w:rsidRPr="00763F46">
              <w:rPr>
                <w:lang w:val="en-US"/>
              </w:rPr>
              <w:t>Study and identify the lessons learned from NR BWP framework</w:t>
            </w:r>
            <w:r>
              <w:rPr>
                <w:lang w:val="en-US"/>
              </w:rPr>
              <w:t>.</w:t>
            </w:r>
          </w:p>
        </w:tc>
      </w:tr>
    </w:tbl>
    <w:p w14:paraId="6941EF40" w14:textId="3F989380" w:rsidR="000C3213" w:rsidRDefault="000C3213" w:rsidP="00796BE0">
      <w:r w:rsidRPr="00BB1A73">
        <w:t>RAN1 has agreed to initiate a study focus</w:t>
      </w:r>
      <w:r w:rsidR="002A41F6">
        <w:t>ed</w:t>
      </w:r>
      <w:r w:rsidR="00572DC0">
        <w:t xml:space="preserve"> on identifying </w:t>
      </w:r>
      <w:r w:rsidR="00572DC0" w:rsidRPr="00763F46">
        <w:rPr>
          <w:lang w:val="en-US"/>
        </w:rPr>
        <w:t>the lessons learned from NR BWP framework</w:t>
      </w:r>
      <w:r w:rsidR="00572DC0">
        <w:rPr>
          <w:lang w:val="en-US"/>
        </w:rPr>
        <w:t xml:space="preserve">. </w:t>
      </w:r>
      <w:r w:rsidR="002A41F6" w:rsidRPr="002A41F6">
        <w:t xml:space="preserve">In </w:t>
      </w:r>
      <w:r w:rsidR="008F7E00">
        <w:t>this</w:t>
      </w:r>
      <w:r w:rsidR="002A41F6" w:rsidRPr="002A41F6">
        <w:t xml:space="preserve"> section, we share our perspective on this topic and outline our proposed approach to support the study</w:t>
      </w:r>
      <w:r w:rsidR="00572DC0">
        <w:rPr>
          <w:lang w:val="en-US"/>
        </w:rPr>
        <w:t>.</w:t>
      </w:r>
    </w:p>
    <w:p w14:paraId="21B7016E" w14:textId="74D019CF" w:rsidR="00796BE0" w:rsidRPr="00796BE0" w:rsidRDefault="00796BE0" w:rsidP="00796BE0">
      <w:r w:rsidRPr="00796BE0">
        <w:t>The NR BWP framework has delivered several notable successes in 5G deployments. It has significantly contributed to UE power savings by allowing devices to operate on narrower bandwidths during low-activity periods, thereby extending battery life. The framework has also enabled device capability accommodation, allowing UEs with varying RF capabilities to coexist within the same wideband carrier. Additionally, flexible resource allocation has empowered operators to dynamically manage spectrum based on traffic demands, and URLLC support has been enhanced through dedicated BWPs with tailored numerology for low-latency services.</w:t>
      </w:r>
    </w:p>
    <w:p w14:paraId="04BEA791" w14:textId="77D09F87" w:rsidR="00796BE0" w:rsidRPr="00796BE0" w:rsidRDefault="00796BE0" w:rsidP="00796BE0">
      <w:r w:rsidRPr="00796BE0">
        <w:t xml:space="preserve">However, several challenges have emerged that limit the full potential of the BWP framework, especially in the context of 6G evolution. Switching latency, particularly due to RF retuning, can hinder performance in latency-sensitive applications. The </w:t>
      </w:r>
      <w:proofErr w:type="spellStart"/>
      <w:r w:rsidRPr="00796BE0">
        <w:t>signaling</w:t>
      </w:r>
      <w:proofErr w:type="spellEnd"/>
      <w:r w:rsidRPr="00796BE0">
        <w:t xml:space="preserve"> overhead from RRC and DCI messages adds complexity, especially for small packet transmissions. The limited number of BWPs per UE (</w:t>
      </w:r>
      <w:r w:rsidR="00F06422">
        <w:t xml:space="preserve">i.e., </w:t>
      </w:r>
      <w:r w:rsidRPr="00796BE0">
        <w:t xml:space="preserve">capped at </w:t>
      </w:r>
      <w:r w:rsidR="00F06422">
        <w:t>4</w:t>
      </w:r>
      <w:r w:rsidRPr="00796BE0">
        <w:t>) may not suffice for diverse 6G scenarios, and cross-BWP scheduling introduces coordination and interference management difficulties. Furthermore, initial access efficiency is impacted by suboptimal default BWP configurations, and BWP misalignment across carriers complicates carrier aggregation. Lastly, the absence of BWP-level QoS association restricts fine-grained service differentiation, highlighting the need for enhancements in future releases.</w:t>
      </w:r>
      <w:r w:rsidR="00664DCA">
        <w:t xml:space="preserve"> We summarize the findings in the following observation:</w:t>
      </w:r>
    </w:p>
    <w:p w14:paraId="3C6B038F" w14:textId="474B6E50" w:rsidR="00796BE0" w:rsidRDefault="00796BE0" w:rsidP="00664DCA">
      <w:pPr>
        <w:rPr>
          <w:i/>
          <w:iCs/>
        </w:rPr>
      </w:pPr>
      <w:r w:rsidRPr="00796BE0">
        <w:rPr>
          <w:b/>
          <w:bCs/>
          <w:i/>
          <w:iCs/>
        </w:rPr>
        <w:t>Observation 1:</w:t>
      </w:r>
      <w:r>
        <w:rPr>
          <w:i/>
          <w:iCs/>
        </w:rPr>
        <w:t xml:space="preserve"> </w:t>
      </w:r>
      <w:r w:rsidR="00F06422">
        <w:rPr>
          <w:i/>
          <w:iCs/>
        </w:rPr>
        <w:t xml:space="preserve">While </w:t>
      </w:r>
      <w:r w:rsidRPr="00796BE0">
        <w:rPr>
          <w:i/>
          <w:iCs/>
        </w:rPr>
        <w:t>NR BWP framework has successfully enabled power-efficient operation, flexible resource allocation, and support for diverse device capabilities and low-latency services, it faces</w:t>
      </w:r>
      <w:r w:rsidR="00D87101">
        <w:rPr>
          <w:i/>
          <w:iCs/>
        </w:rPr>
        <w:t xml:space="preserve"> several</w:t>
      </w:r>
      <w:r w:rsidRPr="00796BE0">
        <w:rPr>
          <w:i/>
          <w:iCs/>
        </w:rPr>
        <w:t xml:space="preserve"> challenges</w:t>
      </w:r>
      <w:r w:rsidR="00D87101">
        <w:rPr>
          <w:i/>
          <w:iCs/>
        </w:rPr>
        <w:t>,</w:t>
      </w:r>
      <w:r w:rsidRPr="00796BE0">
        <w:rPr>
          <w:i/>
          <w:iCs/>
        </w:rPr>
        <w:t xml:space="preserve"> </w:t>
      </w:r>
      <w:r w:rsidR="00D87101">
        <w:rPr>
          <w:i/>
          <w:iCs/>
        </w:rPr>
        <w:t>including</w:t>
      </w:r>
      <w:r w:rsidRPr="00796BE0">
        <w:rPr>
          <w:i/>
          <w:iCs/>
        </w:rPr>
        <w:t xml:space="preserve"> switching latency, </w:t>
      </w:r>
      <w:proofErr w:type="spellStart"/>
      <w:r w:rsidRPr="00796BE0">
        <w:rPr>
          <w:i/>
          <w:iCs/>
        </w:rPr>
        <w:t>signaling</w:t>
      </w:r>
      <w:proofErr w:type="spellEnd"/>
      <w:r w:rsidRPr="00796BE0">
        <w:rPr>
          <w:i/>
          <w:iCs/>
        </w:rPr>
        <w:t xml:space="preserve"> overhead, limited</w:t>
      </w:r>
      <w:r w:rsidR="00D87101">
        <w:rPr>
          <w:i/>
          <w:iCs/>
        </w:rPr>
        <w:t xml:space="preserve"> number of</w:t>
      </w:r>
      <w:r w:rsidRPr="00796BE0">
        <w:rPr>
          <w:i/>
          <w:iCs/>
        </w:rPr>
        <w:t xml:space="preserve"> BWP</w:t>
      </w:r>
      <w:r w:rsidR="00D87101">
        <w:rPr>
          <w:i/>
          <w:iCs/>
        </w:rPr>
        <w:t>s</w:t>
      </w:r>
      <w:r w:rsidRPr="00796BE0">
        <w:rPr>
          <w:i/>
          <w:iCs/>
        </w:rPr>
        <w:t>, cross-BWP scheduling complexity, and lack of BWP-level QoS association</w:t>
      </w:r>
      <w:r w:rsidR="00D87101">
        <w:rPr>
          <w:i/>
          <w:iCs/>
        </w:rPr>
        <w:t xml:space="preserve">, </w:t>
      </w:r>
      <w:r w:rsidRPr="00796BE0">
        <w:rPr>
          <w:i/>
          <w:iCs/>
        </w:rPr>
        <w:t>that must be addressed to fully realize its potential in 6G</w:t>
      </w:r>
      <w:r w:rsidR="00D87101">
        <w:rPr>
          <w:i/>
          <w:iCs/>
        </w:rPr>
        <w:t>R</w:t>
      </w:r>
      <w:r>
        <w:rPr>
          <w:i/>
          <w:iCs/>
        </w:rPr>
        <w:t>.</w:t>
      </w:r>
    </w:p>
    <w:p w14:paraId="022B0FE6" w14:textId="6070FFB1" w:rsidR="00664DCA" w:rsidRPr="00664DCA" w:rsidRDefault="00664DCA" w:rsidP="00664DCA">
      <w:r w:rsidRPr="00664DCA">
        <w:t xml:space="preserve">Based on the observation, we </w:t>
      </w:r>
      <w:r w:rsidR="00D87101" w:rsidRPr="00664DCA">
        <w:t>propose</w:t>
      </w:r>
      <w:r w:rsidRPr="00664DCA">
        <w:t xml:space="preserve"> the following directions for the NR BWP extension.</w:t>
      </w:r>
    </w:p>
    <w:p w14:paraId="3779AB30" w14:textId="7D7DC0D3" w:rsidR="00796BE0" w:rsidRPr="00796BE0" w:rsidRDefault="00796BE0" w:rsidP="00796BE0">
      <w:pPr>
        <w:spacing w:after="0"/>
        <w:rPr>
          <w:i/>
          <w:iCs/>
        </w:rPr>
      </w:pPr>
      <w:r w:rsidRPr="00796BE0">
        <w:rPr>
          <w:b/>
          <w:bCs/>
          <w:i/>
          <w:iCs/>
        </w:rPr>
        <w:t>Proposal 7:</w:t>
      </w:r>
      <w:r>
        <w:rPr>
          <w:i/>
          <w:iCs/>
        </w:rPr>
        <w:t xml:space="preserve"> </w:t>
      </w:r>
      <w:r w:rsidR="001C2ADE">
        <w:rPr>
          <w:i/>
          <w:iCs/>
        </w:rPr>
        <w:t>RAN1 studies the</w:t>
      </w:r>
      <w:r w:rsidRPr="00796BE0">
        <w:rPr>
          <w:i/>
          <w:iCs/>
        </w:rPr>
        <w:t xml:space="preserve"> following </w:t>
      </w:r>
      <w:r w:rsidR="00572DC0">
        <w:rPr>
          <w:i/>
          <w:iCs/>
        </w:rPr>
        <w:t xml:space="preserve">directions for 6GR BWP based on the NR </w:t>
      </w:r>
      <w:r w:rsidRPr="00796BE0">
        <w:rPr>
          <w:i/>
          <w:iCs/>
        </w:rPr>
        <w:t>BWP</w:t>
      </w:r>
      <w:r w:rsidR="00572DC0">
        <w:rPr>
          <w:i/>
          <w:iCs/>
        </w:rPr>
        <w:t xml:space="preserve"> </w:t>
      </w:r>
      <w:r w:rsidRPr="00796BE0">
        <w:rPr>
          <w:i/>
          <w:iCs/>
        </w:rPr>
        <w:t>framework:</w:t>
      </w:r>
    </w:p>
    <w:p w14:paraId="51A91260" w14:textId="4D03C91E" w:rsidR="00796BE0" w:rsidRPr="00796BE0" w:rsidRDefault="00796BE0" w:rsidP="00796BE0">
      <w:pPr>
        <w:pStyle w:val="ListParagraph"/>
        <w:numPr>
          <w:ilvl w:val="0"/>
          <w:numId w:val="9"/>
        </w:numPr>
        <w:rPr>
          <w:i/>
          <w:iCs/>
          <w:sz w:val="20"/>
          <w:szCs w:val="20"/>
          <w:lang w:val="en-GB"/>
        </w:rPr>
      </w:pPr>
      <w:r w:rsidRPr="00796BE0">
        <w:rPr>
          <w:i/>
          <w:iCs/>
          <w:sz w:val="20"/>
          <w:szCs w:val="20"/>
          <w:lang w:val="en-GB"/>
        </w:rPr>
        <w:t xml:space="preserve">Architecture Enhancements: Introduce hierarchical BWPs, support </w:t>
      </w:r>
      <w:r w:rsidR="00664DCA">
        <w:rPr>
          <w:i/>
          <w:iCs/>
          <w:sz w:val="20"/>
          <w:szCs w:val="20"/>
          <w:lang w:val="en-GB"/>
        </w:rPr>
        <w:t>at least X</w:t>
      </w:r>
      <w:r w:rsidRPr="00796BE0">
        <w:rPr>
          <w:i/>
          <w:iCs/>
          <w:sz w:val="20"/>
          <w:szCs w:val="20"/>
          <w:lang w:val="en-GB"/>
        </w:rPr>
        <w:t xml:space="preserve"> BWPs per UE</w:t>
      </w:r>
      <w:r w:rsidR="00664DCA">
        <w:rPr>
          <w:i/>
          <w:iCs/>
          <w:sz w:val="20"/>
          <w:szCs w:val="20"/>
          <w:lang w:val="en-GB"/>
        </w:rPr>
        <w:t xml:space="preserve"> ([X&gt;4])</w:t>
      </w:r>
      <w:r w:rsidRPr="00796BE0">
        <w:rPr>
          <w:i/>
          <w:iCs/>
          <w:sz w:val="20"/>
          <w:szCs w:val="20"/>
          <w:lang w:val="en-GB"/>
        </w:rPr>
        <w:t xml:space="preserve">, enable virtual BWPs across non-contiguous spectrum, and implement </w:t>
      </w:r>
      <w:commentRangeStart w:id="3"/>
      <w:r w:rsidRPr="00796BE0">
        <w:rPr>
          <w:i/>
          <w:iCs/>
          <w:sz w:val="20"/>
          <w:szCs w:val="20"/>
          <w:lang w:val="en-GB"/>
        </w:rPr>
        <w:t>BWP pooling for UE groups</w:t>
      </w:r>
      <w:commentRangeEnd w:id="3"/>
      <w:r w:rsidR="00BA30C6">
        <w:rPr>
          <w:rStyle w:val="CommentReference"/>
          <w:rFonts w:eastAsia="MS Mincho"/>
          <w:szCs w:val="20"/>
          <w:lang w:val="en-GB" w:eastAsia="en-US"/>
        </w:rPr>
        <w:commentReference w:id="3"/>
      </w:r>
      <w:r w:rsidRPr="00796BE0">
        <w:rPr>
          <w:i/>
          <w:iCs/>
          <w:sz w:val="20"/>
          <w:szCs w:val="20"/>
          <w:lang w:val="en-GB"/>
        </w:rPr>
        <w:t>.</w:t>
      </w:r>
    </w:p>
    <w:p w14:paraId="5E32C0B8" w14:textId="77777777" w:rsidR="00796BE0" w:rsidRPr="00796BE0" w:rsidRDefault="00796BE0" w:rsidP="00796BE0">
      <w:pPr>
        <w:pStyle w:val="ListParagraph"/>
        <w:numPr>
          <w:ilvl w:val="0"/>
          <w:numId w:val="9"/>
        </w:numPr>
        <w:rPr>
          <w:i/>
          <w:iCs/>
          <w:sz w:val="20"/>
          <w:szCs w:val="20"/>
          <w:lang w:val="en-GB"/>
        </w:rPr>
      </w:pPr>
      <w:r w:rsidRPr="00796BE0">
        <w:rPr>
          <w:i/>
          <w:iCs/>
          <w:sz w:val="20"/>
          <w:szCs w:val="20"/>
          <w:lang w:val="en-GB"/>
        </w:rPr>
        <w:t>Switching Optimization: Enable fast and seamless BWP switching via predictive setup, parallel processing, and AI-assisted configuration.</w:t>
      </w:r>
    </w:p>
    <w:p w14:paraId="5C18367F" w14:textId="77777777" w:rsidR="00796BE0" w:rsidRPr="00796BE0" w:rsidRDefault="00796BE0" w:rsidP="00796BE0">
      <w:pPr>
        <w:pStyle w:val="ListParagraph"/>
        <w:numPr>
          <w:ilvl w:val="0"/>
          <w:numId w:val="9"/>
        </w:numPr>
        <w:rPr>
          <w:i/>
          <w:iCs/>
          <w:sz w:val="20"/>
          <w:szCs w:val="20"/>
          <w:lang w:val="en-GB"/>
        </w:rPr>
      </w:pPr>
      <w:r w:rsidRPr="00796BE0">
        <w:rPr>
          <w:i/>
          <w:iCs/>
          <w:sz w:val="20"/>
          <w:szCs w:val="20"/>
          <w:lang w:val="en-GB"/>
        </w:rPr>
        <w:t xml:space="preserve">Efficient </w:t>
      </w:r>
      <w:proofErr w:type="spellStart"/>
      <w:r w:rsidRPr="00796BE0">
        <w:rPr>
          <w:i/>
          <w:iCs/>
          <w:sz w:val="20"/>
          <w:szCs w:val="20"/>
          <w:lang w:val="en-GB"/>
        </w:rPr>
        <w:t>Signaling</w:t>
      </w:r>
      <w:proofErr w:type="spellEnd"/>
      <w:r w:rsidRPr="00796BE0">
        <w:rPr>
          <w:i/>
          <w:iCs/>
          <w:sz w:val="20"/>
          <w:szCs w:val="20"/>
          <w:lang w:val="en-GB"/>
        </w:rPr>
        <w:t>: Reduce overhead through implicit BWP indication, differential updates, and group-based control.</w:t>
      </w:r>
    </w:p>
    <w:p w14:paraId="27EF964E" w14:textId="77777777" w:rsidR="00796BE0" w:rsidRPr="00051725" w:rsidRDefault="00796BE0" w:rsidP="00664DCA">
      <w:pPr>
        <w:pStyle w:val="ListParagraph"/>
        <w:numPr>
          <w:ilvl w:val="0"/>
          <w:numId w:val="9"/>
        </w:numPr>
        <w:spacing w:after="180"/>
        <w:ind w:left="714" w:hanging="357"/>
        <w:rPr>
          <w:i/>
          <w:iCs/>
          <w:sz w:val="20"/>
          <w:szCs w:val="20"/>
          <w:lang w:val="en-GB"/>
        </w:rPr>
      </w:pPr>
      <w:r w:rsidRPr="00796BE0">
        <w:rPr>
          <w:i/>
          <w:iCs/>
          <w:sz w:val="20"/>
          <w:szCs w:val="20"/>
          <w:lang w:val="en-GB"/>
        </w:rPr>
        <w:t xml:space="preserve">Advanced Capabilities: Support </w:t>
      </w:r>
      <w:r w:rsidRPr="00051725">
        <w:rPr>
          <w:i/>
          <w:iCs/>
          <w:sz w:val="20"/>
          <w:szCs w:val="20"/>
          <w:lang w:val="en-GB"/>
        </w:rPr>
        <w:t>BWP-level QoS, cross-BWP coordination, ISAC-optimized BWPs, and energy-aware configuration.</w:t>
      </w:r>
    </w:p>
    <w:p w14:paraId="5DE00E3A" w14:textId="4FD86438" w:rsidR="00664DCA" w:rsidRDefault="00664DCA" w:rsidP="003C457E">
      <w:pPr>
        <w:pStyle w:val="Heading2"/>
      </w:pPr>
      <w:r>
        <w:t>Lessons Learned from NR Spectrum Utilization and Aggregation Framework</w:t>
      </w:r>
    </w:p>
    <w:p w14:paraId="00275549" w14:textId="28A653FF" w:rsidR="000C3213" w:rsidRDefault="000C3213" w:rsidP="000C3213">
      <w:r>
        <w:t xml:space="preserve">According to the following agreement </w:t>
      </w:r>
      <w:r w:rsidR="00975D3C">
        <w:t>i</w:t>
      </w:r>
      <w:r>
        <w:t xml:space="preserve">n RAN1 #122 meetings </w:t>
      </w:r>
      <w:sdt>
        <w:sdtPr>
          <w:id w:val="950588687"/>
          <w:citation/>
        </w:sdtPr>
        <w:sdtContent>
          <w:r>
            <w:fldChar w:fldCharType="begin"/>
          </w:r>
          <w:r>
            <w:instrText xml:space="preserve"> CITATION RAN1_122 \l 2057 </w:instrText>
          </w:r>
          <w:r>
            <w:fldChar w:fldCharType="separate"/>
          </w:r>
          <w:r w:rsidRPr="00CD1669">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0C3213" w14:paraId="36358847" w14:textId="77777777" w:rsidTr="00043087">
        <w:tc>
          <w:tcPr>
            <w:tcW w:w="9634" w:type="dxa"/>
            <w:tcBorders>
              <w:top w:val="single" w:sz="4" w:space="0" w:color="auto"/>
              <w:left w:val="single" w:sz="4" w:space="0" w:color="auto"/>
              <w:bottom w:val="single" w:sz="4" w:space="0" w:color="auto"/>
              <w:right w:val="single" w:sz="4" w:space="0" w:color="auto"/>
            </w:tcBorders>
          </w:tcPr>
          <w:p w14:paraId="7FFF74BB" w14:textId="77777777" w:rsidR="000C3213" w:rsidRPr="00152A86" w:rsidRDefault="000C3213"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4EE72130" w14:textId="77777777" w:rsidR="00572DC0" w:rsidRPr="00572DC0" w:rsidRDefault="00572DC0" w:rsidP="0002593A">
            <w:pPr>
              <w:overflowPunct/>
              <w:autoSpaceDE/>
              <w:autoSpaceDN/>
              <w:adjustRightInd/>
              <w:spacing w:after="0"/>
              <w:contextualSpacing/>
              <w:textAlignment w:val="auto"/>
              <w:rPr>
                <w:lang w:val="en-US" w:eastAsia="ja-JP"/>
              </w:rPr>
            </w:pPr>
            <w:r w:rsidRPr="00763F46">
              <w:rPr>
                <w:lang w:val="en-US"/>
              </w:rPr>
              <w:t xml:space="preserve">Study and identify </w:t>
            </w:r>
            <w:r w:rsidRPr="00763F46">
              <w:rPr>
                <w:lang w:val="en-US" w:eastAsia="ja-JP"/>
              </w:rPr>
              <w:t xml:space="preserve">the </w:t>
            </w:r>
            <w:r w:rsidRPr="00572DC0">
              <w:rPr>
                <w:lang w:val="en-US" w:eastAsia="ja-JP"/>
              </w:rPr>
              <w:t>lessons learned from NR spectrum utilization and aggregation framework.</w:t>
            </w:r>
          </w:p>
          <w:p w14:paraId="24DE0F15" w14:textId="77777777" w:rsidR="0002593A" w:rsidRPr="0002593A" w:rsidRDefault="00572DC0" w:rsidP="0002593A">
            <w:pPr>
              <w:numPr>
                <w:ilvl w:val="0"/>
                <w:numId w:val="10"/>
              </w:numPr>
              <w:overflowPunct/>
              <w:autoSpaceDE/>
              <w:autoSpaceDN/>
              <w:adjustRightInd/>
              <w:spacing w:after="0"/>
              <w:contextualSpacing/>
              <w:textAlignment w:val="auto"/>
              <w:rPr>
                <w:lang w:val="en-US" w:eastAsia="ja-JP"/>
              </w:rPr>
            </w:pPr>
            <w:r w:rsidRPr="00572DC0">
              <w:rPr>
                <w:lang w:val="en-US" w:eastAsia="ja-JP"/>
              </w:rPr>
              <w:t>DC is subject to RANP decision in June 2026.</w:t>
            </w:r>
          </w:p>
          <w:p w14:paraId="062E3861" w14:textId="4CBA5F12" w:rsidR="000C3213" w:rsidRPr="005E6682" w:rsidRDefault="00572DC0" w:rsidP="0002593A">
            <w:pPr>
              <w:numPr>
                <w:ilvl w:val="0"/>
                <w:numId w:val="10"/>
              </w:numPr>
              <w:overflowPunct/>
              <w:autoSpaceDE/>
              <w:autoSpaceDN/>
              <w:adjustRightInd/>
              <w:ind w:left="714" w:hanging="357"/>
              <w:contextualSpacing/>
              <w:textAlignment w:val="auto"/>
              <w:rPr>
                <w:lang w:val="en-US"/>
              </w:rPr>
            </w:pPr>
            <w:r w:rsidRPr="00572DC0">
              <w:rPr>
                <w:lang w:val="en-US" w:eastAsia="ja-JP"/>
              </w:rPr>
              <w:t>Note: MRSS aspects are separate discussion.</w:t>
            </w:r>
          </w:p>
        </w:tc>
      </w:tr>
    </w:tbl>
    <w:p w14:paraId="257499E4" w14:textId="27EE3A0E" w:rsidR="00572DC0" w:rsidRDefault="00572DC0" w:rsidP="00572DC0">
      <w:r w:rsidRPr="00BB1A73">
        <w:lastRenderedPageBreak/>
        <w:t>RAN1 has agreed to initiate a study focus</w:t>
      </w:r>
      <w:r w:rsidR="002A41F6">
        <w:t>ing</w:t>
      </w:r>
      <w:r>
        <w:t xml:space="preserve"> on identifying </w:t>
      </w:r>
      <w:r w:rsidRPr="00763F46">
        <w:rPr>
          <w:lang w:val="en-US"/>
        </w:rPr>
        <w:t xml:space="preserve">the lessons learned from </w:t>
      </w:r>
      <w:r w:rsidR="003B528C" w:rsidRPr="00572DC0">
        <w:rPr>
          <w:lang w:val="en-US" w:eastAsia="ja-JP"/>
        </w:rPr>
        <w:t>NR spectrum utilization and aggregation framework</w:t>
      </w:r>
      <w:r>
        <w:rPr>
          <w:lang w:val="en-US"/>
        </w:rPr>
        <w:t xml:space="preserve">. </w:t>
      </w:r>
      <w:r w:rsidR="004A01BF">
        <w:rPr>
          <w:lang w:val="en-US"/>
        </w:rPr>
        <w:t xml:space="preserve">In this </w:t>
      </w:r>
      <w:r w:rsidR="004A01BF" w:rsidRPr="004A01BF">
        <w:t>section, we present our perspective on this topic and outline our proposed approach to support the study.</w:t>
      </w:r>
    </w:p>
    <w:p w14:paraId="480A38A5" w14:textId="42A57F32" w:rsidR="003A58A1" w:rsidRDefault="003A58A1" w:rsidP="003A58A1">
      <w:r>
        <w:t xml:space="preserve">The deployment of NR networks has revealed the critical importance of leveraging multiple spectrum tiers with distinct radio propagation characteristics. Low-band spectrum below 2 GHz provides extensive geographical coverage and superior indoor penetration, making it essential for wide-area connectivity and IoT applications. Mid-band spectrum, particularly the C-band between 3.5-6 GHz, offers the optimal balance between coverage and capacity, earning its designation as "Goldilocks spectrum" for delivering consistent 100 Mbps user experiences with at least 100 MHz contiguous bandwidth. </w:t>
      </w:r>
      <w:proofErr w:type="spellStart"/>
      <w:r>
        <w:t>mmWave</w:t>
      </w:r>
      <w:proofErr w:type="spellEnd"/>
      <w:r>
        <w:t xml:space="preserve"> frequencies above 24 GHz enable extreme throughput for hotspot deployments but suffer from limited range and poor building penetration. The simultaneous combination of these three frequency tiers through carrier aggregation delivers transformative benefits, with field deployments demonstrating multi-gigabit throughput exceeding 4 Gbps downlink and 2 Gbps uplink, while extending coverage by factors of 2.5 to 3.7 times. The NR framework's support for up to 16 component carriers in both uplink and downlink directions enables theoretical aggregate bandwidths of 6.4 GHz, quantifying the technology's potential. However, significant challenges persist in network operations, including stringent millisecond-level synchronization requirements and complex radio resource management, while device implementation faces hurdles such as increased signal peaks, power amplifier linearity demands, and interference management across aggregated carriers.</w:t>
      </w:r>
      <w:r w:rsidR="000C3213">
        <w:t xml:space="preserve"> We summarize the discussion in the observation bellow:</w:t>
      </w:r>
    </w:p>
    <w:p w14:paraId="1BB3CB56" w14:textId="1552E2F3" w:rsidR="00350C20" w:rsidRDefault="000C3213" w:rsidP="003A58A1">
      <w:r w:rsidRPr="00796BE0">
        <w:rPr>
          <w:b/>
          <w:bCs/>
          <w:i/>
          <w:iCs/>
        </w:rPr>
        <w:t xml:space="preserve">Observation </w:t>
      </w:r>
      <w:r>
        <w:rPr>
          <w:b/>
          <w:bCs/>
          <w:i/>
          <w:iCs/>
        </w:rPr>
        <w:t>2</w:t>
      </w:r>
      <w:r w:rsidRPr="00796BE0">
        <w:rPr>
          <w:b/>
          <w:bCs/>
          <w:i/>
          <w:iCs/>
        </w:rPr>
        <w:t>:</w:t>
      </w:r>
      <w:r w:rsidRPr="000C3213">
        <w:rPr>
          <w:i/>
          <w:iCs/>
        </w:rPr>
        <w:t xml:space="preserve"> </w:t>
      </w:r>
      <w:r w:rsidR="00350C20" w:rsidRPr="000C3213">
        <w:rPr>
          <w:i/>
          <w:iCs/>
        </w:rPr>
        <w:t>Carrier aggregation</w:t>
      </w:r>
      <w:r w:rsidRPr="000C3213">
        <w:rPr>
          <w:i/>
          <w:iCs/>
        </w:rPr>
        <w:t xml:space="preserve">, </w:t>
      </w:r>
      <w:r w:rsidR="00350C20" w:rsidRPr="000C3213">
        <w:rPr>
          <w:i/>
          <w:iCs/>
        </w:rPr>
        <w:t>through strategic combinations of component carriers across low-, mid-, and high-band spectrum tiers</w:t>
      </w:r>
      <w:r w:rsidRPr="000C3213">
        <w:rPr>
          <w:i/>
          <w:iCs/>
        </w:rPr>
        <w:t xml:space="preserve">, </w:t>
      </w:r>
      <w:r w:rsidR="00350C20" w:rsidRPr="000C3213">
        <w:rPr>
          <w:i/>
          <w:iCs/>
        </w:rPr>
        <w:t>is fundamental to effective NR deployment, enabling multi-gigabit throughput and expanded coverage, while demanding sophisticated synchronization, resource management, and device-level engineering to overcome the inherent complexities of advanced spectrum integration.</w:t>
      </w:r>
    </w:p>
    <w:p w14:paraId="6C972521" w14:textId="6A99B581" w:rsidR="003A58A1" w:rsidRDefault="003A58A1" w:rsidP="003A58A1">
      <w:r>
        <w:t xml:space="preserve">NR-DC emerges as a powerful complement to carrier aggregation, enabling devices to simultaneously connect to multiple 5G base stations through master and secondary node architectures. This approach delivers remarkable performance improvements, i.e., gaining throughput and reducing latency, while packet loss approaches zero compared to single-link systems. Unlike carrier aggregation's single MAC entity, NR-DC maintains two separate MAC entities with traffic splitting at the PDCP layer, accommodating non-ideal backhaul conditions with higher latency tolerances on X2 or </w:t>
      </w:r>
      <w:proofErr w:type="spellStart"/>
      <w:r>
        <w:t>Xn</w:t>
      </w:r>
      <w:proofErr w:type="spellEnd"/>
      <w:r>
        <w:t xml:space="preserve"> interfaces. The technology particularly excels at extending mid-band TDD coverage when combined with low-band FDD, achieving coverage improvements of 7-10 dB that dramatically expand the service area for high-capacity spectrum. Therefore, various use cases would benefit from NR-DC.</w:t>
      </w:r>
      <w:r w:rsidR="000C3213">
        <w:t xml:space="preserve"> We summarize the discussion in the observation bellow:</w:t>
      </w:r>
    </w:p>
    <w:p w14:paraId="2F227E58" w14:textId="6DD6E948" w:rsidR="000C3213" w:rsidRDefault="000C3213" w:rsidP="003A58A1">
      <w:r w:rsidRPr="00796BE0">
        <w:rPr>
          <w:b/>
          <w:bCs/>
          <w:i/>
          <w:iCs/>
        </w:rPr>
        <w:t xml:space="preserve">Observation </w:t>
      </w:r>
      <w:r>
        <w:rPr>
          <w:b/>
          <w:bCs/>
          <w:i/>
          <w:iCs/>
        </w:rPr>
        <w:t>3</w:t>
      </w:r>
      <w:r w:rsidRPr="00796BE0">
        <w:rPr>
          <w:b/>
          <w:bCs/>
          <w:i/>
          <w:iCs/>
        </w:rPr>
        <w:t>:</w:t>
      </w:r>
      <w:r w:rsidRPr="000C3213">
        <w:rPr>
          <w:i/>
          <w:iCs/>
        </w:rPr>
        <w:t xml:space="preserve"> </w:t>
      </w:r>
      <w:r>
        <w:rPr>
          <w:i/>
          <w:iCs/>
        </w:rPr>
        <w:t>NR</w:t>
      </w:r>
      <w:r w:rsidRPr="000C3213">
        <w:rPr>
          <w:i/>
          <w:iCs/>
        </w:rPr>
        <w:t xml:space="preserve"> performance</w:t>
      </w:r>
      <w:r>
        <w:rPr>
          <w:i/>
          <w:iCs/>
        </w:rPr>
        <w:t xml:space="preserve"> is significantly elevated</w:t>
      </w:r>
      <w:r w:rsidRPr="000C3213">
        <w:rPr>
          <w:i/>
          <w:iCs/>
        </w:rPr>
        <w:t xml:space="preserve"> by</w:t>
      </w:r>
      <w:r>
        <w:rPr>
          <w:i/>
          <w:iCs/>
        </w:rPr>
        <w:t xml:space="preserve"> NR-DC, which complements</w:t>
      </w:r>
      <w:r w:rsidRPr="000C3213">
        <w:rPr>
          <w:i/>
          <w:iCs/>
        </w:rPr>
        <w:t xml:space="preserve"> carrier aggregation </w:t>
      </w:r>
      <w:r>
        <w:rPr>
          <w:i/>
          <w:iCs/>
        </w:rPr>
        <w:t>through</w:t>
      </w:r>
      <w:r w:rsidRPr="000C3213">
        <w:rPr>
          <w:i/>
          <w:iCs/>
        </w:rPr>
        <w:t xml:space="preserve"> </w:t>
      </w:r>
      <w:r>
        <w:rPr>
          <w:i/>
          <w:iCs/>
        </w:rPr>
        <w:t xml:space="preserve">a </w:t>
      </w:r>
      <w:r w:rsidRPr="000C3213">
        <w:rPr>
          <w:i/>
          <w:iCs/>
        </w:rPr>
        <w:t>multi-node architecture</w:t>
      </w:r>
      <w:r>
        <w:rPr>
          <w:i/>
          <w:iCs/>
        </w:rPr>
        <w:t xml:space="preserve"> that enables</w:t>
      </w:r>
      <w:r w:rsidRPr="000C3213">
        <w:rPr>
          <w:i/>
          <w:iCs/>
        </w:rPr>
        <w:t xml:space="preserve"> simultaneous connections to multiple </w:t>
      </w:r>
      <w:r>
        <w:rPr>
          <w:i/>
          <w:iCs/>
        </w:rPr>
        <w:t>BS</w:t>
      </w:r>
      <w:r w:rsidRPr="000C3213">
        <w:rPr>
          <w:i/>
          <w:iCs/>
        </w:rPr>
        <w:t>s for improved throughput, reduced latency, and extended mid-band coverage, while accommodating non-ideal backhaul and complex traffic management across separate MAC entities.</w:t>
      </w:r>
    </w:p>
    <w:p w14:paraId="0EFDBB11" w14:textId="38EA15E9" w:rsidR="003A58A1" w:rsidRDefault="003A58A1" w:rsidP="003A58A1">
      <w:r>
        <w:t xml:space="preserve">EN-DC has proven to be the most expedient pathway for rapid 5G market entry, allowing operators to leverage existing LTE infrastructure while introducing NR capabilities through Option 3 architecture. This approach enables devices to maintain simultaneous connections with both LTE and NR base stations, providing cumulative performance benefits that exceed either technology alone. The industry has converged on SN-terminated split bearers (Option 3x) to minimize EPC impact and avoid overloading legacy LTE </w:t>
      </w:r>
      <w:proofErr w:type="spellStart"/>
      <w:r>
        <w:t>eNBs</w:t>
      </w:r>
      <w:proofErr w:type="spellEnd"/>
      <w:r>
        <w:t xml:space="preserve"> designed for 4G traffic levels. However, EN-DC represents a compromise that prevents full exploitation of 5G's revolutionary capabilities, as it depends on the 4G EPC core rather than the cloud-native 5G core architecture needed for network slicing, edge computing, and ultra-low latency services. The approach also introduces significant </w:t>
      </w:r>
      <w:proofErr w:type="spellStart"/>
      <w:r>
        <w:t>signaling</w:t>
      </w:r>
      <w:proofErr w:type="spellEnd"/>
      <w:r>
        <w:t xml:space="preserve"> overhead during frequent handovers between 5G and LTE user planes, potentially degrading user experience, while blind 5G cell addition without measurement feedback can result in suboptimal static configurations.</w:t>
      </w:r>
    </w:p>
    <w:p w14:paraId="56841685" w14:textId="140A02C5" w:rsidR="000C3213" w:rsidRPr="000C3213" w:rsidRDefault="000C3213" w:rsidP="003A58A1">
      <w:pPr>
        <w:rPr>
          <w:i/>
          <w:iCs/>
        </w:rPr>
      </w:pPr>
      <w:r w:rsidRPr="00796BE0">
        <w:rPr>
          <w:b/>
          <w:bCs/>
          <w:i/>
          <w:iCs/>
        </w:rPr>
        <w:t xml:space="preserve">Observation </w:t>
      </w:r>
      <w:r>
        <w:rPr>
          <w:b/>
          <w:bCs/>
          <w:i/>
          <w:iCs/>
        </w:rPr>
        <w:t>4</w:t>
      </w:r>
      <w:r w:rsidRPr="00796BE0">
        <w:rPr>
          <w:b/>
          <w:bCs/>
          <w:i/>
          <w:iCs/>
        </w:rPr>
        <w:t>:</w:t>
      </w:r>
      <w:r w:rsidRPr="000C3213">
        <w:rPr>
          <w:i/>
          <w:iCs/>
        </w:rPr>
        <w:t xml:space="preserve"> While EN-DC has accelerated 5G deployment by utilizing existing LTE infrastructure through Option 3x and delivering combined performance gains, it inherently restricts full 5G potential due to its reliance on </w:t>
      </w:r>
      <w:r w:rsidR="005D2772">
        <w:rPr>
          <w:i/>
          <w:iCs/>
        </w:rPr>
        <w:t>EPC</w:t>
      </w:r>
      <w:r w:rsidRPr="000C3213">
        <w:rPr>
          <w:i/>
          <w:iCs/>
        </w:rPr>
        <w:t xml:space="preserve"> and introduces </w:t>
      </w:r>
      <w:proofErr w:type="spellStart"/>
      <w:r w:rsidRPr="000C3213">
        <w:rPr>
          <w:i/>
          <w:iCs/>
        </w:rPr>
        <w:t>signaling</w:t>
      </w:r>
      <w:proofErr w:type="spellEnd"/>
      <w:r w:rsidRPr="000C3213">
        <w:rPr>
          <w:i/>
          <w:iCs/>
        </w:rPr>
        <w:t xml:space="preserve"> overhead and configuration inefficiencies that can degrade user experience.</w:t>
      </w:r>
    </w:p>
    <w:p w14:paraId="63CB237A" w14:textId="730502CC" w:rsidR="003A58A1" w:rsidRDefault="003A58A1" w:rsidP="003A58A1">
      <w:r>
        <w:t>DSS conceptually offers an elegant solution to spectrum scarcity by enabling simultaneous LTE and</w:t>
      </w:r>
      <w:r w:rsidR="002D3A3D">
        <w:t xml:space="preserve"> </w:t>
      </w:r>
      <w:r>
        <w:t xml:space="preserve">NR transmissions within the same frequency band, allowing operators to dynamically allocate resources based on real-time demand patterns during the 4G-to-5G transition period. However, technical challenges have significantly limited DSS adoption in practical deployments. The technology demands extremely stringent millisecond-level synchronization based on 1ms LTE timeslots, requiring advanced RAN coordination techniques that prove difficult to achieve reliably across different basebands and vendor equipment. Additional technical issues include increased interference between LTE and NR signals sharing the same spectrum, reduced spectral efficiency compared to dedicated spectrum allocation, and compatibility problems with legacy devices. These implementation complexities, combined with performance </w:t>
      </w:r>
      <w:r>
        <w:lastRenderedPageBreak/>
        <w:t xml:space="preserve">compromises that can reduce available capacity by 20-30% compared to dedicated spectrum deployment, have made DSS a less popular choice </w:t>
      </w:r>
      <w:r w:rsidR="009D66F4" w:rsidRPr="009D66F4">
        <w:t>compared to alternatives like clean spectrum refarming or acquiring new spectrum bands for 5G rollout.</w:t>
      </w:r>
    </w:p>
    <w:p w14:paraId="240E7843" w14:textId="5FA01968" w:rsidR="000C3213" w:rsidRDefault="000C3213" w:rsidP="003A58A1">
      <w:pPr>
        <w:rPr>
          <w:i/>
          <w:iCs/>
        </w:rPr>
      </w:pPr>
      <w:r w:rsidRPr="00796BE0">
        <w:rPr>
          <w:b/>
          <w:bCs/>
          <w:i/>
          <w:iCs/>
        </w:rPr>
        <w:t xml:space="preserve">Observation </w:t>
      </w:r>
      <w:r>
        <w:rPr>
          <w:b/>
          <w:bCs/>
          <w:i/>
          <w:iCs/>
        </w:rPr>
        <w:t>5</w:t>
      </w:r>
      <w:r w:rsidRPr="00796BE0">
        <w:rPr>
          <w:b/>
          <w:bCs/>
          <w:i/>
          <w:iCs/>
        </w:rPr>
        <w:t>:</w:t>
      </w:r>
      <w:r w:rsidRPr="000C3213">
        <w:rPr>
          <w:i/>
          <w:iCs/>
        </w:rPr>
        <w:t xml:space="preserve"> While DSS offers a flexible solution to spectrum scarcity by enabling concurrent LTE and NR transmissions, its practical adoption is hindered by complex synchronization requirements, interference issues, and performance trade-offs that make it less </w:t>
      </w:r>
      <w:proofErr w:type="spellStart"/>
      <w:r w:rsidRPr="000C3213">
        <w:rPr>
          <w:i/>
          <w:iCs/>
        </w:rPr>
        <w:t>favorable</w:t>
      </w:r>
      <w:proofErr w:type="spellEnd"/>
      <w:r w:rsidRPr="000C3213">
        <w:rPr>
          <w:i/>
          <w:iCs/>
        </w:rPr>
        <w:t xml:space="preserve"> than alternatives like spectrum refarming or new band acquisition.</w:t>
      </w:r>
    </w:p>
    <w:p w14:paraId="714EA4EC" w14:textId="0B5D0536" w:rsidR="009C4D91" w:rsidRDefault="009C4D91" w:rsidP="003A58A1">
      <w:r>
        <w:t xml:space="preserve">From the four </w:t>
      </w:r>
      <w:r w:rsidR="00D87101">
        <w:t xml:space="preserve">above </w:t>
      </w:r>
      <w:r>
        <w:t>observations, we propose the following</w:t>
      </w:r>
      <w:r w:rsidR="00D87101">
        <w:t>s</w:t>
      </w:r>
      <w:r>
        <w:t>:</w:t>
      </w:r>
    </w:p>
    <w:p w14:paraId="6E3753B9" w14:textId="0ABB02B0" w:rsidR="009C4D91" w:rsidRPr="009C4D91" w:rsidRDefault="00572DC0" w:rsidP="002865FE">
      <w:pPr>
        <w:tabs>
          <w:tab w:val="num" w:pos="720"/>
        </w:tabs>
        <w:rPr>
          <w:i/>
          <w:iCs/>
        </w:rPr>
      </w:pPr>
      <w:r w:rsidRPr="00796BE0">
        <w:rPr>
          <w:b/>
          <w:bCs/>
          <w:i/>
          <w:iCs/>
        </w:rPr>
        <w:t xml:space="preserve">Proposal </w:t>
      </w:r>
      <w:r>
        <w:rPr>
          <w:b/>
          <w:bCs/>
          <w:i/>
          <w:iCs/>
        </w:rPr>
        <w:t>8</w:t>
      </w:r>
      <w:r w:rsidRPr="00796BE0">
        <w:rPr>
          <w:b/>
          <w:bCs/>
          <w:i/>
          <w:iCs/>
        </w:rPr>
        <w:t>:</w:t>
      </w:r>
      <w:r w:rsidRPr="002865FE">
        <w:rPr>
          <w:i/>
          <w:iCs/>
        </w:rPr>
        <w:t xml:space="preserve"> </w:t>
      </w:r>
      <w:r w:rsidR="002865FE" w:rsidRPr="002865FE">
        <w:rPr>
          <w:i/>
          <w:iCs/>
        </w:rPr>
        <w:t>RAN1 s</w:t>
      </w:r>
      <w:r w:rsidR="009C4D91" w:rsidRPr="009C4D91">
        <w:rPr>
          <w:i/>
          <w:iCs/>
        </w:rPr>
        <w:t>tud</w:t>
      </w:r>
      <w:r w:rsidR="002865FE" w:rsidRPr="002865FE">
        <w:rPr>
          <w:i/>
          <w:iCs/>
        </w:rPr>
        <w:t>ies</w:t>
      </w:r>
      <w:r w:rsidR="009C4D91" w:rsidRPr="009C4D91">
        <w:rPr>
          <w:i/>
          <w:iCs/>
        </w:rPr>
        <w:t xml:space="preserve"> enhancements to </w:t>
      </w:r>
      <w:r>
        <w:rPr>
          <w:i/>
          <w:iCs/>
        </w:rPr>
        <w:t>c</w:t>
      </w:r>
      <w:r w:rsidR="009C4D91" w:rsidRPr="009C4D91">
        <w:rPr>
          <w:i/>
          <w:iCs/>
        </w:rPr>
        <w:t xml:space="preserve">arrier </w:t>
      </w:r>
      <w:r>
        <w:rPr>
          <w:i/>
          <w:iCs/>
        </w:rPr>
        <w:t>a</w:t>
      </w:r>
      <w:r w:rsidR="009C4D91" w:rsidRPr="009C4D91">
        <w:rPr>
          <w:i/>
          <w:iCs/>
        </w:rPr>
        <w:t xml:space="preserve">ggregation, multi-node connectivity, and native </w:t>
      </w:r>
      <w:r>
        <w:rPr>
          <w:i/>
          <w:iCs/>
        </w:rPr>
        <w:t xml:space="preserve">dynamic multi-radio </w:t>
      </w:r>
      <w:r w:rsidR="009C4D91" w:rsidRPr="009C4D91">
        <w:rPr>
          <w:i/>
          <w:iCs/>
        </w:rPr>
        <w:t xml:space="preserve">spectrum </w:t>
      </w:r>
      <w:r>
        <w:rPr>
          <w:i/>
          <w:iCs/>
        </w:rPr>
        <w:t>sharing</w:t>
      </w:r>
      <w:r w:rsidR="009C4D91" w:rsidRPr="009C4D91">
        <w:rPr>
          <w:i/>
          <w:iCs/>
        </w:rPr>
        <w:t xml:space="preserve"> techniques, considering lessons learned from NR deployments including EN-DC and DSS.</w:t>
      </w:r>
    </w:p>
    <w:p w14:paraId="5B93DB03" w14:textId="666EDEEB" w:rsidR="009C4D91" w:rsidRPr="009C4D91" w:rsidRDefault="00572DC0" w:rsidP="002865FE">
      <w:pPr>
        <w:tabs>
          <w:tab w:val="num" w:pos="720"/>
        </w:tabs>
        <w:rPr>
          <w:i/>
          <w:iCs/>
        </w:rPr>
      </w:pPr>
      <w:r w:rsidRPr="00796BE0">
        <w:rPr>
          <w:b/>
          <w:bCs/>
          <w:i/>
          <w:iCs/>
        </w:rPr>
        <w:t xml:space="preserve">Proposal </w:t>
      </w:r>
      <w:r>
        <w:rPr>
          <w:b/>
          <w:bCs/>
          <w:i/>
          <w:iCs/>
        </w:rPr>
        <w:t>9</w:t>
      </w:r>
      <w:r w:rsidRPr="00796BE0">
        <w:rPr>
          <w:b/>
          <w:bCs/>
          <w:i/>
          <w:iCs/>
        </w:rPr>
        <w:t>:</w:t>
      </w:r>
      <w:r>
        <w:rPr>
          <w:i/>
          <w:iCs/>
        </w:rPr>
        <w:t xml:space="preserve"> </w:t>
      </w:r>
      <w:r w:rsidR="002865FE">
        <w:rPr>
          <w:i/>
          <w:iCs/>
        </w:rPr>
        <w:t>RAN1 i</w:t>
      </w:r>
      <w:r w:rsidR="009C4D91" w:rsidRPr="009C4D91">
        <w:rPr>
          <w:i/>
          <w:iCs/>
        </w:rPr>
        <w:t>dentif</w:t>
      </w:r>
      <w:r w:rsidR="002865FE">
        <w:rPr>
          <w:i/>
          <w:iCs/>
        </w:rPr>
        <w:t>ies</w:t>
      </w:r>
      <w:r w:rsidR="009C4D91" w:rsidRPr="009C4D91">
        <w:rPr>
          <w:i/>
          <w:iCs/>
        </w:rPr>
        <w:t xml:space="preserve"> key requirements and technical challenges for designing a unified and simplified resource management framework for 6GR multi-connectivity and dynamic spectrum integration, with a focus on minimizing control plane overhead and UE complexity.</w:t>
      </w:r>
    </w:p>
    <w:p w14:paraId="5245F734" w14:textId="18BECFD2" w:rsidR="009C4D91" w:rsidRPr="009C4D91" w:rsidRDefault="00572DC0" w:rsidP="002865FE">
      <w:pPr>
        <w:tabs>
          <w:tab w:val="num" w:pos="720"/>
        </w:tabs>
        <w:rPr>
          <w:i/>
          <w:iCs/>
        </w:rPr>
      </w:pPr>
      <w:r w:rsidRPr="00796BE0">
        <w:rPr>
          <w:b/>
          <w:bCs/>
          <w:i/>
          <w:iCs/>
        </w:rPr>
        <w:t xml:space="preserve">Proposal </w:t>
      </w:r>
      <w:r>
        <w:rPr>
          <w:b/>
          <w:bCs/>
          <w:i/>
          <w:iCs/>
        </w:rPr>
        <w:t>10</w:t>
      </w:r>
      <w:r w:rsidRPr="00796BE0">
        <w:rPr>
          <w:b/>
          <w:bCs/>
          <w:i/>
          <w:iCs/>
        </w:rPr>
        <w:t>:</w:t>
      </w:r>
      <w:r>
        <w:rPr>
          <w:i/>
          <w:iCs/>
        </w:rPr>
        <w:t xml:space="preserve"> </w:t>
      </w:r>
      <w:r w:rsidR="002865FE">
        <w:rPr>
          <w:i/>
          <w:iCs/>
        </w:rPr>
        <w:t>RAN1 c</w:t>
      </w:r>
      <w:r w:rsidR="009C4D91" w:rsidRPr="009C4D91">
        <w:rPr>
          <w:i/>
          <w:iCs/>
        </w:rPr>
        <w:t>onsider</w:t>
      </w:r>
      <w:r w:rsidR="002865FE">
        <w:rPr>
          <w:i/>
          <w:iCs/>
        </w:rPr>
        <w:t>s</w:t>
      </w:r>
      <w:r w:rsidR="009C4D91" w:rsidRPr="009C4D91">
        <w:rPr>
          <w:i/>
          <w:iCs/>
        </w:rPr>
        <w:t xml:space="preserve"> the impact of advanced multi-connectivity and dynamic spectrum integration on 6GR waveforms, numerologies, channel models, and MIMO/beam management strategies during the study item phase.</w:t>
      </w:r>
    </w:p>
    <w:p w14:paraId="3D9A10EE" w14:textId="013EB630" w:rsidR="003C457E" w:rsidRDefault="003C457E" w:rsidP="003C457E">
      <w:pPr>
        <w:pStyle w:val="Heading2"/>
      </w:pPr>
      <w:r>
        <w:t>D</w:t>
      </w:r>
      <w:r w:rsidRPr="004D7A94">
        <w:t>ynam</w:t>
      </w:r>
      <w:r>
        <w:t>ic Service Redistribution</w:t>
      </w:r>
    </w:p>
    <w:p w14:paraId="5A885EDD" w14:textId="747504D0" w:rsidR="003C457E" w:rsidRDefault="003C457E" w:rsidP="003C457E">
      <w:r w:rsidRPr="00C732F1">
        <w:t>While 5G embraces the principle of continuous improvement</w:t>
      </w:r>
      <w:r>
        <w:t xml:space="preserve">, i.e., continuously </w:t>
      </w:r>
      <w:r w:rsidRPr="00C732F1">
        <w:t>adding new features to enhance the technolog</w:t>
      </w:r>
      <w:r>
        <w:t xml:space="preserve">ies, </w:t>
      </w:r>
      <w:r w:rsidRPr="00C732F1">
        <w:t>6G</w:t>
      </w:r>
      <w:r>
        <w:t>R</w:t>
      </w:r>
      <w:r w:rsidRPr="00C732F1">
        <w:t xml:space="preserve"> must go further by enabling </w:t>
      </w:r>
      <w:r w:rsidRPr="00C732F1">
        <w:rPr>
          <w:i/>
          <w:iCs/>
        </w:rPr>
        <w:t>continuous deployment</w:t>
      </w:r>
      <w:r w:rsidRPr="00C732F1">
        <w:t>. Traditionally, networks have not waited for full installation of all nodes and transmission/reception points (TRPs) before becoming operational. Instead, they expand incrementally, either to cover broader areas or to increase density in phases. This incremental deployment model becomes even more critical in 6G.</w:t>
      </w:r>
    </w:p>
    <w:p w14:paraId="3CAC2D69" w14:textId="77777777" w:rsidR="003C457E" w:rsidRDefault="003C457E" w:rsidP="003C457E">
      <w:r w:rsidRPr="00C732F1">
        <w:t>To support this, the network architecture and air interface should be designed for a plug-and-play model, allowing new nodes or TRPs to be added seamlessly. These additions should immediately contribute to service delivery, enhancing user experience while minimizing disruption to existing infrastructure.</w:t>
      </w:r>
    </w:p>
    <w:p w14:paraId="3456E8EA" w14:textId="77777777" w:rsidR="003C457E" w:rsidRPr="00C732F1" w:rsidRDefault="003C457E" w:rsidP="003C457E">
      <w:r>
        <w:t>Additionally</w:t>
      </w:r>
      <w:r w:rsidRPr="00C732F1">
        <w:t xml:space="preserve">, network traffic fluctuates over time and across locations. This variability presents opportunities for energy savings and intelligent resource management. The air interface should facilitate dynamic reallocation of wireless services across locations, adapting </w:t>
      </w:r>
      <w:r>
        <w:t>efficiently to shifting demand, ideally without requiring additional hardware and while maintaining energy efficiency. Based on this discussion, we propose the following:</w:t>
      </w:r>
    </w:p>
    <w:p w14:paraId="053235B3" w14:textId="781C7C3E" w:rsidR="003C457E" w:rsidRPr="00403E5B" w:rsidRDefault="003C457E" w:rsidP="003C457E">
      <w:pPr>
        <w:tabs>
          <w:tab w:val="num" w:pos="720"/>
        </w:tabs>
        <w:spacing w:after="0"/>
        <w:rPr>
          <w:i/>
          <w:iCs/>
          <w:lang w:val="en-US"/>
        </w:rPr>
      </w:pPr>
      <w:r>
        <w:rPr>
          <w:b/>
          <w:bCs/>
          <w:i/>
          <w:iCs/>
        </w:rPr>
        <w:t>Pr</w:t>
      </w:r>
      <w:r w:rsidRPr="00CD0FFE">
        <w:rPr>
          <w:b/>
          <w:bCs/>
          <w:i/>
          <w:iCs/>
        </w:rPr>
        <w:t>oposal</w:t>
      </w:r>
      <w:r>
        <w:rPr>
          <w:b/>
          <w:bCs/>
          <w:i/>
          <w:iCs/>
        </w:rPr>
        <w:t xml:space="preserve"> </w:t>
      </w:r>
      <w:r w:rsidR="00572DC0">
        <w:rPr>
          <w:b/>
          <w:bCs/>
          <w:i/>
          <w:iCs/>
        </w:rPr>
        <w:t>11</w:t>
      </w:r>
      <w:r w:rsidRPr="00CD0FFE">
        <w:rPr>
          <w:b/>
          <w:bCs/>
          <w:i/>
          <w:iCs/>
        </w:rPr>
        <w:t>:</w:t>
      </w:r>
      <w:r w:rsidRPr="00245B22">
        <w:rPr>
          <w:i/>
          <w:iCs/>
        </w:rPr>
        <w:t xml:space="preserve"> </w:t>
      </w:r>
      <w:r w:rsidRPr="00403E5B">
        <w:rPr>
          <w:i/>
          <w:iCs/>
          <w:lang w:val="en-US"/>
        </w:rPr>
        <w:t>The network architecture and air interface of 6GR should be designed with high deployment flexibility to meet two key objectives:</w:t>
      </w:r>
    </w:p>
    <w:p w14:paraId="14DE0FE5" w14:textId="77777777" w:rsidR="003C457E" w:rsidRPr="003C457E" w:rsidRDefault="003C457E" w:rsidP="00A65F7F">
      <w:pPr>
        <w:pStyle w:val="ListParagraph"/>
        <w:numPr>
          <w:ilvl w:val="0"/>
          <w:numId w:val="9"/>
        </w:numPr>
        <w:rPr>
          <w:lang w:val="en-GB"/>
        </w:rPr>
      </w:pPr>
      <w:r w:rsidRPr="003C457E">
        <w:rPr>
          <w:i/>
          <w:iCs/>
          <w:sz w:val="20"/>
          <w:szCs w:val="20"/>
          <w:lang w:val="en-GB"/>
        </w:rPr>
        <w:t>Seamless integration of new nodes without disrupting ongoing operations.</w:t>
      </w:r>
    </w:p>
    <w:p w14:paraId="30E0DD64" w14:textId="37AD77EA" w:rsidR="003C457E" w:rsidRPr="00796BE0" w:rsidRDefault="003C457E" w:rsidP="00051A6C">
      <w:pPr>
        <w:pStyle w:val="ListParagraph"/>
        <w:numPr>
          <w:ilvl w:val="0"/>
          <w:numId w:val="9"/>
        </w:numPr>
        <w:spacing w:after="180"/>
        <w:ind w:left="714" w:hanging="357"/>
        <w:rPr>
          <w:lang w:val="en-GB"/>
        </w:rPr>
      </w:pPr>
      <w:r w:rsidRPr="003C457E">
        <w:rPr>
          <w:i/>
          <w:iCs/>
          <w:sz w:val="20"/>
          <w:szCs w:val="20"/>
          <w:lang w:val="en-GB"/>
        </w:rPr>
        <w:t>Dynamic, software-driven service migration across locations over time.</w:t>
      </w:r>
    </w:p>
    <w:p w14:paraId="04B390C1" w14:textId="1E291D2D" w:rsidR="00796BE0" w:rsidRDefault="00796BE0" w:rsidP="00796BE0">
      <w:r w:rsidRPr="00796BE0">
        <w:t xml:space="preserve">The 6GR requirements introduce significant implications for the NR Bandwidth Part (BWP) framework, demanding a more scalable and intelligent approach to bandwidth management. With </w:t>
      </w:r>
      <w:r w:rsidRPr="00796BE0">
        <w:rPr>
          <w:b/>
          <w:bCs/>
        </w:rPr>
        <w:t>extreme bandwidth scalability</w:t>
      </w:r>
      <w:r w:rsidRPr="00796BE0">
        <w:t xml:space="preserve">, 6GR must support everything from narrowband IoT (in the kHz range) to ultra-wideband XR applications (spanning multiple GHz), requiring dynamic and granular BWP configurations. </w:t>
      </w:r>
      <w:r w:rsidRPr="00796BE0">
        <w:rPr>
          <w:b/>
          <w:bCs/>
        </w:rPr>
        <w:t>Sub-THz operation</w:t>
      </w:r>
      <w:r w:rsidRPr="00796BE0">
        <w:t xml:space="preserve"> brings new challenges such as severe path loss and complex beam management, necessitating coordinated BWP strategies. Additionally, </w:t>
      </w:r>
      <w:r w:rsidRPr="00796BE0">
        <w:rPr>
          <w:b/>
          <w:bCs/>
        </w:rPr>
        <w:t>energy efficiency</w:t>
      </w:r>
      <w:r w:rsidRPr="00796BE0">
        <w:t xml:space="preserve"> targets are more stringent, pushing for smarter BWP adaptation to minimize power consumption across both network and device layers. The </w:t>
      </w:r>
      <w:r w:rsidRPr="00796BE0">
        <w:rPr>
          <w:b/>
          <w:bCs/>
        </w:rPr>
        <w:t>AI-native design</w:t>
      </w:r>
      <w:r w:rsidRPr="00796BE0">
        <w:t xml:space="preserve"> of 6GR opens opportunities for predictive and adaptive BWP control using machine learning, while </w:t>
      </w:r>
      <w:r w:rsidRPr="00796BE0">
        <w:rPr>
          <w:b/>
          <w:bCs/>
        </w:rPr>
        <w:t>ISAC integration</w:t>
      </w:r>
      <w:r w:rsidRPr="00796BE0">
        <w:t xml:space="preserve"> calls for BWP designs that can simultaneously support communication and sensing. Finally, the emergence of a </w:t>
      </w:r>
      <w:r w:rsidRPr="00796BE0">
        <w:rPr>
          <w:b/>
          <w:bCs/>
        </w:rPr>
        <w:t>network of networks</w:t>
      </w:r>
      <w:r w:rsidRPr="00796BE0">
        <w:t>—including NTN, D2D, and mesh topologies—requires the BWP framework to be flexible enough to operate across heterogeneous network environments.</w:t>
      </w:r>
    </w:p>
    <w:p w14:paraId="179BFA93" w14:textId="209FE354" w:rsidR="00BF588E" w:rsidRDefault="00B33DEF" w:rsidP="00BF588E">
      <w:pPr>
        <w:pStyle w:val="Heading2"/>
      </w:pPr>
      <w:r>
        <w:t xml:space="preserve">Enabling </w:t>
      </w:r>
      <w:r w:rsidR="009A134D">
        <w:t xml:space="preserve">Technologies for </w:t>
      </w:r>
      <w:r w:rsidR="00F7632B">
        <w:t>Enhance</w:t>
      </w:r>
      <w:r>
        <w:t>d</w:t>
      </w:r>
      <w:r w:rsidR="00F7632B">
        <w:t xml:space="preserve"> S</w:t>
      </w:r>
      <w:r w:rsidR="00A42199">
        <w:t xml:space="preserve">pectral </w:t>
      </w:r>
      <w:r w:rsidR="00F7632B">
        <w:t>E</w:t>
      </w:r>
      <w:r w:rsidR="00A42199">
        <w:t>fficiency</w:t>
      </w:r>
      <w:r w:rsidR="00FF229A">
        <w:t xml:space="preserve"> and Low Latency</w:t>
      </w:r>
    </w:p>
    <w:p w14:paraId="276CA871" w14:textId="7D975475" w:rsidR="00F71E5B" w:rsidRPr="00F71E5B" w:rsidRDefault="002A2500" w:rsidP="00F71E5B">
      <w:pPr>
        <w:rPr>
          <w:iCs/>
          <w:lang w:val="en-US"/>
        </w:rPr>
      </w:pPr>
      <w:r>
        <w:rPr>
          <w:iCs/>
        </w:rPr>
        <w:t xml:space="preserve">The </w:t>
      </w:r>
      <w:r w:rsidR="001B2E03">
        <w:rPr>
          <w:iCs/>
        </w:rPr>
        <w:t xml:space="preserve">UE traffic is </w:t>
      </w:r>
      <w:r w:rsidR="00681C6C">
        <w:rPr>
          <w:iCs/>
        </w:rPr>
        <w:t>often</w:t>
      </w:r>
      <w:r w:rsidR="001B2E03">
        <w:rPr>
          <w:iCs/>
        </w:rPr>
        <w:t xml:space="preserve"> </w:t>
      </w:r>
      <w:r w:rsidR="00681C6C">
        <w:rPr>
          <w:iCs/>
        </w:rPr>
        <w:t>diverse</w:t>
      </w:r>
      <w:r w:rsidR="00E44E6A">
        <w:rPr>
          <w:iCs/>
        </w:rPr>
        <w:t>,</w:t>
      </w:r>
      <w:r w:rsidR="001B2E03">
        <w:rPr>
          <w:iCs/>
        </w:rPr>
        <w:t xml:space="preserve"> with </w:t>
      </w:r>
      <w:r w:rsidR="00E44E6A">
        <w:rPr>
          <w:iCs/>
        </w:rPr>
        <w:t>varying</w:t>
      </w:r>
      <w:r w:rsidR="001B2E03">
        <w:rPr>
          <w:iCs/>
        </w:rPr>
        <w:t xml:space="preserve"> </w:t>
      </w:r>
      <w:r w:rsidR="00681C6C">
        <w:rPr>
          <w:iCs/>
        </w:rPr>
        <w:t>quality</w:t>
      </w:r>
      <w:r w:rsidR="00E44E6A">
        <w:rPr>
          <w:iCs/>
        </w:rPr>
        <w:t>-of-service</w:t>
      </w:r>
      <w:r w:rsidR="00681C6C">
        <w:rPr>
          <w:iCs/>
        </w:rPr>
        <w:t xml:space="preserve"> requirements. </w:t>
      </w:r>
      <w:r w:rsidR="008F1BA4">
        <w:rPr>
          <w:iCs/>
        </w:rPr>
        <w:t>While</w:t>
      </w:r>
      <w:r w:rsidR="004E4077">
        <w:rPr>
          <w:iCs/>
        </w:rPr>
        <w:t xml:space="preserve"> not all</w:t>
      </w:r>
      <w:r w:rsidR="008F1BA4">
        <w:rPr>
          <w:iCs/>
        </w:rPr>
        <w:t xml:space="preserve"> UEs</w:t>
      </w:r>
      <w:r w:rsidR="004E4077">
        <w:rPr>
          <w:iCs/>
        </w:rPr>
        <w:t xml:space="preserve"> in the network</w:t>
      </w:r>
      <w:r w:rsidR="008F1BA4">
        <w:rPr>
          <w:iCs/>
        </w:rPr>
        <w:t xml:space="preserve"> demand the same performance</w:t>
      </w:r>
      <w:r w:rsidR="004E4077">
        <w:rPr>
          <w:iCs/>
        </w:rPr>
        <w:t xml:space="preserve">, </w:t>
      </w:r>
      <w:r w:rsidR="008F1BA4">
        <w:rPr>
          <w:iCs/>
        </w:rPr>
        <w:t>certain use cases</w:t>
      </w:r>
      <w:r w:rsidR="00F47423">
        <w:rPr>
          <w:iCs/>
        </w:rPr>
        <w:t xml:space="preserve">, </w:t>
      </w:r>
      <w:r w:rsidR="00B26638">
        <w:rPr>
          <w:iCs/>
        </w:rPr>
        <w:t>such as</w:t>
      </w:r>
      <w:r w:rsidR="00F47423">
        <w:rPr>
          <w:iCs/>
        </w:rPr>
        <w:t xml:space="preserve"> FWA</w:t>
      </w:r>
      <w:r w:rsidR="00B26638">
        <w:rPr>
          <w:iCs/>
        </w:rPr>
        <w:t xml:space="preserve"> or</w:t>
      </w:r>
      <w:r w:rsidR="000A1D7F">
        <w:rPr>
          <w:iCs/>
        </w:rPr>
        <w:t xml:space="preserve"> autonomous vehicles</w:t>
      </w:r>
      <w:r w:rsidR="00B26638">
        <w:rPr>
          <w:iCs/>
        </w:rPr>
        <w:t xml:space="preserve"> require extremely high data rates and/or ultra-low latency</w:t>
      </w:r>
      <w:r w:rsidR="004E4077">
        <w:rPr>
          <w:iCs/>
        </w:rPr>
        <w:t xml:space="preserve">. </w:t>
      </w:r>
      <w:r w:rsidR="00F71E5B" w:rsidRPr="00F71E5B">
        <w:rPr>
          <w:iCs/>
          <w:lang w:val="en-US"/>
        </w:rPr>
        <w:t xml:space="preserve">To meet these demands, technologies that aggregate radio resources have been introduced since 4G, including </w:t>
      </w:r>
      <w:r w:rsidR="0054429B">
        <w:rPr>
          <w:iCs/>
          <w:lang w:val="en-US"/>
        </w:rPr>
        <w:t>c</w:t>
      </w:r>
      <w:r w:rsidR="00F71E5B" w:rsidRPr="00F71E5B">
        <w:rPr>
          <w:iCs/>
          <w:lang w:val="en-US"/>
        </w:rPr>
        <w:t xml:space="preserve">arrier </w:t>
      </w:r>
      <w:r w:rsidR="0054429B">
        <w:rPr>
          <w:iCs/>
          <w:lang w:val="en-US"/>
        </w:rPr>
        <w:t>a</w:t>
      </w:r>
      <w:r w:rsidR="00F71E5B" w:rsidRPr="00F71E5B">
        <w:rPr>
          <w:iCs/>
          <w:lang w:val="en-US"/>
        </w:rPr>
        <w:t>ggregation (CA), alongside enhancements like increased antenna elements and wider operating bandwidths. From a spatial perspective, resource aggregation can also be achieved through distributed TRPs, enabling more flexible transmission models.</w:t>
      </w:r>
    </w:p>
    <w:p w14:paraId="6EF70A39" w14:textId="0B1683BB" w:rsidR="00D95783" w:rsidRPr="00D95783" w:rsidRDefault="002C0004" w:rsidP="00D95783">
      <w:pPr>
        <w:rPr>
          <w:iCs/>
          <w:lang w:val="en-US"/>
        </w:rPr>
      </w:pPr>
      <w:r>
        <w:rPr>
          <w:iCs/>
          <w:lang w:val="en-US"/>
        </w:rPr>
        <w:lastRenderedPageBreak/>
        <w:t>Since Release 16</w:t>
      </w:r>
      <w:r w:rsidR="00EA7480">
        <w:rPr>
          <w:iCs/>
          <w:lang w:val="en-US"/>
        </w:rPr>
        <w:t xml:space="preserve"> of NR</w:t>
      </w:r>
      <w:r w:rsidR="0008676D">
        <w:rPr>
          <w:iCs/>
        </w:rPr>
        <w:t xml:space="preserve">, </w:t>
      </w:r>
      <w:r w:rsidR="00D95783" w:rsidRPr="00D95783">
        <w:rPr>
          <w:iCs/>
          <w:lang w:val="en-US"/>
        </w:rPr>
        <w:t xml:space="preserve">the concept of transmitting different layers from separate TRPs over the same frequency has been explored and </w:t>
      </w:r>
      <w:r w:rsidR="006E296E" w:rsidRPr="00D95783">
        <w:rPr>
          <w:iCs/>
          <w:lang w:val="en-US"/>
        </w:rPr>
        <w:t>standardi</w:t>
      </w:r>
      <w:r w:rsidR="006E296E">
        <w:rPr>
          <w:iCs/>
          <w:lang w:val="en-US"/>
        </w:rPr>
        <w:t>z</w:t>
      </w:r>
      <w:r w:rsidR="006E296E" w:rsidRPr="00D95783">
        <w:rPr>
          <w:iCs/>
          <w:lang w:val="en-US"/>
        </w:rPr>
        <w:t>ed</w:t>
      </w:r>
      <w:r w:rsidR="00D95783" w:rsidRPr="00D95783">
        <w:rPr>
          <w:iCs/>
          <w:lang w:val="en-US"/>
        </w:rPr>
        <w:t xml:space="preserve"> under the </w:t>
      </w:r>
      <w:r w:rsidR="00994768">
        <w:rPr>
          <w:iCs/>
          <w:lang w:val="en-US"/>
        </w:rPr>
        <w:t>n</w:t>
      </w:r>
      <w:r w:rsidR="00D95783" w:rsidRPr="00D95783">
        <w:rPr>
          <w:iCs/>
          <w:lang w:val="en-US"/>
        </w:rPr>
        <w:t>on-</w:t>
      </w:r>
      <w:r w:rsidR="00994768">
        <w:rPr>
          <w:iCs/>
          <w:lang w:val="en-US"/>
        </w:rPr>
        <w:t>c</w:t>
      </w:r>
      <w:r w:rsidR="00D95783" w:rsidRPr="00D95783">
        <w:rPr>
          <w:iCs/>
          <w:lang w:val="en-US"/>
        </w:rPr>
        <w:t xml:space="preserve">oherent </w:t>
      </w:r>
      <w:r w:rsidR="00994768">
        <w:rPr>
          <w:iCs/>
          <w:lang w:val="en-US"/>
        </w:rPr>
        <w:t>j</w:t>
      </w:r>
      <w:r w:rsidR="00D95783" w:rsidRPr="00D95783">
        <w:rPr>
          <w:iCs/>
          <w:lang w:val="en-US"/>
        </w:rPr>
        <w:t xml:space="preserve">oint </w:t>
      </w:r>
      <w:r w:rsidR="00994768">
        <w:rPr>
          <w:iCs/>
          <w:lang w:val="en-US"/>
        </w:rPr>
        <w:t>t</w:t>
      </w:r>
      <w:r w:rsidR="00D95783" w:rsidRPr="00D95783">
        <w:rPr>
          <w:iCs/>
          <w:lang w:val="en-US"/>
        </w:rPr>
        <w:t xml:space="preserve">ransmission (NCJT) framework. </w:t>
      </w:r>
      <w:r w:rsidR="00D95783" w:rsidRPr="0097413B">
        <w:rPr>
          <w:i/>
          <w:lang w:val="en-US"/>
        </w:rPr>
        <w:t>However, the traditional cellular architecture</w:t>
      </w:r>
      <w:r w:rsidR="00AB7C8F" w:rsidRPr="0097413B">
        <w:rPr>
          <w:i/>
          <w:lang w:val="en-US"/>
        </w:rPr>
        <w:t xml:space="preserve">, </w:t>
      </w:r>
      <w:r w:rsidR="00D95783" w:rsidRPr="0097413B">
        <w:rPr>
          <w:i/>
          <w:lang w:val="en-US"/>
        </w:rPr>
        <w:t>based on discrete cells</w:t>
      </w:r>
      <w:r w:rsidR="00AB7C8F" w:rsidRPr="0097413B">
        <w:rPr>
          <w:i/>
          <w:lang w:val="en-US"/>
        </w:rPr>
        <w:t xml:space="preserve">, </w:t>
      </w:r>
      <w:r w:rsidR="00D95783" w:rsidRPr="0097413B">
        <w:rPr>
          <w:i/>
          <w:lang w:val="en-US"/>
        </w:rPr>
        <w:t>limits the optimal selection of TRP groups for serving a single UE.</w:t>
      </w:r>
      <w:r w:rsidR="00D95783">
        <w:rPr>
          <w:iCs/>
          <w:lang w:val="en-US"/>
        </w:rPr>
        <w:t xml:space="preserve"> </w:t>
      </w:r>
      <w:r w:rsidR="00D95783" w:rsidRPr="00D95783">
        <w:rPr>
          <w:iCs/>
        </w:rPr>
        <w:t>We propose that 6G should eliminate these architectural constraints, enabling full flexibility in NCJT. This vision will be significantly advanced by the capabilities introduced with 6G</w:t>
      </w:r>
      <w:r w:rsidR="00AB7C8F">
        <w:rPr>
          <w:iCs/>
        </w:rPr>
        <w:t>R air interface</w:t>
      </w:r>
      <w:r w:rsidR="00D95783" w:rsidRPr="00D95783">
        <w:rPr>
          <w:iCs/>
        </w:rPr>
        <w:t>, as outlined in our forthcoming proposal.</w:t>
      </w:r>
    </w:p>
    <w:p w14:paraId="57852D7C" w14:textId="17867904" w:rsidR="00BF588E" w:rsidRDefault="00BF588E" w:rsidP="00BF588E">
      <w:pPr>
        <w:rPr>
          <w:i/>
          <w:iCs/>
        </w:rPr>
      </w:pPr>
      <w:r w:rsidRPr="00CD0FFE">
        <w:rPr>
          <w:b/>
          <w:bCs/>
          <w:i/>
          <w:iCs/>
        </w:rPr>
        <w:t xml:space="preserve">Proposal </w:t>
      </w:r>
      <w:r w:rsidR="00664DCA">
        <w:rPr>
          <w:b/>
          <w:bCs/>
          <w:i/>
          <w:iCs/>
        </w:rPr>
        <w:t>1</w:t>
      </w:r>
      <w:r w:rsidR="00572DC0">
        <w:rPr>
          <w:b/>
          <w:bCs/>
          <w:i/>
          <w:iCs/>
        </w:rPr>
        <w:t>2</w:t>
      </w:r>
      <w:r w:rsidRPr="00CD0FFE">
        <w:rPr>
          <w:b/>
          <w:bCs/>
          <w:i/>
          <w:iCs/>
        </w:rPr>
        <w:t>:</w:t>
      </w:r>
      <w:r w:rsidRPr="00245B22">
        <w:rPr>
          <w:i/>
          <w:iCs/>
        </w:rPr>
        <w:t xml:space="preserve"> </w:t>
      </w:r>
      <w:r w:rsidR="00FF7C19" w:rsidRPr="00403E5B">
        <w:rPr>
          <w:i/>
          <w:iCs/>
          <w:lang w:val="en-US"/>
        </w:rPr>
        <w:t>The network architecture and air interface of 6GR should be designed</w:t>
      </w:r>
      <w:r w:rsidR="00FF7C19">
        <w:rPr>
          <w:i/>
          <w:iCs/>
          <w:lang w:val="en-US"/>
        </w:rPr>
        <w:t xml:space="preserve"> to enable full flexibility in non-coherent joint transmission (NCJT) and non-</w:t>
      </w:r>
      <w:r w:rsidR="009177C8">
        <w:rPr>
          <w:i/>
          <w:iCs/>
          <w:lang w:val="en-US"/>
        </w:rPr>
        <w:t>coherent joint reception (NCJR)</w:t>
      </w:r>
      <w:r w:rsidR="00962C93">
        <w:rPr>
          <w:i/>
          <w:iCs/>
          <w:lang w:val="en-US"/>
        </w:rPr>
        <w:t xml:space="preserve"> to</w:t>
      </w:r>
      <w:r w:rsidR="00E83504">
        <w:rPr>
          <w:i/>
          <w:iCs/>
          <w:lang w:val="en-US"/>
        </w:rPr>
        <w:t xml:space="preserve"> enable </w:t>
      </w:r>
      <w:r w:rsidR="006E296E">
        <w:rPr>
          <w:i/>
          <w:iCs/>
          <w:lang w:val="en-US"/>
        </w:rPr>
        <w:t>optimi</w:t>
      </w:r>
      <w:r w:rsidR="00016739">
        <w:rPr>
          <w:i/>
          <w:iCs/>
          <w:lang w:val="en-US"/>
        </w:rPr>
        <w:t>z</w:t>
      </w:r>
      <w:r w:rsidR="006E296E">
        <w:rPr>
          <w:i/>
          <w:iCs/>
          <w:lang w:val="en-US"/>
        </w:rPr>
        <w:t>ed</w:t>
      </w:r>
      <w:r w:rsidR="0007420E">
        <w:rPr>
          <w:i/>
          <w:iCs/>
          <w:lang w:val="en-US"/>
        </w:rPr>
        <w:t xml:space="preserve"> selection of serving TRPs</w:t>
      </w:r>
      <w:r w:rsidR="009753D3">
        <w:rPr>
          <w:i/>
          <w:iCs/>
          <w:lang w:val="en-US"/>
        </w:rPr>
        <w:t>, thereby</w:t>
      </w:r>
      <w:r w:rsidR="0007420E">
        <w:rPr>
          <w:i/>
          <w:iCs/>
          <w:lang w:val="en-US"/>
        </w:rPr>
        <w:t xml:space="preserve"> </w:t>
      </w:r>
      <w:r w:rsidR="008A4E97">
        <w:rPr>
          <w:i/>
          <w:iCs/>
          <w:lang w:val="en-US"/>
        </w:rPr>
        <w:t>enhanc</w:t>
      </w:r>
      <w:r w:rsidR="009753D3">
        <w:rPr>
          <w:i/>
          <w:iCs/>
          <w:lang w:val="en-US"/>
        </w:rPr>
        <w:t>ing</w:t>
      </w:r>
      <w:r w:rsidR="008A4E97">
        <w:rPr>
          <w:i/>
          <w:iCs/>
          <w:lang w:val="en-US"/>
        </w:rPr>
        <w:t xml:space="preserve"> high data rate and low latency</w:t>
      </w:r>
      <w:r w:rsidR="002A3EC0">
        <w:rPr>
          <w:i/>
          <w:iCs/>
          <w:lang w:val="en-US"/>
        </w:rPr>
        <w:t xml:space="preserve"> services for</w:t>
      </w:r>
      <w:r w:rsidR="002578F6">
        <w:rPr>
          <w:i/>
          <w:iCs/>
          <w:lang w:val="en-US"/>
        </w:rPr>
        <w:t xml:space="preserve"> </w:t>
      </w:r>
      <w:r w:rsidR="002A3EC0">
        <w:rPr>
          <w:i/>
          <w:iCs/>
          <w:lang w:val="en-US"/>
        </w:rPr>
        <w:t>targeted</w:t>
      </w:r>
      <w:r w:rsidR="002578F6">
        <w:rPr>
          <w:i/>
          <w:iCs/>
          <w:lang w:val="en-US"/>
        </w:rPr>
        <w:t xml:space="preserve"> </w:t>
      </w:r>
      <w:r w:rsidR="002A3EC0">
        <w:rPr>
          <w:i/>
          <w:iCs/>
          <w:lang w:val="en-US"/>
        </w:rPr>
        <w:t>sub</w:t>
      </w:r>
      <w:r w:rsidR="002578F6">
        <w:rPr>
          <w:i/>
          <w:iCs/>
          <w:lang w:val="en-US"/>
        </w:rPr>
        <w:t>set</w:t>
      </w:r>
      <w:r w:rsidR="002A3EC0">
        <w:rPr>
          <w:i/>
          <w:iCs/>
          <w:lang w:val="en-US"/>
        </w:rPr>
        <w:t>s</w:t>
      </w:r>
      <w:r w:rsidR="002578F6">
        <w:rPr>
          <w:i/>
          <w:iCs/>
          <w:lang w:val="en-US"/>
        </w:rPr>
        <w:t xml:space="preserve"> of UEs </w:t>
      </w:r>
      <w:r w:rsidR="002A3EC0">
        <w:rPr>
          <w:i/>
          <w:iCs/>
          <w:lang w:val="en-US"/>
        </w:rPr>
        <w:t>within the</w:t>
      </w:r>
      <w:r w:rsidR="002578F6">
        <w:rPr>
          <w:i/>
          <w:iCs/>
          <w:lang w:val="en-US"/>
        </w:rPr>
        <w:t xml:space="preserve"> network.</w:t>
      </w:r>
    </w:p>
    <w:p w14:paraId="2D493A21" w14:textId="3376AFC7" w:rsidR="00F1107D" w:rsidRDefault="00D65A8D" w:rsidP="00F1107D">
      <w:pPr>
        <w:pStyle w:val="Heading2"/>
      </w:pPr>
      <w:r>
        <w:t xml:space="preserve">Enabling </w:t>
      </w:r>
      <w:r w:rsidRPr="005C0CFB">
        <w:t xml:space="preserve">Technologies for </w:t>
      </w:r>
      <w:r w:rsidR="005C0CFB" w:rsidRPr="005C0CFB">
        <w:t>Enhanced and Uniform Network Coverage</w:t>
      </w:r>
    </w:p>
    <w:p w14:paraId="77EB5F0E" w14:textId="1F60E8A5" w:rsidR="00A93E5B" w:rsidRPr="00A93E5B" w:rsidRDefault="00A93E5B" w:rsidP="00507ADD">
      <w:r w:rsidRPr="00A93E5B">
        <w:t>The traditional philosophy of cellular networks</w:t>
      </w:r>
      <w:r>
        <w:t xml:space="preserve">, </w:t>
      </w:r>
      <w:r w:rsidRPr="00A93E5B">
        <w:t>comprising multiple fixed-location nodes</w:t>
      </w:r>
      <w:r>
        <w:t xml:space="preserve">, </w:t>
      </w:r>
      <w:r w:rsidRPr="00A93E5B">
        <w:t>is to provide wireless coverage over a defined geographical area. As networks have evolved through successive generations, the focus has expanded beyond mere coverage to include cell throughput, typically measured in Mbps per square kilometre, for both downlink and uplink.</w:t>
      </w:r>
      <w:r w:rsidR="00507ADD">
        <w:t xml:space="preserve"> </w:t>
      </w:r>
      <w:r w:rsidRPr="00A93E5B">
        <w:t xml:space="preserve">However, coverage and throughput do not always align. Techniques like frequency reuse can degrade performance for cell-edge UEs. Moreover, due to geographical constraints, some UEs may </w:t>
      </w:r>
      <w:proofErr w:type="gramStart"/>
      <w:r w:rsidRPr="00A93E5B">
        <w:t>be located in</w:t>
      </w:r>
      <w:proofErr w:type="gramEnd"/>
      <w:r w:rsidRPr="00A93E5B">
        <w:t xml:space="preserve"> areas </w:t>
      </w:r>
      <w:proofErr w:type="gramStart"/>
      <w:r w:rsidRPr="00A93E5B">
        <w:t>where</w:t>
      </w:r>
      <w:proofErr w:type="gramEnd"/>
      <w:r w:rsidRPr="00A93E5B">
        <w:t xml:space="preserve"> connecting to a single node is inherently difficult</w:t>
      </w:r>
      <w:r w:rsidR="00820D77">
        <w:t>, e.g. in</w:t>
      </w:r>
      <w:r w:rsidR="00FD34F6">
        <w:t xml:space="preserve">door UEs served by </w:t>
      </w:r>
      <w:r w:rsidR="0000515D">
        <w:t xml:space="preserve">a network of </w:t>
      </w:r>
      <w:r w:rsidR="00FD34F6">
        <w:t>outdoor TRPs</w:t>
      </w:r>
      <w:r w:rsidRPr="00A93E5B">
        <w:t>. In such cases, the lack of coordination among nodes in current 5G architectures can limit opportunities for improving coverage.</w:t>
      </w:r>
    </w:p>
    <w:p w14:paraId="03CE4578" w14:textId="41CDAC26" w:rsidR="0006135D" w:rsidRPr="0006135D" w:rsidRDefault="00A93E5B" w:rsidP="00F1107D">
      <w:r w:rsidRPr="00A93E5B">
        <w:t>To address this, coordinated techniques such as </w:t>
      </w:r>
      <w:r w:rsidR="00664C65">
        <w:t>c</w:t>
      </w:r>
      <w:r w:rsidRPr="00A93E5B">
        <w:t xml:space="preserve">oherent </w:t>
      </w:r>
      <w:r w:rsidR="00664C65">
        <w:t>j</w:t>
      </w:r>
      <w:r w:rsidRPr="00A93E5B">
        <w:t xml:space="preserve">oint </w:t>
      </w:r>
      <w:r w:rsidR="00664C65">
        <w:t>t</w:t>
      </w:r>
      <w:r w:rsidRPr="00A93E5B">
        <w:t>ransmission (CJT) and </w:t>
      </w:r>
      <w:r w:rsidR="00664C65">
        <w:t>c</w:t>
      </w:r>
      <w:r w:rsidRPr="00A93E5B">
        <w:t xml:space="preserve">oherent </w:t>
      </w:r>
      <w:r w:rsidR="00664C65">
        <w:t>j</w:t>
      </w:r>
      <w:r w:rsidRPr="00A93E5B">
        <w:t xml:space="preserve">oint </w:t>
      </w:r>
      <w:r w:rsidR="00664C65">
        <w:t>r</w:t>
      </w:r>
      <w:r w:rsidRPr="00A93E5B">
        <w:t>eception (CJR) offer promising solutions. These methods require tight synchronization in time, frequency, and phase across multiple nodes.</w:t>
      </w:r>
      <w:r w:rsidR="001057F4">
        <w:t xml:space="preserve"> </w:t>
      </w:r>
      <w:r w:rsidR="001057F4" w:rsidRPr="001057F4">
        <w:t>Therefore, we propose the following design principle for 6G:</w:t>
      </w:r>
    </w:p>
    <w:p w14:paraId="757E0912" w14:textId="732AEB9B" w:rsidR="00F1107D" w:rsidRPr="00962DBB" w:rsidRDefault="0065411A" w:rsidP="00F1107D">
      <w:pPr>
        <w:rPr>
          <w:i/>
          <w:iCs/>
        </w:rPr>
      </w:pPr>
      <w:r w:rsidRPr="00CD0FFE">
        <w:rPr>
          <w:b/>
          <w:bCs/>
          <w:i/>
          <w:iCs/>
        </w:rPr>
        <w:t xml:space="preserve">Proposal </w:t>
      </w:r>
      <w:r w:rsidR="00664DCA">
        <w:rPr>
          <w:b/>
          <w:bCs/>
          <w:i/>
          <w:iCs/>
        </w:rPr>
        <w:t>1</w:t>
      </w:r>
      <w:r w:rsidR="00572DC0">
        <w:rPr>
          <w:b/>
          <w:bCs/>
          <w:i/>
          <w:iCs/>
        </w:rPr>
        <w:t>3</w:t>
      </w:r>
      <w:r w:rsidRPr="00CD0FFE">
        <w:rPr>
          <w:b/>
          <w:bCs/>
          <w:i/>
          <w:iCs/>
        </w:rPr>
        <w:t>:</w:t>
      </w:r>
      <w:r w:rsidRPr="00245B22">
        <w:rPr>
          <w:i/>
          <w:iCs/>
        </w:rPr>
        <w:t xml:space="preserve"> </w:t>
      </w:r>
      <w:r w:rsidR="00962DBB" w:rsidRPr="00962DBB">
        <w:rPr>
          <w:i/>
          <w:iCs/>
        </w:rPr>
        <w:t>The network architecture and air interface of 6GNR should be designed to support high-precision synchronization between TRPs for enhancing signal strength in coverage-challenged areas</w:t>
      </w:r>
      <w:r w:rsidR="00962DBB">
        <w:rPr>
          <w:i/>
          <w:iCs/>
        </w:rPr>
        <w:t xml:space="preserve"> (</w:t>
      </w:r>
      <w:r w:rsidR="00962DBB" w:rsidRPr="00962DBB">
        <w:rPr>
          <w:i/>
          <w:iCs/>
        </w:rPr>
        <w:t>dead zones</w:t>
      </w:r>
      <w:r w:rsidR="00962DBB">
        <w:rPr>
          <w:i/>
          <w:iCs/>
        </w:rPr>
        <w:t xml:space="preserve">), </w:t>
      </w:r>
      <w:r w:rsidR="00962DBB" w:rsidRPr="00962DBB">
        <w:rPr>
          <w:i/>
          <w:iCs/>
        </w:rPr>
        <w:t>thereby significantly improving overall network coverage.</w:t>
      </w:r>
    </w:p>
    <w:p w14:paraId="265B6A41" w14:textId="2C578A09" w:rsidR="001D0F45" w:rsidRDefault="001D0F45" w:rsidP="001D0F45">
      <w:pPr>
        <w:pStyle w:val="Heading2"/>
      </w:pPr>
      <w:r>
        <w:t xml:space="preserve">Ubiquitous </w:t>
      </w:r>
      <w:r w:rsidR="00BF25CB">
        <w:t>C</w:t>
      </w:r>
      <w:r>
        <w:t>overage</w:t>
      </w:r>
    </w:p>
    <w:p w14:paraId="7738B8D8" w14:textId="4F3EA43A" w:rsidR="00FF6B44" w:rsidRDefault="00D5544F" w:rsidP="00FF6B44">
      <w:r w:rsidRPr="00D5544F">
        <w:rPr>
          <w:lang w:val="en-US"/>
        </w:rPr>
        <w:t>Despite substantial efforts in network design and deployment, certain areas</w:t>
      </w:r>
      <w:r w:rsidR="000C7D83">
        <w:rPr>
          <w:lang w:val="en-US"/>
        </w:rPr>
        <w:t xml:space="preserve">, </w:t>
      </w:r>
      <w:r w:rsidRPr="00D5544F">
        <w:rPr>
          <w:lang w:val="en-US"/>
        </w:rPr>
        <w:t>such as rural regions, ships, or remote islands</w:t>
      </w:r>
      <w:r w:rsidR="000C7D83">
        <w:rPr>
          <w:lang w:val="en-US"/>
        </w:rPr>
        <w:t xml:space="preserve">, </w:t>
      </w:r>
      <w:r w:rsidRPr="00D5544F">
        <w:rPr>
          <w:lang w:val="en-US"/>
        </w:rPr>
        <w:t>remain underserved or entirely outside cellular coverage. Additionally, 6GNR must be prepared for scenarios where the terrestrial cellular infrastructure is compromised, such as in the aftermath of natural disasters. In these cases, alternative connectivity options are essential, particularly to support emergency communications.</w:t>
      </w:r>
      <w:r w:rsidR="00E052F4">
        <w:rPr>
          <w:lang w:val="en-US"/>
        </w:rPr>
        <w:t xml:space="preserve"> </w:t>
      </w:r>
      <w:r w:rsidR="00E052F4" w:rsidRPr="00E052F4">
        <w:t>NTN</w:t>
      </w:r>
      <w:r w:rsidRPr="00D5544F">
        <w:t>, which utilize airborne or spaceborne platforms to serve UEs, offer a compelling complement to traditional </w:t>
      </w:r>
      <w:r w:rsidR="00E052F4" w:rsidRPr="00E052F4">
        <w:t>TN</w:t>
      </w:r>
      <w:r w:rsidRPr="00D5544F">
        <w:t>. However, NTN introduces distinct channel characteristics due to greater transmission distances and the mobility of network nodes. These differences necessitate specific considerations in the 6GNR air interface to ensure robust NTN support.</w:t>
      </w:r>
    </w:p>
    <w:p w14:paraId="74368C93" w14:textId="5280A5AB" w:rsidR="00D5544F" w:rsidRPr="00D5544F" w:rsidRDefault="00D5544F" w:rsidP="00FF6B44">
      <w:r w:rsidRPr="00D5544F">
        <w:t>Nevertheless, to enable seamless transitions between TN and NTN</w:t>
      </w:r>
      <w:r w:rsidR="00FF6B44">
        <w:t xml:space="preserve">, </w:t>
      </w:r>
      <w:r w:rsidRPr="00D5544F">
        <w:t>especially in urgent or dynamic scenarios</w:t>
      </w:r>
      <w:r w:rsidR="00FF6B44">
        <w:t xml:space="preserve">, </w:t>
      </w:r>
      <w:r w:rsidRPr="00D5544F">
        <w:t>the differences in their respective air interfaces should be minimi</w:t>
      </w:r>
      <w:r w:rsidR="00FF6B44">
        <w:t>s</w:t>
      </w:r>
      <w:r w:rsidRPr="00D5544F">
        <w:t>ed. This will allow UEs to switch between TN and NTN rapidly and reliably, ensuring continuous service availability.</w:t>
      </w:r>
      <w:r w:rsidR="00FF6B44">
        <w:t xml:space="preserve"> Based on these discussions, we propose the following:</w:t>
      </w:r>
    </w:p>
    <w:p w14:paraId="700C91FB" w14:textId="4A19BCB2" w:rsidR="00F1107D" w:rsidRPr="003D40A0" w:rsidRDefault="0065411A" w:rsidP="00F1107D">
      <w:pPr>
        <w:rPr>
          <w:i/>
          <w:iCs/>
        </w:rPr>
      </w:pPr>
      <w:r w:rsidRPr="00CD0FFE">
        <w:rPr>
          <w:b/>
          <w:bCs/>
          <w:i/>
          <w:iCs/>
        </w:rPr>
        <w:t xml:space="preserve">Proposal </w:t>
      </w:r>
      <w:r w:rsidR="00051A6C">
        <w:rPr>
          <w:b/>
          <w:bCs/>
          <w:i/>
          <w:iCs/>
        </w:rPr>
        <w:t>1</w:t>
      </w:r>
      <w:r w:rsidR="00572DC0">
        <w:rPr>
          <w:b/>
          <w:bCs/>
          <w:i/>
          <w:iCs/>
        </w:rPr>
        <w:t>4</w:t>
      </w:r>
      <w:r w:rsidRPr="00CD0FFE">
        <w:rPr>
          <w:b/>
          <w:bCs/>
          <w:i/>
          <w:iCs/>
        </w:rPr>
        <w:t>:</w:t>
      </w:r>
      <w:r w:rsidRPr="00245B22">
        <w:rPr>
          <w:i/>
          <w:iCs/>
        </w:rPr>
        <w:t xml:space="preserve"> </w:t>
      </w:r>
      <w:r w:rsidR="00067BB3" w:rsidRPr="00067BB3">
        <w:rPr>
          <w:i/>
          <w:iCs/>
        </w:rPr>
        <w:t xml:space="preserve">The 6G air interface should be designed to support NTN and enable seamless, </w:t>
      </w:r>
      <w:proofErr w:type="gramStart"/>
      <w:r w:rsidR="00067BB3" w:rsidRPr="00067BB3">
        <w:rPr>
          <w:i/>
          <w:iCs/>
        </w:rPr>
        <w:t>low-latency</w:t>
      </w:r>
      <w:proofErr w:type="gramEnd"/>
      <w:r w:rsidR="00067BB3" w:rsidRPr="00067BB3">
        <w:rPr>
          <w:i/>
          <w:iCs/>
        </w:rPr>
        <w:t xml:space="preserve"> switching between NTN and TN to ensure continuous connectivity, especially in underserved areas or during infrastructure outages.</w:t>
      </w:r>
    </w:p>
    <w:p w14:paraId="2B2ECC4F" w14:textId="77777777" w:rsidR="00BF588E" w:rsidRDefault="00BF588E" w:rsidP="00BF588E">
      <w:pPr>
        <w:pStyle w:val="Heading1"/>
        <w:spacing w:before="120" w:after="120"/>
      </w:pPr>
      <w:r>
        <w:rPr>
          <w:rFonts w:hint="eastAsia"/>
        </w:rPr>
        <w:t>Conclusion and Proposals</w:t>
      </w:r>
    </w:p>
    <w:p w14:paraId="3D60B982" w14:textId="282E4C56" w:rsidR="00BF588E" w:rsidRDefault="00BF588E" w:rsidP="00BF588E">
      <w:pPr>
        <w:rPr>
          <w:i/>
          <w:iCs/>
        </w:rPr>
      </w:pPr>
      <w:r>
        <w:t>Based on the discussion above, we conclude this contribution with the following</w:t>
      </w:r>
      <w:r w:rsidR="00664DCA">
        <w:t xml:space="preserve"> observations and</w:t>
      </w:r>
      <w:r>
        <w:t xml:space="preserve"> </w:t>
      </w:r>
      <w:proofErr w:type="gramStart"/>
      <w:r>
        <w:t>proposals:</w:t>
      </w:r>
      <w:r w:rsidRPr="00196B0F">
        <w:rPr>
          <w:i/>
          <w:iCs/>
        </w:rPr>
        <w:t>.</w:t>
      </w:r>
      <w:proofErr w:type="gramEnd"/>
    </w:p>
    <w:p w14:paraId="46D2BFBD" w14:textId="0571EAF1" w:rsidR="00664DCA" w:rsidRDefault="00664DCA" w:rsidP="00664DCA">
      <w:pPr>
        <w:tabs>
          <w:tab w:val="num" w:pos="720"/>
        </w:tabs>
        <w:rPr>
          <w:b/>
          <w:bCs/>
          <w:i/>
          <w:iCs/>
          <w:lang w:val="en-US"/>
        </w:rPr>
      </w:pPr>
      <w:r w:rsidRPr="00796BE0">
        <w:rPr>
          <w:b/>
          <w:bCs/>
          <w:i/>
          <w:iCs/>
        </w:rPr>
        <w:t>Observation 1:</w:t>
      </w:r>
      <w:r>
        <w:rPr>
          <w:i/>
          <w:iCs/>
        </w:rPr>
        <w:t xml:space="preserve"> </w:t>
      </w:r>
      <w:r w:rsidR="00AA3CCF">
        <w:rPr>
          <w:i/>
          <w:iCs/>
        </w:rPr>
        <w:t xml:space="preserve">While </w:t>
      </w:r>
      <w:r w:rsidR="00AA3CCF" w:rsidRPr="00796BE0">
        <w:rPr>
          <w:i/>
          <w:iCs/>
        </w:rPr>
        <w:t>NR BWP framework has successfully enabled power-efficient operation, flexible resource allocation, and support for diverse device capabilities and low-latency services, it faces</w:t>
      </w:r>
      <w:r w:rsidR="00AA3CCF">
        <w:rPr>
          <w:i/>
          <w:iCs/>
        </w:rPr>
        <w:t xml:space="preserve"> several</w:t>
      </w:r>
      <w:r w:rsidR="00AA3CCF" w:rsidRPr="00796BE0">
        <w:rPr>
          <w:i/>
          <w:iCs/>
        </w:rPr>
        <w:t xml:space="preserve"> challenges</w:t>
      </w:r>
      <w:r w:rsidR="00AA3CCF">
        <w:rPr>
          <w:i/>
          <w:iCs/>
        </w:rPr>
        <w:t>,</w:t>
      </w:r>
      <w:r w:rsidR="00AA3CCF" w:rsidRPr="00796BE0">
        <w:rPr>
          <w:i/>
          <w:iCs/>
        </w:rPr>
        <w:t xml:space="preserve"> </w:t>
      </w:r>
      <w:r w:rsidR="00AA3CCF">
        <w:rPr>
          <w:i/>
          <w:iCs/>
        </w:rPr>
        <w:t>including</w:t>
      </w:r>
      <w:r w:rsidR="00AA3CCF" w:rsidRPr="00796BE0">
        <w:rPr>
          <w:i/>
          <w:iCs/>
        </w:rPr>
        <w:t xml:space="preserve"> switching latency, </w:t>
      </w:r>
      <w:proofErr w:type="spellStart"/>
      <w:r w:rsidR="00AA3CCF" w:rsidRPr="00796BE0">
        <w:rPr>
          <w:i/>
          <w:iCs/>
        </w:rPr>
        <w:t>signaling</w:t>
      </w:r>
      <w:proofErr w:type="spellEnd"/>
      <w:r w:rsidR="00AA3CCF" w:rsidRPr="00796BE0">
        <w:rPr>
          <w:i/>
          <w:iCs/>
        </w:rPr>
        <w:t xml:space="preserve"> overhead, limited</w:t>
      </w:r>
      <w:r w:rsidR="00AA3CCF">
        <w:rPr>
          <w:i/>
          <w:iCs/>
        </w:rPr>
        <w:t xml:space="preserve"> number of</w:t>
      </w:r>
      <w:r w:rsidR="00AA3CCF" w:rsidRPr="00796BE0">
        <w:rPr>
          <w:i/>
          <w:iCs/>
        </w:rPr>
        <w:t xml:space="preserve"> BWP</w:t>
      </w:r>
      <w:r w:rsidR="00AA3CCF">
        <w:rPr>
          <w:i/>
          <w:iCs/>
        </w:rPr>
        <w:t>s</w:t>
      </w:r>
      <w:r w:rsidR="00AA3CCF" w:rsidRPr="00796BE0">
        <w:rPr>
          <w:i/>
          <w:iCs/>
        </w:rPr>
        <w:t>, cross-BWP scheduling complexity, and lack of BWP-level QoS association</w:t>
      </w:r>
      <w:r w:rsidR="00AA3CCF">
        <w:rPr>
          <w:i/>
          <w:iCs/>
        </w:rPr>
        <w:t xml:space="preserve">, </w:t>
      </w:r>
      <w:r w:rsidR="00AA3CCF" w:rsidRPr="00796BE0">
        <w:rPr>
          <w:i/>
          <w:iCs/>
        </w:rPr>
        <w:t>that must be addressed to fully realize its potential in 6G</w:t>
      </w:r>
      <w:r w:rsidR="00AA3CCF">
        <w:rPr>
          <w:i/>
          <w:iCs/>
        </w:rPr>
        <w:t>R.</w:t>
      </w:r>
    </w:p>
    <w:p w14:paraId="3423F57E" w14:textId="77777777" w:rsidR="00AA3CCF" w:rsidRDefault="00AA3CCF" w:rsidP="00AA3CCF">
      <w:r w:rsidRPr="00796BE0">
        <w:rPr>
          <w:b/>
          <w:bCs/>
          <w:i/>
          <w:iCs/>
        </w:rPr>
        <w:t xml:space="preserve">Observation </w:t>
      </w:r>
      <w:r>
        <w:rPr>
          <w:b/>
          <w:bCs/>
          <w:i/>
          <w:iCs/>
        </w:rPr>
        <w:t>2</w:t>
      </w:r>
      <w:r w:rsidRPr="00796BE0">
        <w:rPr>
          <w:b/>
          <w:bCs/>
          <w:i/>
          <w:iCs/>
        </w:rPr>
        <w:t>:</w:t>
      </w:r>
      <w:r w:rsidRPr="000C3213">
        <w:rPr>
          <w:i/>
          <w:iCs/>
        </w:rPr>
        <w:t xml:space="preserve"> Carrier aggregation, through strategic combinations of component carriers across low-, mid-, and high-band spectrum tiers, is fundamental to effective NR deployment, enabling multi-gigabit throughput and expanded coverage, while demanding sophisticated synchronization, resource management, and device-level engineering to overcome the inherent complexities of advanced spectrum integration.</w:t>
      </w:r>
    </w:p>
    <w:p w14:paraId="729AE3EE" w14:textId="77777777" w:rsidR="00AA3CCF" w:rsidRDefault="00AA3CCF" w:rsidP="00AA3CCF">
      <w:r w:rsidRPr="00796BE0">
        <w:rPr>
          <w:b/>
          <w:bCs/>
          <w:i/>
          <w:iCs/>
        </w:rPr>
        <w:lastRenderedPageBreak/>
        <w:t xml:space="preserve">Observation </w:t>
      </w:r>
      <w:r>
        <w:rPr>
          <w:b/>
          <w:bCs/>
          <w:i/>
          <w:iCs/>
        </w:rPr>
        <w:t>3</w:t>
      </w:r>
      <w:r w:rsidRPr="00796BE0">
        <w:rPr>
          <w:b/>
          <w:bCs/>
          <w:i/>
          <w:iCs/>
        </w:rPr>
        <w:t>:</w:t>
      </w:r>
      <w:r w:rsidRPr="000C3213">
        <w:rPr>
          <w:i/>
          <w:iCs/>
        </w:rPr>
        <w:t xml:space="preserve"> </w:t>
      </w:r>
      <w:r>
        <w:rPr>
          <w:i/>
          <w:iCs/>
        </w:rPr>
        <w:t>NR</w:t>
      </w:r>
      <w:r w:rsidRPr="000C3213">
        <w:rPr>
          <w:i/>
          <w:iCs/>
        </w:rPr>
        <w:t xml:space="preserve"> performance</w:t>
      </w:r>
      <w:r>
        <w:rPr>
          <w:i/>
          <w:iCs/>
        </w:rPr>
        <w:t xml:space="preserve"> is significantly elevated</w:t>
      </w:r>
      <w:r w:rsidRPr="000C3213">
        <w:rPr>
          <w:i/>
          <w:iCs/>
        </w:rPr>
        <w:t xml:space="preserve"> by</w:t>
      </w:r>
      <w:r>
        <w:rPr>
          <w:i/>
          <w:iCs/>
        </w:rPr>
        <w:t xml:space="preserve"> NR-DC, which complements</w:t>
      </w:r>
      <w:r w:rsidRPr="000C3213">
        <w:rPr>
          <w:i/>
          <w:iCs/>
        </w:rPr>
        <w:t xml:space="preserve"> carrier aggregation </w:t>
      </w:r>
      <w:r>
        <w:rPr>
          <w:i/>
          <w:iCs/>
        </w:rPr>
        <w:t>through</w:t>
      </w:r>
      <w:r w:rsidRPr="000C3213">
        <w:rPr>
          <w:i/>
          <w:iCs/>
        </w:rPr>
        <w:t xml:space="preserve"> </w:t>
      </w:r>
      <w:r>
        <w:rPr>
          <w:i/>
          <w:iCs/>
        </w:rPr>
        <w:t xml:space="preserve">a </w:t>
      </w:r>
      <w:r w:rsidRPr="000C3213">
        <w:rPr>
          <w:i/>
          <w:iCs/>
        </w:rPr>
        <w:t>multi-node architecture</w:t>
      </w:r>
      <w:r>
        <w:rPr>
          <w:i/>
          <w:iCs/>
        </w:rPr>
        <w:t xml:space="preserve"> that enables</w:t>
      </w:r>
      <w:r w:rsidRPr="000C3213">
        <w:rPr>
          <w:i/>
          <w:iCs/>
        </w:rPr>
        <w:t xml:space="preserve"> simultaneous connections to multiple </w:t>
      </w:r>
      <w:r>
        <w:rPr>
          <w:i/>
          <w:iCs/>
        </w:rPr>
        <w:t>BS</w:t>
      </w:r>
      <w:r w:rsidRPr="000C3213">
        <w:rPr>
          <w:i/>
          <w:iCs/>
        </w:rPr>
        <w:t>s for improved throughput, reduced latency, and extended mid-band coverage, while accommodating non-ideal backhaul and complex traffic management across separate MAC entities.</w:t>
      </w:r>
    </w:p>
    <w:p w14:paraId="637D73F5" w14:textId="6EF36F52" w:rsidR="00AA3CCF" w:rsidRPr="000C3213" w:rsidRDefault="00AA3CCF" w:rsidP="00AA3CCF">
      <w:pPr>
        <w:rPr>
          <w:i/>
          <w:iCs/>
        </w:rPr>
      </w:pPr>
      <w:r w:rsidRPr="00796BE0">
        <w:rPr>
          <w:b/>
          <w:bCs/>
          <w:i/>
          <w:iCs/>
        </w:rPr>
        <w:t xml:space="preserve">Observation </w:t>
      </w:r>
      <w:r>
        <w:rPr>
          <w:b/>
          <w:bCs/>
          <w:i/>
          <w:iCs/>
        </w:rPr>
        <w:t>4</w:t>
      </w:r>
      <w:r w:rsidRPr="00796BE0">
        <w:rPr>
          <w:b/>
          <w:bCs/>
          <w:i/>
          <w:iCs/>
        </w:rPr>
        <w:t>:</w:t>
      </w:r>
      <w:r w:rsidRPr="000C3213">
        <w:rPr>
          <w:i/>
          <w:iCs/>
        </w:rPr>
        <w:t xml:space="preserve"> While EN-DC has accelerated 5G deployment by utilizing existing LTE infrastructure through Option 3x and delivering combined performance gains, it inherently restricts full 5G potential due to its reliance on </w:t>
      </w:r>
      <w:r w:rsidR="005D2772">
        <w:rPr>
          <w:i/>
          <w:iCs/>
        </w:rPr>
        <w:t>EPC</w:t>
      </w:r>
      <w:r w:rsidRPr="000C3213">
        <w:rPr>
          <w:i/>
          <w:iCs/>
        </w:rPr>
        <w:t xml:space="preserve"> and introduces </w:t>
      </w:r>
      <w:proofErr w:type="spellStart"/>
      <w:r w:rsidRPr="000C3213">
        <w:rPr>
          <w:i/>
          <w:iCs/>
        </w:rPr>
        <w:t>signaling</w:t>
      </w:r>
      <w:proofErr w:type="spellEnd"/>
      <w:r w:rsidRPr="000C3213">
        <w:rPr>
          <w:i/>
          <w:iCs/>
        </w:rPr>
        <w:t xml:space="preserve"> overhead and configuration inefficiencies that can degrade user experience.</w:t>
      </w:r>
    </w:p>
    <w:p w14:paraId="31332784" w14:textId="43AC16F8" w:rsidR="00AA3CCF" w:rsidRDefault="00AA3CCF" w:rsidP="00AA3CCF">
      <w:pPr>
        <w:tabs>
          <w:tab w:val="num" w:pos="720"/>
        </w:tabs>
        <w:rPr>
          <w:b/>
          <w:bCs/>
          <w:i/>
          <w:iCs/>
          <w:lang w:val="en-US"/>
        </w:rPr>
      </w:pPr>
      <w:r w:rsidRPr="00796BE0">
        <w:rPr>
          <w:b/>
          <w:bCs/>
          <w:i/>
          <w:iCs/>
        </w:rPr>
        <w:t xml:space="preserve">Observation </w:t>
      </w:r>
      <w:r>
        <w:rPr>
          <w:b/>
          <w:bCs/>
          <w:i/>
          <w:iCs/>
        </w:rPr>
        <w:t>5</w:t>
      </w:r>
      <w:r w:rsidRPr="00796BE0">
        <w:rPr>
          <w:b/>
          <w:bCs/>
          <w:i/>
          <w:iCs/>
        </w:rPr>
        <w:t>:</w:t>
      </w:r>
      <w:r w:rsidRPr="000C3213">
        <w:rPr>
          <w:i/>
          <w:iCs/>
        </w:rPr>
        <w:t xml:space="preserve"> While DSS offers a flexible solution to spectrum scarcity by enabling concurrent LTE and NR transmissions, its practical adoption is hindered by complex synchronization requirements, interference issues, and performance trade-offs that make it less </w:t>
      </w:r>
      <w:proofErr w:type="spellStart"/>
      <w:r w:rsidRPr="000C3213">
        <w:rPr>
          <w:i/>
          <w:iCs/>
        </w:rPr>
        <w:t>favorable</w:t>
      </w:r>
      <w:proofErr w:type="spellEnd"/>
      <w:r w:rsidRPr="000C3213">
        <w:rPr>
          <w:i/>
          <w:iCs/>
        </w:rPr>
        <w:t xml:space="preserve"> than alternatives like spectrum refarming or new band acquisition.</w:t>
      </w:r>
    </w:p>
    <w:p w14:paraId="5D3E9811" w14:textId="37814196" w:rsidR="00EA7480" w:rsidRPr="00C41AD9" w:rsidRDefault="00493219" w:rsidP="00EA7480">
      <w:pPr>
        <w:tabs>
          <w:tab w:val="num" w:pos="720"/>
        </w:tabs>
        <w:spacing w:after="0"/>
        <w:rPr>
          <w:i/>
          <w:iCs/>
          <w:lang w:val="en-US"/>
        </w:rPr>
      </w:pPr>
      <w:r w:rsidRPr="00AF0CFA">
        <w:rPr>
          <w:b/>
          <w:bCs/>
          <w:i/>
          <w:iCs/>
          <w:lang w:val="en-US"/>
        </w:rPr>
        <w:t>Proposal 1</w:t>
      </w:r>
      <w:r w:rsidR="00EA7480" w:rsidRPr="00AF0CFA">
        <w:rPr>
          <w:b/>
          <w:bCs/>
          <w:i/>
          <w:iCs/>
          <w:lang w:val="en-US"/>
        </w:rPr>
        <w:t>:</w:t>
      </w:r>
      <w:r w:rsidR="00EA7480" w:rsidRPr="00AF0CFA">
        <w:rPr>
          <w:i/>
          <w:iCs/>
          <w:lang w:val="en-US"/>
        </w:rPr>
        <w:t xml:space="preserve"> RAN1 identifies and references the authoritative SA1 documents, including the TR 22.8</w:t>
      </w:r>
      <w:r w:rsidR="00EA7480">
        <w:rPr>
          <w:i/>
          <w:iCs/>
          <w:lang w:val="en-US"/>
        </w:rPr>
        <w:t>xx</w:t>
      </w:r>
      <w:r w:rsidR="00EA7480" w:rsidRPr="00AF0CFA">
        <w:rPr>
          <w:i/>
          <w:iCs/>
          <w:lang w:val="en-US"/>
        </w:rPr>
        <w:t xml:space="preserve"> series, that comprehensively define 6G</w:t>
      </w:r>
      <w:r w:rsidR="00FC53A9">
        <w:rPr>
          <w:i/>
          <w:iCs/>
          <w:lang w:val="en-US"/>
        </w:rPr>
        <w:t>R</w:t>
      </w:r>
      <w:r w:rsidR="00EA7480" w:rsidRPr="00AF0CFA">
        <w:rPr>
          <w:i/>
          <w:iCs/>
          <w:lang w:val="en-US"/>
        </w:rPr>
        <w:t xml:space="preserve"> use cases and their associated KPIs to ensure that all subsequent technical work </w:t>
      </w:r>
      <w:r w:rsidR="00EA7480">
        <w:rPr>
          <w:i/>
          <w:iCs/>
          <w:lang w:val="en-US"/>
        </w:rPr>
        <w:t xml:space="preserve">on 6GR </w:t>
      </w:r>
      <w:r w:rsidR="00EA7480" w:rsidRPr="00AF0CFA">
        <w:rPr>
          <w:i/>
          <w:iCs/>
          <w:lang w:val="en-US"/>
        </w:rPr>
        <w:t xml:space="preserve">is grounded in a </w:t>
      </w:r>
      <w:r w:rsidR="00EA7480" w:rsidRPr="00C41AD9">
        <w:rPr>
          <w:i/>
          <w:iCs/>
          <w:lang w:val="en-US"/>
        </w:rPr>
        <w:t>consistent and validated set of service-level requirements, enabling coherent cross-layer alignment throughout the standardization process.</w:t>
      </w:r>
    </w:p>
    <w:p w14:paraId="455CA116" w14:textId="77777777" w:rsidR="00EA7480" w:rsidRPr="00C41AD9" w:rsidRDefault="00EA7480" w:rsidP="00EA7480">
      <w:pPr>
        <w:pStyle w:val="ListParagraph"/>
        <w:numPr>
          <w:ilvl w:val="0"/>
          <w:numId w:val="15"/>
        </w:numPr>
        <w:tabs>
          <w:tab w:val="num" w:pos="720"/>
        </w:tabs>
        <w:spacing w:after="180"/>
        <w:ind w:left="714" w:hanging="357"/>
        <w:rPr>
          <w:i/>
          <w:iCs/>
          <w:sz w:val="20"/>
          <w:szCs w:val="20"/>
          <w:lang w:val="en-US"/>
        </w:rPr>
      </w:pPr>
      <w:r w:rsidRPr="00C41AD9">
        <w:rPr>
          <w:i/>
          <w:iCs/>
          <w:sz w:val="20"/>
          <w:szCs w:val="20"/>
          <w:lang w:val="en-US"/>
        </w:rPr>
        <w:t>A LS to SA1 may be needed.</w:t>
      </w:r>
    </w:p>
    <w:p w14:paraId="0D9CABD3" w14:textId="74BDD7B4" w:rsidR="00EA7480" w:rsidRPr="00AF0CFA" w:rsidRDefault="00EA7480" w:rsidP="00EA7480">
      <w:pPr>
        <w:tabs>
          <w:tab w:val="num" w:pos="720"/>
        </w:tabs>
        <w:rPr>
          <w:i/>
          <w:iCs/>
          <w:lang w:val="en-US"/>
        </w:rPr>
      </w:pPr>
      <w:r w:rsidRPr="00AF0CFA">
        <w:rPr>
          <w:b/>
          <w:bCs/>
          <w:i/>
          <w:iCs/>
          <w:lang w:val="en-US"/>
        </w:rPr>
        <w:t>Proposal 2:</w:t>
      </w:r>
      <w:r w:rsidRPr="00AF0CFA">
        <w:rPr>
          <w:i/>
          <w:iCs/>
          <w:lang w:val="en-US"/>
        </w:rPr>
        <w:t xml:space="preserve"> Once the SA1 documents are established, RAN1 identifies a systematic mapping of each primary 6G</w:t>
      </w:r>
      <w:r w:rsidR="00FC53A9">
        <w:rPr>
          <w:i/>
          <w:iCs/>
          <w:lang w:val="en-US"/>
        </w:rPr>
        <w:t>R</w:t>
      </w:r>
      <w:r w:rsidRPr="00AF0CFA">
        <w:rPr>
          <w:i/>
          <w:iCs/>
          <w:lang w:val="en-US"/>
        </w:rPr>
        <w:t xml:space="preserve"> use case family or service category to distinct physical layer device types to serve as a foundational framework to classify devices based on the specific service demands they are intended to support, facilitating targeted design and optimization of physical layer technologies.</w:t>
      </w:r>
    </w:p>
    <w:p w14:paraId="5B033349" w14:textId="584AC4CB" w:rsidR="00FC3CE9" w:rsidRPr="00FC3CE9" w:rsidRDefault="00EA7480" w:rsidP="00FC3CE9">
      <w:pPr>
        <w:tabs>
          <w:tab w:val="num" w:pos="720"/>
        </w:tabs>
        <w:spacing w:after="0"/>
        <w:rPr>
          <w:i/>
          <w:iCs/>
          <w:lang w:val="en-US"/>
        </w:rPr>
      </w:pPr>
      <w:r w:rsidRPr="00AF0CFA">
        <w:rPr>
          <w:b/>
          <w:bCs/>
          <w:i/>
          <w:iCs/>
          <w:lang w:val="en-US"/>
        </w:rPr>
        <w:t>Proposal 3:</w:t>
      </w:r>
      <w:r w:rsidRPr="00AF0CFA">
        <w:rPr>
          <w:i/>
          <w:iCs/>
          <w:lang w:val="en-US"/>
        </w:rPr>
        <w:t xml:space="preserve"> </w:t>
      </w:r>
      <w:r w:rsidR="00AC4566">
        <w:rPr>
          <w:i/>
          <w:iCs/>
          <w:lang w:val="en-US"/>
        </w:rPr>
        <w:t>F</w:t>
      </w:r>
      <w:r w:rsidR="00FC3CE9" w:rsidRPr="00FC3CE9">
        <w:rPr>
          <w:i/>
          <w:iCs/>
          <w:lang w:val="en-US"/>
        </w:rPr>
        <w:t>or each mapped use case or service category, RAN1 derives the dominant physical layer requirements that will guide the definition of device capabilities and PHY features, including</w:t>
      </w:r>
    </w:p>
    <w:p w14:paraId="24D367B0" w14:textId="56678298"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t</w:t>
      </w:r>
      <w:r w:rsidR="00FC3CE9" w:rsidRPr="00FC3CE9">
        <w:rPr>
          <w:i/>
          <w:iCs/>
          <w:sz w:val="20"/>
          <w:szCs w:val="20"/>
          <w:lang w:val="en-US"/>
        </w:rPr>
        <w:t>hroughput</w:t>
      </w:r>
    </w:p>
    <w:p w14:paraId="5D3DA18E" w14:textId="0247F310"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l</w:t>
      </w:r>
      <w:r w:rsidR="00FC3CE9" w:rsidRPr="00FC3CE9">
        <w:rPr>
          <w:i/>
          <w:iCs/>
          <w:sz w:val="20"/>
          <w:szCs w:val="20"/>
          <w:lang w:val="en-US"/>
        </w:rPr>
        <w:t>atency</w:t>
      </w:r>
    </w:p>
    <w:p w14:paraId="206B9D87" w14:textId="63FADF5F"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r</w:t>
      </w:r>
      <w:r w:rsidR="00FC3CE9" w:rsidRPr="00FC3CE9">
        <w:rPr>
          <w:i/>
          <w:iCs/>
          <w:sz w:val="20"/>
          <w:szCs w:val="20"/>
          <w:lang w:val="en-US"/>
        </w:rPr>
        <w:t>eliability</w:t>
      </w:r>
    </w:p>
    <w:p w14:paraId="5B870ED2" w14:textId="1657A3BE"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c</w:t>
      </w:r>
      <w:r w:rsidR="00FC3CE9" w:rsidRPr="00FC3CE9">
        <w:rPr>
          <w:i/>
          <w:iCs/>
          <w:sz w:val="20"/>
          <w:szCs w:val="20"/>
          <w:lang w:val="en-US"/>
        </w:rPr>
        <w:t>onnection density</w:t>
      </w:r>
    </w:p>
    <w:p w14:paraId="675072C4" w14:textId="718C2E1E"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p</w:t>
      </w:r>
      <w:r w:rsidR="00FC3CE9" w:rsidRPr="00FC3CE9">
        <w:rPr>
          <w:i/>
          <w:iCs/>
          <w:sz w:val="20"/>
          <w:szCs w:val="20"/>
          <w:lang w:val="en-US"/>
        </w:rPr>
        <w:t>ower consumption</w:t>
      </w:r>
    </w:p>
    <w:p w14:paraId="144FB94D" w14:textId="7D3E1B5E"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m</w:t>
      </w:r>
      <w:r w:rsidR="00FC3CE9" w:rsidRPr="00FC3CE9">
        <w:rPr>
          <w:i/>
          <w:iCs/>
          <w:sz w:val="20"/>
          <w:szCs w:val="20"/>
          <w:lang w:val="en-US"/>
        </w:rPr>
        <w:t>obility support</w:t>
      </w:r>
    </w:p>
    <w:p w14:paraId="51846842" w14:textId="4A63C7FF"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s</w:t>
      </w:r>
      <w:r w:rsidR="00FC3CE9" w:rsidRPr="00FC3CE9">
        <w:rPr>
          <w:i/>
          <w:iCs/>
          <w:sz w:val="20"/>
          <w:szCs w:val="20"/>
          <w:lang w:val="en-US"/>
        </w:rPr>
        <w:t>ensing capabilities</w:t>
      </w:r>
    </w:p>
    <w:p w14:paraId="5FA08909" w14:textId="77777777" w:rsidR="00FC3CE9" w:rsidRPr="00FC3CE9" w:rsidRDefault="00FC3CE9" w:rsidP="00FC3CE9">
      <w:pPr>
        <w:pStyle w:val="ListParagraph"/>
        <w:numPr>
          <w:ilvl w:val="0"/>
          <w:numId w:val="15"/>
        </w:numPr>
        <w:tabs>
          <w:tab w:val="num" w:pos="720"/>
        </w:tabs>
        <w:rPr>
          <w:sz w:val="20"/>
          <w:szCs w:val="20"/>
          <w:lang w:val="en-US"/>
        </w:rPr>
      </w:pPr>
      <w:r w:rsidRPr="00FC3CE9">
        <w:rPr>
          <w:i/>
          <w:iCs/>
          <w:sz w:val="20"/>
          <w:szCs w:val="20"/>
          <w:lang w:val="en-US"/>
        </w:rPr>
        <w:t>AI/ML processing demands</w:t>
      </w:r>
    </w:p>
    <w:p w14:paraId="2CB60F0A" w14:textId="1C28CAAD" w:rsidR="00FC3CE9" w:rsidRPr="00FC3CE9" w:rsidRDefault="00552038" w:rsidP="00FC3CE9">
      <w:pPr>
        <w:pStyle w:val="ListParagraph"/>
        <w:numPr>
          <w:ilvl w:val="0"/>
          <w:numId w:val="15"/>
        </w:numPr>
        <w:tabs>
          <w:tab w:val="num" w:pos="720"/>
        </w:tabs>
        <w:rPr>
          <w:sz w:val="20"/>
          <w:szCs w:val="20"/>
          <w:lang w:val="en-US"/>
        </w:rPr>
      </w:pPr>
      <w:r>
        <w:rPr>
          <w:i/>
          <w:iCs/>
          <w:sz w:val="20"/>
          <w:szCs w:val="20"/>
          <w:lang w:val="en-US"/>
        </w:rPr>
        <w:t>a</w:t>
      </w:r>
      <w:r w:rsidR="00FC3CE9" w:rsidRPr="00FC3CE9">
        <w:rPr>
          <w:i/>
          <w:iCs/>
          <w:sz w:val="20"/>
          <w:szCs w:val="20"/>
          <w:lang w:val="en-US"/>
        </w:rPr>
        <w:t>ntenna configurations</w:t>
      </w:r>
    </w:p>
    <w:p w14:paraId="41EF9967" w14:textId="6158A1E2" w:rsidR="00FC3CE9" w:rsidRPr="002A6C75" w:rsidRDefault="00552038" w:rsidP="002A6C75">
      <w:pPr>
        <w:pStyle w:val="ListParagraph"/>
        <w:numPr>
          <w:ilvl w:val="0"/>
          <w:numId w:val="15"/>
        </w:numPr>
        <w:tabs>
          <w:tab w:val="num" w:pos="720"/>
        </w:tabs>
        <w:spacing w:after="180"/>
        <w:ind w:left="714" w:hanging="357"/>
        <w:rPr>
          <w:sz w:val="20"/>
          <w:szCs w:val="20"/>
          <w:lang w:val="en-US"/>
        </w:rPr>
      </w:pPr>
      <w:r>
        <w:rPr>
          <w:i/>
          <w:iCs/>
          <w:sz w:val="20"/>
          <w:szCs w:val="20"/>
          <w:lang w:val="en-US"/>
        </w:rPr>
        <w:t>p</w:t>
      </w:r>
      <w:r w:rsidR="00FC3CE9" w:rsidRPr="00FC3CE9">
        <w:rPr>
          <w:i/>
          <w:iCs/>
          <w:sz w:val="20"/>
          <w:szCs w:val="20"/>
          <w:lang w:val="en-US"/>
        </w:rPr>
        <w:t>rocessing capacity</w:t>
      </w:r>
    </w:p>
    <w:p w14:paraId="6ED8ED93" w14:textId="4D7EFBFD" w:rsidR="00493219" w:rsidRPr="00D64413" w:rsidRDefault="00493219" w:rsidP="00FC3CE9">
      <w:pPr>
        <w:tabs>
          <w:tab w:val="num" w:pos="720"/>
        </w:tabs>
        <w:rPr>
          <w:i/>
          <w:iCs/>
        </w:rPr>
      </w:pPr>
      <w:r w:rsidRPr="00766926">
        <w:rPr>
          <w:b/>
          <w:bCs/>
          <w:i/>
          <w:iCs/>
        </w:rPr>
        <w:t xml:space="preserve">Proposal </w:t>
      </w:r>
      <w:r>
        <w:rPr>
          <w:b/>
          <w:bCs/>
          <w:i/>
          <w:iCs/>
        </w:rPr>
        <w:t>4</w:t>
      </w:r>
      <w:r w:rsidRPr="00766926">
        <w:rPr>
          <w:b/>
          <w:bCs/>
          <w:i/>
          <w:iCs/>
        </w:rPr>
        <w:t>:</w:t>
      </w:r>
      <w:r w:rsidRPr="00D64413">
        <w:rPr>
          <w:i/>
          <w:iCs/>
        </w:rPr>
        <w:t xml:space="preserve"> Regarding what should be commonly applicable to all the 6G</w:t>
      </w:r>
      <w:r w:rsidR="00267F38">
        <w:rPr>
          <w:i/>
          <w:iCs/>
        </w:rPr>
        <w:t>R</w:t>
      </w:r>
      <w:r w:rsidRPr="00D64413">
        <w:rPr>
          <w:i/>
          <w:iCs/>
        </w:rPr>
        <w:t xml:space="preserve"> device types from physical layer perspective, the common feature set should include at least the following elements:</w:t>
      </w:r>
    </w:p>
    <w:p w14:paraId="131F046F" w14:textId="77777777" w:rsidR="00493219" w:rsidRPr="00D64413" w:rsidRDefault="00493219" w:rsidP="00493219">
      <w:pPr>
        <w:pStyle w:val="ListParagraph"/>
        <w:numPr>
          <w:ilvl w:val="0"/>
          <w:numId w:val="12"/>
        </w:numPr>
        <w:rPr>
          <w:i/>
          <w:iCs/>
          <w:sz w:val="20"/>
          <w:szCs w:val="20"/>
        </w:rPr>
      </w:pPr>
      <w:proofErr w:type="spellStart"/>
      <w:r w:rsidRPr="00D64413">
        <w:rPr>
          <w:i/>
          <w:iCs/>
          <w:sz w:val="20"/>
          <w:szCs w:val="20"/>
        </w:rPr>
        <w:t>synchronization</w:t>
      </w:r>
      <w:proofErr w:type="spellEnd"/>
      <w:r w:rsidRPr="00D64413">
        <w:rPr>
          <w:i/>
          <w:iCs/>
          <w:sz w:val="20"/>
          <w:szCs w:val="20"/>
        </w:rPr>
        <w:t xml:space="preserve"> </w:t>
      </w:r>
      <w:proofErr w:type="spellStart"/>
      <w:r w:rsidRPr="00D64413">
        <w:rPr>
          <w:i/>
          <w:iCs/>
          <w:sz w:val="20"/>
          <w:szCs w:val="20"/>
        </w:rPr>
        <w:t>mechanisms</w:t>
      </w:r>
      <w:proofErr w:type="spellEnd"/>
    </w:p>
    <w:p w14:paraId="27F9DCAF" w14:textId="77777777" w:rsidR="00493219" w:rsidRDefault="00493219" w:rsidP="00493219">
      <w:pPr>
        <w:pStyle w:val="ListParagraph"/>
        <w:numPr>
          <w:ilvl w:val="0"/>
          <w:numId w:val="12"/>
        </w:numPr>
        <w:rPr>
          <w:i/>
          <w:iCs/>
          <w:sz w:val="20"/>
          <w:szCs w:val="20"/>
        </w:rPr>
      </w:pPr>
      <w:proofErr w:type="spellStart"/>
      <w:r>
        <w:rPr>
          <w:i/>
          <w:iCs/>
          <w:sz w:val="20"/>
          <w:szCs w:val="20"/>
        </w:rPr>
        <w:t>basic</w:t>
      </w:r>
      <w:proofErr w:type="spellEnd"/>
      <w:r>
        <w:rPr>
          <w:i/>
          <w:iCs/>
          <w:sz w:val="20"/>
          <w:szCs w:val="20"/>
        </w:rPr>
        <w:t xml:space="preserve"> </w:t>
      </w:r>
      <w:proofErr w:type="spellStart"/>
      <w:r>
        <w:rPr>
          <w:i/>
          <w:iCs/>
          <w:sz w:val="20"/>
          <w:szCs w:val="20"/>
        </w:rPr>
        <w:t>antenna</w:t>
      </w:r>
      <w:proofErr w:type="spellEnd"/>
      <w:r>
        <w:rPr>
          <w:i/>
          <w:iCs/>
          <w:sz w:val="20"/>
          <w:szCs w:val="20"/>
        </w:rPr>
        <w:t xml:space="preserve"> </w:t>
      </w:r>
      <w:proofErr w:type="spellStart"/>
      <w:r>
        <w:rPr>
          <w:i/>
          <w:iCs/>
          <w:sz w:val="20"/>
          <w:szCs w:val="20"/>
        </w:rPr>
        <w:t>configuration</w:t>
      </w:r>
      <w:proofErr w:type="spellEnd"/>
      <w:r>
        <w:rPr>
          <w:i/>
          <w:iCs/>
          <w:sz w:val="20"/>
          <w:szCs w:val="20"/>
        </w:rPr>
        <w:t xml:space="preserve"> </w:t>
      </w:r>
    </w:p>
    <w:p w14:paraId="3793EE8E" w14:textId="77777777" w:rsidR="00493219" w:rsidRDefault="00493219" w:rsidP="00493219">
      <w:pPr>
        <w:pStyle w:val="ListParagraph"/>
        <w:numPr>
          <w:ilvl w:val="0"/>
          <w:numId w:val="12"/>
        </w:numPr>
        <w:rPr>
          <w:i/>
          <w:iCs/>
          <w:sz w:val="20"/>
          <w:szCs w:val="20"/>
        </w:rPr>
      </w:pPr>
      <w:proofErr w:type="spellStart"/>
      <w:r w:rsidRPr="00D64413">
        <w:rPr>
          <w:i/>
          <w:iCs/>
          <w:sz w:val="20"/>
          <w:szCs w:val="20"/>
        </w:rPr>
        <w:t>minimal</w:t>
      </w:r>
      <w:proofErr w:type="spellEnd"/>
      <w:r w:rsidRPr="00D64413">
        <w:rPr>
          <w:i/>
          <w:iCs/>
          <w:sz w:val="20"/>
          <w:szCs w:val="20"/>
        </w:rPr>
        <w:t xml:space="preserve"> </w:t>
      </w:r>
      <w:proofErr w:type="spellStart"/>
      <w:r w:rsidRPr="00D64413">
        <w:rPr>
          <w:i/>
          <w:iCs/>
          <w:sz w:val="20"/>
          <w:szCs w:val="20"/>
        </w:rPr>
        <w:t>control</w:t>
      </w:r>
      <w:proofErr w:type="spellEnd"/>
      <w:r w:rsidRPr="00D64413">
        <w:rPr>
          <w:i/>
          <w:iCs/>
          <w:sz w:val="20"/>
          <w:szCs w:val="20"/>
        </w:rPr>
        <w:t xml:space="preserve"> </w:t>
      </w:r>
      <w:proofErr w:type="spellStart"/>
      <w:r w:rsidRPr="00D64413">
        <w:rPr>
          <w:i/>
          <w:iCs/>
          <w:sz w:val="20"/>
          <w:szCs w:val="20"/>
        </w:rPr>
        <w:t>signaling</w:t>
      </w:r>
      <w:proofErr w:type="spellEnd"/>
    </w:p>
    <w:p w14:paraId="5F0FAA24" w14:textId="77777777" w:rsidR="00493219" w:rsidRPr="00493219" w:rsidRDefault="00493219" w:rsidP="00D7047A">
      <w:pPr>
        <w:pStyle w:val="ListParagraph"/>
        <w:numPr>
          <w:ilvl w:val="0"/>
          <w:numId w:val="12"/>
        </w:numPr>
        <w:spacing w:after="180"/>
        <w:ind w:left="714" w:hanging="357"/>
        <w:rPr>
          <w:i/>
          <w:iCs/>
        </w:rPr>
      </w:pPr>
      <w:proofErr w:type="spellStart"/>
      <w:r w:rsidRPr="00493219">
        <w:rPr>
          <w:i/>
          <w:iCs/>
          <w:sz w:val="20"/>
          <w:szCs w:val="20"/>
        </w:rPr>
        <w:t>basic</w:t>
      </w:r>
      <w:proofErr w:type="spellEnd"/>
      <w:r w:rsidRPr="00493219">
        <w:rPr>
          <w:i/>
          <w:iCs/>
          <w:sz w:val="20"/>
          <w:szCs w:val="20"/>
        </w:rPr>
        <w:t xml:space="preserve"> </w:t>
      </w:r>
      <w:proofErr w:type="spellStart"/>
      <w:r w:rsidRPr="00493219">
        <w:rPr>
          <w:i/>
          <w:iCs/>
          <w:sz w:val="20"/>
          <w:szCs w:val="20"/>
        </w:rPr>
        <w:t>power</w:t>
      </w:r>
      <w:proofErr w:type="spellEnd"/>
      <w:r w:rsidRPr="00493219">
        <w:rPr>
          <w:i/>
          <w:iCs/>
          <w:sz w:val="20"/>
          <w:szCs w:val="20"/>
        </w:rPr>
        <w:t xml:space="preserve"> </w:t>
      </w:r>
      <w:proofErr w:type="spellStart"/>
      <w:r w:rsidRPr="00493219">
        <w:rPr>
          <w:i/>
          <w:iCs/>
          <w:sz w:val="20"/>
          <w:szCs w:val="20"/>
        </w:rPr>
        <w:t>control</w:t>
      </w:r>
      <w:proofErr w:type="spellEnd"/>
    </w:p>
    <w:p w14:paraId="3D6A3542" w14:textId="6FBA7461" w:rsidR="00493219" w:rsidRPr="00493219" w:rsidRDefault="00493219" w:rsidP="00D7047A">
      <w:pPr>
        <w:pStyle w:val="ListParagraph"/>
        <w:numPr>
          <w:ilvl w:val="0"/>
          <w:numId w:val="12"/>
        </w:numPr>
        <w:spacing w:after="180"/>
        <w:ind w:left="714" w:hanging="357"/>
        <w:rPr>
          <w:i/>
          <w:iCs/>
          <w:lang w:val="en-GB"/>
        </w:rPr>
      </w:pPr>
      <w:r w:rsidRPr="00493219">
        <w:rPr>
          <w:i/>
          <w:iCs/>
          <w:sz w:val="20"/>
          <w:szCs w:val="20"/>
          <w:lang w:val="en-GB"/>
        </w:rPr>
        <w:t>fundamental modulation and coding schemes</w:t>
      </w:r>
      <w:r w:rsidRPr="00493219">
        <w:rPr>
          <w:i/>
          <w:iCs/>
          <w:lang w:val="en-GB"/>
        </w:rPr>
        <w:t>.</w:t>
      </w:r>
    </w:p>
    <w:p w14:paraId="0074B4F3" w14:textId="77777777" w:rsidR="00493219" w:rsidRPr="002F6FED" w:rsidRDefault="00493219" w:rsidP="00493219">
      <w:pPr>
        <w:rPr>
          <w:i/>
          <w:iCs/>
        </w:rPr>
      </w:pPr>
      <w:r w:rsidRPr="002F6FED">
        <w:rPr>
          <w:b/>
          <w:bCs/>
          <w:i/>
          <w:iCs/>
        </w:rPr>
        <w:t xml:space="preserve">Proposal </w:t>
      </w:r>
      <w:r>
        <w:rPr>
          <w:b/>
          <w:bCs/>
          <w:i/>
          <w:iCs/>
        </w:rPr>
        <w:t>5</w:t>
      </w:r>
      <w:r w:rsidRPr="002F6FED">
        <w:rPr>
          <w:b/>
          <w:bCs/>
          <w:i/>
          <w:iCs/>
        </w:rPr>
        <w:t>:</w:t>
      </w:r>
      <w:r w:rsidRPr="002F6FED">
        <w:rPr>
          <w:i/>
          <w:iCs/>
        </w:rPr>
        <w:t xml:space="preserve"> Use the modular approach that built each physical layer device type upon a common baseline of essential PHY functionalities and extend the functionalities supporting a tailored set of "add-on features".</w:t>
      </w:r>
    </w:p>
    <w:p w14:paraId="2A76FC5C" w14:textId="77777777" w:rsidR="00667D7C" w:rsidRPr="00BB1A73" w:rsidRDefault="00667D7C" w:rsidP="00667D7C">
      <w:pPr>
        <w:spacing w:after="0"/>
        <w:rPr>
          <w:i/>
          <w:iCs/>
        </w:rPr>
      </w:pPr>
      <w:r w:rsidRPr="00BB1A73">
        <w:rPr>
          <w:b/>
          <w:bCs/>
          <w:i/>
          <w:iCs/>
        </w:rPr>
        <w:t xml:space="preserve">Proposal </w:t>
      </w:r>
      <w:r>
        <w:rPr>
          <w:b/>
          <w:bCs/>
          <w:i/>
          <w:iCs/>
        </w:rPr>
        <w:t>6</w:t>
      </w:r>
      <w:r w:rsidRPr="00BB1A73">
        <w:rPr>
          <w:b/>
          <w:bCs/>
          <w:i/>
          <w:iCs/>
        </w:rPr>
        <w:t>:</w:t>
      </w:r>
      <w:r w:rsidRPr="00BB1A73">
        <w:rPr>
          <w:i/>
          <w:iCs/>
        </w:rPr>
        <w:t xml:space="preserve"> </w:t>
      </w:r>
      <w:r>
        <w:rPr>
          <w:i/>
          <w:iCs/>
        </w:rPr>
        <w:t>In studying</w:t>
      </w:r>
      <w:r w:rsidRPr="00BB1A73">
        <w:rPr>
          <w:i/>
          <w:iCs/>
        </w:rPr>
        <w:t xml:space="preserve"> high-level factors influencing the 6GR synchronization signal structure and periodicity</w:t>
      </w:r>
      <w:r>
        <w:rPr>
          <w:i/>
          <w:iCs/>
        </w:rPr>
        <w:t xml:space="preserve"> to</w:t>
      </w:r>
      <w:r w:rsidRPr="00BB1A73">
        <w:rPr>
          <w:i/>
          <w:iCs/>
        </w:rPr>
        <w:t xml:space="preserve"> balance robustness, adaptability, and efficiency </w:t>
      </w:r>
      <w:r>
        <w:rPr>
          <w:i/>
          <w:iCs/>
        </w:rPr>
        <w:t>meeting the diverse and demanding requirement of</w:t>
      </w:r>
      <w:r w:rsidRPr="00BB1A73">
        <w:rPr>
          <w:i/>
          <w:iCs/>
        </w:rPr>
        <w:t xml:space="preserve"> 6GR networks</w:t>
      </w:r>
      <w:r>
        <w:rPr>
          <w:i/>
          <w:iCs/>
        </w:rPr>
        <w:t>,</w:t>
      </w:r>
      <w:r w:rsidRPr="00BB1A73">
        <w:rPr>
          <w:i/>
          <w:iCs/>
        </w:rPr>
        <w:t xml:space="preserve"> </w:t>
      </w:r>
      <w:r>
        <w:rPr>
          <w:i/>
          <w:iCs/>
        </w:rPr>
        <w:t>a</w:t>
      </w:r>
      <w:r w:rsidRPr="00BB1A73">
        <w:rPr>
          <w:i/>
          <w:iCs/>
        </w:rPr>
        <w:t>t least the following aspects are included</w:t>
      </w:r>
    </w:p>
    <w:p w14:paraId="31BC120A"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frequency</w:t>
      </w:r>
      <w:proofErr w:type="spellEnd"/>
      <w:r w:rsidRPr="00BB1A73">
        <w:rPr>
          <w:i/>
          <w:iCs/>
          <w:sz w:val="20"/>
          <w:szCs w:val="20"/>
        </w:rPr>
        <w:t xml:space="preserve"> </w:t>
      </w:r>
      <w:proofErr w:type="spellStart"/>
      <w:r w:rsidRPr="00BB1A73">
        <w:rPr>
          <w:i/>
          <w:iCs/>
          <w:sz w:val="20"/>
          <w:szCs w:val="20"/>
        </w:rPr>
        <w:t>band</w:t>
      </w:r>
      <w:proofErr w:type="spellEnd"/>
      <w:r w:rsidRPr="00BB1A73">
        <w:rPr>
          <w:i/>
          <w:iCs/>
          <w:sz w:val="20"/>
          <w:szCs w:val="20"/>
        </w:rPr>
        <w:t xml:space="preserve"> </w:t>
      </w:r>
      <w:proofErr w:type="spellStart"/>
      <w:r w:rsidRPr="00BB1A73">
        <w:rPr>
          <w:i/>
          <w:iCs/>
          <w:sz w:val="20"/>
          <w:szCs w:val="20"/>
        </w:rPr>
        <w:t>characteristics</w:t>
      </w:r>
      <w:proofErr w:type="spellEnd"/>
    </w:p>
    <w:p w14:paraId="170CE174"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beamforming</w:t>
      </w:r>
      <w:proofErr w:type="spellEnd"/>
      <w:r w:rsidRPr="00BB1A73">
        <w:rPr>
          <w:i/>
          <w:iCs/>
          <w:sz w:val="20"/>
          <w:szCs w:val="20"/>
        </w:rPr>
        <w:t xml:space="preserve"> </w:t>
      </w:r>
      <w:proofErr w:type="spellStart"/>
      <w:r w:rsidRPr="00BB1A73">
        <w:rPr>
          <w:i/>
          <w:iCs/>
          <w:sz w:val="20"/>
          <w:szCs w:val="20"/>
        </w:rPr>
        <w:t>strategies</w:t>
      </w:r>
      <w:proofErr w:type="spellEnd"/>
    </w:p>
    <w:p w14:paraId="6431CE1E"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deployment</w:t>
      </w:r>
      <w:proofErr w:type="spellEnd"/>
      <w:r w:rsidRPr="00BB1A73">
        <w:rPr>
          <w:i/>
          <w:iCs/>
          <w:sz w:val="20"/>
          <w:szCs w:val="20"/>
        </w:rPr>
        <w:t xml:space="preserve"> </w:t>
      </w:r>
      <w:proofErr w:type="spellStart"/>
      <w:r w:rsidRPr="00BB1A73">
        <w:rPr>
          <w:i/>
          <w:iCs/>
          <w:sz w:val="20"/>
          <w:szCs w:val="20"/>
        </w:rPr>
        <w:t>scenarios</w:t>
      </w:r>
      <w:proofErr w:type="spellEnd"/>
    </w:p>
    <w:p w14:paraId="65BD50D4"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device</w:t>
      </w:r>
      <w:proofErr w:type="spellEnd"/>
      <w:r w:rsidRPr="00BB1A73">
        <w:rPr>
          <w:i/>
          <w:iCs/>
          <w:sz w:val="20"/>
          <w:szCs w:val="20"/>
        </w:rPr>
        <w:t xml:space="preserve"> </w:t>
      </w:r>
      <w:proofErr w:type="spellStart"/>
      <w:r w:rsidRPr="00BB1A73">
        <w:rPr>
          <w:i/>
          <w:iCs/>
          <w:sz w:val="20"/>
          <w:szCs w:val="20"/>
        </w:rPr>
        <w:t>diversity</w:t>
      </w:r>
      <w:proofErr w:type="spellEnd"/>
    </w:p>
    <w:p w14:paraId="2AD2BF7E"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initial</w:t>
      </w:r>
      <w:proofErr w:type="spellEnd"/>
      <w:r w:rsidRPr="00BB1A73">
        <w:rPr>
          <w:i/>
          <w:iCs/>
          <w:sz w:val="20"/>
          <w:szCs w:val="20"/>
        </w:rPr>
        <w:t xml:space="preserve"> </w:t>
      </w:r>
      <w:proofErr w:type="spellStart"/>
      <w:r w:rsidRPr="00BB1A73">
        <w:rPr>
          <w:i/>
          <w:iCs/>
          <w:sz w:val="20"/>
          <w:szCs w:val="20"/>
        </w:rPr>
        <w:t>access</w:t>
      </w:r>
      <w:proofErr w:type="spellEnd"/>
      <w:r w:rsidRPr="00BB1A73">
        <w:rPr>
          <w:i/>
          <w:iCs/>
          <w:sz w:val="20"/>
          <w:szCs w:val="20"/>
        </w:rPr>
        <w:t xml:space="preserve"> </w:t>
      </w:r>
      <w:proofErr w:type="spellStart"/>
      <w:r w:rsidRPr="00BB1A73">
        <w:rPr>
          <w:i/>
          <w:iCs/>
          <w:sz w:val="20"/>
          <w:szCs w:val="20"/>
        </w:rPr>
        <w:t>flexibility</w:t>
      </w:r>
      <w:proofErr w:type="spellEnd"/>
    </w:p>
    <w:p w14:paraId="7208FC84" w14:textId="77777777" w:rsidR="00667D7C" w:rsidRPr="00BB1A73" w:rsidRDefault="00667D7C" w:rsidP="00667D7C">
      <w:pPr>
        <w:pStyle w:val="ListParagraph"/>
        <w:numPr>
          <w:ilvl w:val="0"/>
          <w:numId w:val="13"/>
        </w:numPr>
        <w:rPr>
          <w:i/>
          <w:iCs/>
          <w:sz w:val="20"/>
          <w:szCs w:val="20"/>
        </w:rPr>
      </w:pPr>
      <w:proofErr w:type="spellStart"/>
      <w:r w:rsidRPr="00BB1A73">
        <w:rPr>
          <w:i/>
          <w:iCs/>
          <w:sz w:val="20"/>
          <w:szCs w:val="20"/>
        </w:rPr>
        <w:t>energy</w:t>
      </w:r>
      <w:proofErr w:type="spellEnd"/>
      <w:r w:rsidRPr="00BB1A73">
        <w:rPr>
          <w:i/>
          <w:iCs/>
          <w:sz w:val="20"/>
          <w:szCs w:val="20"/>
        </w:rPr>
        <w:t xml:space="preserve"> </w:t>
      </w:r>
      <w:proofErr w:type="spellStart"/>
      <w:r w:rsidRPr="00BB1A73">
        <w:rPr>
          <w:i/>
          <w:iCs/>
          <w:sz w:val="20"/>
          <w:szCs w:val="20"/>
        </w:rPr>
        <w:t>efficiency</w:t>
      </w:r>
      <w:proofErr w:type="spellEnd"/>
    </w:p>
    <w:p w14:paraId="5DCC598C" w14:textId="77777777" w:rsidR="00667D7C" w:rsidRPr="00BB1A73" w:rsidRDefault="00667D7C" w:rsidP="00667D7C">
      <w:pPr>
        <w:pStyle w:val="ListParagraph"/>
        <w:numPr>
          <w:ilvl w:val="0"/>
          <w:numId w:val="13"/>
        </w:numPr>
        <w:ind w:left="714" w:hanging="357"/>
        <w:rPr>
          <w:i/>
          <w:iCs/>
          <w:sz w:val="20"/>
          <w:szCs w:val="20"/>
        </w:rPr>
      </w:pPr>
      <w:proofErr w:type="spellStart"/>
      <w:r w:rsidRPr="00BB1A73">
        <w:rPr>
          <w:i/>
          <w:iCs/>
          <w:sz w:val="20"/>
          <w:szCs w:val="20"/>
        </w:rPr>
        <w:t>sensing</w:t>
      </w:r>
      <w:proofErr w:type="spellEnd"/>
      <w:r w:rsidRPr="00BB1A73">
        <w:rPr>
          <w:i/>
          <w:iCs/>
          <w:sz w:val="20"/>
          <w:szCs w:val="20"/>
        </w:rPr>
        <w:t xml:space="preserve"> </w:t>
      </w:r>
      <w:proofErr w:type="spellStart"/>
      <w:r w:rsidRPr="00BB1A73">
        <w:rPr>
          <w:i/>
          <w:iCs/>
          <w:sz w:val="20"/>
          <w:szCs w:val="20"/>
        </w:rPr>
        <w:t>support</w:t>
      </w:r>
      <w:proofErr w:type="spellEnd"/>
    </w:p>
    <w:p w14:paraId="03944AF8" w14:textId="77777777" w:rsidR="00667D7C" w:rsidRDefault="00667D7C" w:rsidP="00667D7C">
      <w:pPr>
        <w:spacing w:after="0"/>
        <w:rPr>
          <w:i/>
          <w:iCs/>
        </w:rPr>
      </w:pPr>
      <w:r>
        <w:rPr>
          <w:i/>
          <w:iCs/>
        </w:rPr>
        <w:t>and at least the following key performance dimensions are considered</w:t>
      </w:r>
    </w:p>
    <w:p w14:paraId="6B0CD047" w14:textId="77777777" w:rsidR="00667D7C" w:rsidRPr="00174010" w:rsidRDefault="00667D7C" w:rsidP="00667D7C">
      <w:pPr>
        <w:pStyle w:val="ListParagraph"/>
        <w:numPr>
          <w:ilvl w:val="0"/>
          <w:numId w:val="13"/>
        </w:numPr>
        <w:rPr>
          <w:i/>
          <w:iCs/>
          <w:sz w:val="20"/>
          <w:szCs w:val="20"/>
        </w:rPr>
      </w:pPr>
      <w:proofErr w:type="spellStart"/>
      <w:r w:rsidRPr="00174010">
        <w:rPr>
          <w:i/>
          <w:iCs/>
          <w:sz w:val="20"/>
          <w:szCs w:val="20"/>
        </w:rPr>
        <w:t>initial</w:t>
      </w:r>
      <w:proofErr w:type="spellEnd"/>
      <w:r w:rsidRPr="00174010">
        <w:rPr>
          <w:i/>
          <w:iCs/>
          <w:sz w:val="20"/>
          <w:szCs w:val="20"/>
        </w:rPr>
        <w:t xml:space="preserve"> </w:t>
      </w:r>
      <w:proofErr w:type="spellStart"/>
      <w:r w:rsidRPr="00174010">
        <w:rPr>
          <w:i/>
          <w:iCs/>
          <w:sz w:val="20"/>
          <w:szCs w:val="20"/>
        </w:rPr>
        <w:t>access</w:t>
      </w:r>
      <w:proofErr w:type="spellEnd"/>
      <w:r w:rsidRPr="00174010">
        <w:rPr>
          <w:i/>
          <w:iCs/>
          <w:sz w:val="20"/>
          <w:szCs w:val="20"/>
        </w:rPr>
        <w:t xml:space="preserve"> </w:t>
      </w:r>
      <w:proofErr w:type="spellStart"/>
      <w:r w:rsidRPr="00174010">
        <w:rPr>
          <w:i/>
          <w:iCs/>
          <w:sz w:val="20"/>
          <w:szCs w:val="20"/>
        </w:rPr>
        <w:t>latency</w:t>
      </w:r>
      <w:proofErr w:type="spellEnd"/>
    </w:p>
    <w:p w14:paraId="659F18DF" w14:textId="77777777" w:rsidR="00667D7C" w:rsidRPr="00174010" w:rsidRDefault="00667D7C" w:rsidP="00667D7C">
      <w:pPr>
        <w:pStyle w:val="ListParagraph"/>
        <w:numPr>
          <w:ilvl w:val="0"/>
          <w:numId w:val="13"/>
        </w:numPr>
        <w:rPr>
          <w:i/>
          <w:iCs/>
          <w:sz w:val="20"/>
          <w:szCs w:val="20"/>
          <w:lang w:val="en-GB"/>
        </w:rPr>
      </w:pPr>
      <w:r w:rsidRPr="00174010">
        <w:rPr>
          <w:i/>
          <w:iCs/>
          <w:sz w:val="20"/>
          <w:szCs w:val="20"/>
          <w:lang w:val="en-GB"/>
        </w:rPr>
        <w:t>mobility management</w:t>
      </w:r>
    </w:p>
    <w:p w14:paraId="2389FE34" w14:textId="77777777" w:rsidR="00667D7C" w:rsidRPr="00174010" w:rsidRDefault="00667D7C" w:rsidP="00667D7C">
      <w:pPr>
        <w:pStyle w:val="ListParagraph"/>
        <w:numPr>
          <w:ilvl w:val="0"/>
          <w:numId w:val="13"/>
        </w:numPr>
        <w:rPr>
          <w:i/>
          <w:iCs/>
          <w:sz w:val="20"/>
          <w:szCs w:val="20"/>
          <w:lang w:val="en-GB"/>
        </w:rPr>
      </w:pPr>
      <w:r>
        <w:rPr>
          <w:i/>
          <w:iCs/>
          <w:sz w:val="20"/>
          <w:szCs w:val="20"/>
          <w:lang w:val="en-GB"/>
        </w:rPr>
        <w:lastRenderedPageBreak/>
        <w:t>device</w:t>
      </w:r>
      <w:r w:rsidRPr="00174010">
        <w:rPr>
          <w:i/>
          <w:iCs/>
          <w:sz w:val="20"/>
          <w:szCs w:val="20"/>
          <w:lang w:val="en-GB"/>
        </w:rPr>
        <w:t xml:space="preserve"> power consumption</w:t>
      </w:r>
    </w:p>
    <w:p w14:paraId="7FE9C689" w14:textId="77777777" w:rsidR="00667D7C" w:rsidRPr="00AC156D" w:rsidRDefault="00667D7C" w:rsidP="00667D7C">
      <w:pPr>
        <w:pStyle w:val="ListParagraph"/>
        <w:numPr>
          <w:ilvl w:val="0"/>
          <w:numId w:val="13"/>
        </w:numPr>
        <w:spacing w:after="180"/>
        <w:ind w:left="714" w:hanging="357"/>
        <w:rPr>
          <w:i/>
          <w:iCs/>
          <w:sz w:val="20"/>
          <w:szCs w:val="20"/>
          <w:lang w:val="en-GB"/>
        </w:rPr>
      </w:pPr>
      <w:r w:rsidRPr="00174010">
        <w:rPr>
          <w:i/>
          <w:iCs/>
          <w:sz w:val="20"/>
          <w:szCs w:val="20"/>
          <w:lang w:val="en-GB"/>
        </w:rPr>
        <w:t xml:space="preserve">network </w:t>
      </w:r>
      <w:proofErr w:type="spellStart"/>
      <w:r w:rsidRPr="00174010">
        <w:rPr>
          <w:i/>
          <w:iCs/>
          <w:sz w:val="20"/>
          <w:szCs w:val="20"/>
        </w:rPr>
        <w:t>overhead</w:t>
      </w:r>
      <w:proofErr w:type="spellEnd"/>
      <w:r w:rsidRPr="00AC156D">
        <w:rPr>
          <w:i/>
          <w:iCs/>
        </w:rPr>
        <w:t>.</w:t>
      </w:r>
    </w:p>
    <w:p w14:paraId="62B0CA14" w14:textId="61AC248A" w:rsidR="00606302" w:rsidRPr="00796BE0" w:rsidRDefault="00606302" w:rsidP="00606302">
      <w:pPr>
        <w:spacing w:after="0"/>
        <w:rPr>
          <w:i/>
          <w:iCs/>
        </w:rPr>
      </w:pPr>
      <w:r w:rsidRPr="00796BE0">
        <w:rPr>
          <w:b/>
          <w:bCs/>
          <w:i/>
          <w:iCs/>
        </w:rPr>
        <w:t>Proposal 7:</w:t>
      </w:r>
      <w:r>
        <w:rPr>
          <w:i/>
          <w:iCs/>
        </w:rPr>
        <w:t xml:space="preserve"> </w:t>
      </w:r>
      <w:r w:rsidR="001C2ADE">
        <w:rPr>
          <w:i/>
          <w:iCs/>
        </w:rPr>
        <w:t>RAN1 studies the</w:t>
      </w:r>
      <w:r w:rsidR="001C2ADE" w:rsidRPr="00796BE0">
        <w:rPr>
          <w:i/>
          <w:iCs/>
        </w:rPr>
        <w:t xml:space="preserve"> following </w:t>
      </w:r>
      <w:r w:rsidR="001C2ADE">
        <w:rPr>
          <w:i/>
          <w:iCs/>
        </w:rPr>
        <w:t>directions</w:t>
      </w:r>
      <w:r w:rsidRPr="00796BE0">
        <w:rPr>
          <w:i/>
          <w:iCs/>
        </w:rPr>
        <w:t xml:space="preserve"> the following </w:t>
      </w:r>
      <w:r>
        <w:rPr>
          <w:i/>
          <w:iCs/>
        </w:rPr>
        <w:t xml:space="preserve">directions for 6GNR BWP based on the NR </w:t>
      </w:r>
      <w:r w:rsidRPr="00796BE0">
        <w:rPr>
          <w:i/>
          <w:iCs/>
        </w:rPr>
        <w:t>BWP</w:t>
      </w:r>
      <w:r>
        <w:rPr>
          <w:i/>
          <w:iCs/>
        </w:rPr>
        <w:t xml:space="preserve"> </w:t>
      </w:r>
      <w:r w:rsidRPr="00796BE0">
        <w:rPr>
          <w:i/>
          <w:iCs/>
        </w:rPr>
        <w:t>framework:</w:t>
      </w:r>
    </w:p>
    <w:p w14:paraId="33455974" w14:textId="77777777" w:rsidR="00606302" w:rsidRPr="00796BE0" w:rsidRDefault="00606302" w:rsidP="00606302">
      <w:pPr>
        <w:pStyle w:val="ListParagraph"/>
        <w:numPr>
          <w:ilvl w:val="0"/>
          <w:numId w:val="9"/>
        </w:numPr>
        <w:rPr>
          <w:i/>
          <w:iCs/>
          <w:sz w:val="20"/>
          <w:szCs w:val="20"/>
          <w:lang w:val="en-GB"/>
        </w:rPr>
      </w:pPr>
      <w:r w:rsidRPr="00796BE0">
        <w:rPr>
          <w:i/>
          <w:iCs/>
          <w:sz w:val="20"/>
          <w:szCs w:val="20"/>
          <w:lang w:val="en-GB"/>
        </w:rPr>
        <w:t xml:space="preserve">Architecture Enhancements: Introduce hierarchical BWPs, support </w:t>
      </w:r>
      <w:r>
        <w:rPr>
          <w:i/>
          <w:iCs/>
          <w:sz w:val="20"/>
          <w:szCs w:val="20"/>
          <w:lang w:val="en-GB"/>
        </w:rPr>
        <w:t>at least X</w:t>
      </w:r>
      <w:r w:rsidRPr="00796BE0">
        <w:rPr>
          <w:i/>
          <w:iCs/>
          <w:sz w:val="20"/>
          <w:szCs w:val="20"/>
          <w:lang w:val="en-GB"/>
        </w:rPr>
        <w:t xml:space="preserve"> BWPs per UE</w:t>
      </w:r>
      <w:r>
        <w:rPr>
          <w:i/>
          <w:iCs/>
          <w:sz w:val="20"/>
          <w:szCs w:val="20"/>
          <w:lang w:val="en-GB"/>
        </w:rPr>
        <w:t xml:space="preserve"> ([X&gt;4])</w:t>
      </w:r>
      <w:r w:rsidRPr="00796BE0">
        <w:rPr>
          <w:i/>
          <w:iCs/>
          <w:sz w:val="20"/>
          <w:szCs w:val="20"/>
          <w:lang w:val="en-GB"/>
        </w:rPr>
        <w:t>, enable virtual BWPs across non-contiguous spectrum, and implement BWP pooling for UE groups.</w:t>
      </w:r>
    </w:p>
    <w:p w14:paraId="0685781B" w14:textId="77777777" w:rsidR="00606302" w:rsidRPr="00796BE0" w:rsidRDefault="00606302" w:rsidP="00606302">
      <w:pPr>
        <w:pStyle w:val="ListParagraph"/>
        <w:numPr>
          <w:ilvl w:val="0"/>
          <w:numId w:val="9"/>
        </w:numPr>
        <w:rPr>
          <w:i/>
          <w:iCs/>
          <w:sz w:val="20"/>
          <w:szCs w:val="20"/>
          <w:lang w:val="en-GB"/>
        </w:rPr>
      </w:pPr>
      <w:r w:rsidRPr="00796BE0">
        <w:rPr>
          <w:i/>
          <w:iCs/>
          <w:sz w:val="20"/>
          <w:szCs w:val="20"/>
          <w:lang w:val="en-GB"/>
        </w:rPr>
        <w:t>Switching Optimization: Enable fast and seamless BWP switching via predictive setup, parallel processing, and AI-assisted configuration.</w:t>
      </w:r>
    </w:p>
    <w:p w14:paraId="495D69CB" w14:textId="77777777" w:rsidR="00606302" w:rsidRPr="00796BE0" w:rsidRDefault="00606302" w:rsidP="00606302">
      <w:pPr>
        <w:pStyle w:val="ListParagraph"/>
        <w:numPr>
          <w:ilvl w:val="0"/>
          <w:numId w:val="9"/>
        </w:numPr>
        <w:rPr>
          <w:i/>
          <w:iCs/>
          <w:sz w:val="20"/>
          <w:szCs w:val="20"/>
          <w:lang w:val="en-GB"/>
        </w:rPr>
      </w:pPr>
      <w:r w:rsidRPr="00796BE0">
        <w:rPr>
          <w:i/>
          <w:iCs/>
          <w:sz w:val="20"/>
          <w:szCs w:val="20"/>
          <w:lang w:val="en-GB"/>
        </w:rPr>
        <w:t xml:space="preserve">Efficient </w:t>
      </w:r>
      <w:proofErr w:type="spellStart"/>
      <w:r w:rsidRPr="00796BE0">
        <w:rPr>
          <w:i/>
          <w:iCs/>
          <w:sz w:val="20"/>
          <w:szCs w:val="20"/>
          <w:lang w:val="en-GB"/>
        </w:rPr>
        <w:t>Signaling</w:t>
      </w:r>
      <w:proofErr w:type="spellEnd"/>
      <w:r w:rsidRPr="00796BE0">
        <w:rPr>
          <w:i/>
          <w:iCs/>
          <w:sz w:val="20"/>
          <w:szCs w:val="20"/>
          <w:lang w:val="en-GB"/>
        </w:rPr>
        <w:t>: Reduce overhead through implicit BWP indication, differential updates, and group-based control.</w:t>
      </w:r>
    </w:p>
    <w:p w14:paraId="1FB05D40" w14:textId="77777777" w:rsidR="00606302" w:rsidRPr="00796BE0" w:rsidRDefault="00606302" w:rsidP="00606302">
      <w:pPr>
        <w:pStyle w:val="ListParagraph"/>
        <w:numPr>
          <w:ilvl w:val="0"/>
          <w:numId w:val="9"/>
        </w:numPr>
        <w:spacing w:after="180"/>
        <w:ind w:left="714" w:hanging="357"/>
        <w:rPr>
          <w:i/>
          <w:iCs/>
          <w:sz w:val="20"/>
          <w:szCs w:val="20"/>
          <w:lang w:val="en-GB"/>
        </w:rPr>
      </w:pPr>
      <w:r w:rsidRPr="00796BE0">
        <w:rPr>
          <w:i/>
          <w:iCs/>
          <w:sz w:val="20"/>
          <w:szCs w:val="20"/>
          <w:lang w:val="en-GB"/>
        </w:rPr>
        <w:t>Advanced Capabilities: Support BWP-level QoS, cross-BWP coordination, ISAC-optimized BWPs, and energy-aware configuration.</w:t>
      </w:r>
    </w:p>
    <w:p w14:paraId="5119334C" w14:textId="77777777" w:rsidR="00606302" w:rsidRPr="009C4D91" w:rsidRDefault="00606302" w:rsidP="00606302">
      <w:pPr>
        <w:tabs>
          <w:tab w:val="num" w:pos="720"/>
        </w:tabs>
        <w:rPr>
          <w:i/>
          <w:iCs/>
        </w:rPr>
      </w:pPr>
      <w:r w:rsidRPr="00796BE0">
        <w:rPr>
          <w:b/>
          <w:bCs/>
          <w:i/>
          <w:iCs/>
        </w:rPr>
        <w:t xml:space="preserve">Proposal </w:t>
      </w:r>
      <w:r>
        <w:rPr>
          <w:b/>
          <w:bCs/>
          <w:i/>
          <w:iCs/>
        </w:rPr>
        <w:t>8</w:t>
      </w:r>
      <w:r w:rsidRPr="00796BE0">
        <w:rPr>
          <w:b/>
          <w:bCs/>
          <w:i/>
          <w:iCs/>
        </w:rPr>
        <w:t>:</w:t>
      </w:r>
      <w:r w:rsidRPr="002865FE">
        <w:rPr>
          <w:i/>
          <w:iCs/>
        </w:rPr>
        <w:t xml:space="preserve"> RAN1 s</w:t>
      </w:r>
      <w:r w:rsidRPr="009C4D91">
        <w:rPr>
          <w:i/>
          <w:iCs/>
        </w:rPr>
        <w:t>tud</w:t>
      </w:r>
      <w:r w:rsidRPr="002865FE">
        <w:rPr>
          <w:i/>
          <w:iCs/>
        </w:rPr>
        <w:t>ies</w:t>
      </w:r>
      <w:r w:rsidRPr="009C4D91">
        <w:rPr>
          <w:i/>
          <w:iCs/>
        </w:rPr>
        <w:t xml:space="preserve"> enhancements to </w:t>
      </w:r>
      <w:r>
        <w:rPr>
          <w:i/>
          <w:iCs/>
        </w:rPr>
        <w:t>c</w:t>
      </w:r>
      <w:r w:rsidRPr="009C4D91">
        <w:rPr>
          <w:i/>
          <w:iCs/>
        </w:rPr>
        <w:t xml:space="preserve">arrier </w:t>
      </w:r>
      <w:r>
        <w:rPr>
          <w:i/>
          <w:iCs/>
        </w:rPr>
        <w:t>a</w:t>
      </w:r>
      <w:r w:rsidRPr="009C4D91">
        <w:rPr>
          <w:i/>
          <w:iCs/>
        </w:rPr>
        <w:t xml:space="preserve">ggregation, multi-node connectivity, and native </w:t>
      </w:r>
      <w:r>
        <w:rPr>
          <w:i/>
          <w:iCs/>
        </w:rPr>
        <w:t xml:space="preserve">dynamic multi-radio </w:t>
      </w:r>
      <w:r w:rsidRPr="009C4D91">
        <w:rPr>
          <w:i/>
          <w:iCs/>
        </w:rPr>
        <w:t xml:space="preserve">spectrum </w:t>
      </w:r>
      <w:r>
        <w:rPr>
          <w:i/>
          <w:iCs/>
        </w:rPr>
        <w:t>sharing</w:t>
      </w:r>
      <w:r w:rsidRPr="009C4D91">
        <w:rPr>
          <w:i/>
          <w:iCs/>
        </w:rPr>
        <w:t xml:space="preserve"> techniques, considering lessons learned from NR deployments including EN-DC and DSS.</w:t>
      </w:r>
    </w:p>
    <w:p w14:paraId="4ED1D442" w14:textId="77777777" w:rsidR="00606302" w:rsidRPr="009C4D91" w:rsidRDefault="00606302" w:rsidP="00606302">
      <w:pPr>
        <w:tabs>
          <w:tab w:val="num" w:pos="720"/>
        </w:tabs>
        <w:rPr>
          <w:i/>
          <w:iCs/>
        </w:rPr>
      </w:pPr>
      <w:r w:rsidRPr="00796BE0">
        <w:rPr>
          <w:b/>
          <w:bCs/>
          <w:i/>
          <w:iCs/>
        </w:rPr>
        <w:t xml:space="preserve">Proposal </w:t>
      </w:r>
      <w:r>
        <w:rPr>
          <w:b/>
          <w:bCs/>
          <w:i/>
          <w:iCs/>
        </w:rPr>
        <w:t>9</w:t>
      </w:r>
      <w:r w:rsidRPr="00796BE0">
        <w:rPr>
          <w:b/>
          <w:bCs/>
          <w:i/>
          <w:iCs/>
        </w:rPr>
        <w:t>:</w:t>
      </w:r>
      <w:r>
        <w:rPr>
          <w:i/>
          <w:iCs/>
        </w:rPr>
        <w:t xml:space="preserve"> RAN1 i</w:t>
      </w:r>
      <w:r w:rsidRPr="009C4D91">
        <w:rPr>
          <w:i/>
          <w:iCs/>
        </w:rPr>
        <w:t>dentif</w:t>
      </w:r>
      <w:r>
        <w:rPr>
          <w:i/>
          <w:iCs/>
        </w:rPr>
        <w:t>ies</w:t>
      </w:r>
      <w:r w:rsidRPr="009C4D91">
        <w:rPr>
          <w:i/>
          <w:iCs/>
        </w:rPr>
        <w:t xml:space="preserve"> key requirements and technical challenges for designing a unified and simplified resource management framework for 6GR multi-connectivity and dynamic spectrum integration, with a focus on minimizing control plane overhead and UE complexity.</w:t>
      </w:r>
    </w:p>
    <w:p w14:paraId="62C8C629" w14:textId="77777777" w:rsidR="00606302" w:rsidRPr="009C4D91" w:rsidRDefault="00606302" w:rsidP="00606302">
      <w:pPr>
        <w:tabs>
          <w:tab w:val="num" w:pos="720"/>
        </w:tabs>
        <w:rPr>
          <w:i/>
          <w:iCs/>
        </w:rPr>
      </w:pPr>
      <w:r w:rsidRPr="00796BE0">
        <w:rPr>
          <w:b/>
          <w:bCs/>
          <w:i/>
          <w:iCs/>
        </w:rPr>
        <w:t xml:space="preserve">Proposal </w:t>
      </w:r>
      <w:r>
        <w:rPr>
          <w:b/>
          <w:bCs/>
          <w:i/>
          <w:iCs/>
        </w:rPr>
        <w:t>10</w:t>
      </w:r>
      <w:r w:rsidRPr="00796BE0">
        <w:rPr>
          <w:b/>
          <w:bCs/>
          <w:i/>
          <w:iCs/>
        </w:rPr>
        <w:t>:</w:t>
      </w:r>
      <w:r>
        <w:rPr>
          <w:i/>
          <w:iCs/>
        </w:rPr>
        <w:t xml:space="preserve"> RAN1 c</w:t>
      </w:r>
      <w:r w:rsidRPr="009C4D91">
        <w:rPr>
          <w:i/>
          <w:iCs/>
        </w:rPr>
        <w:t>onsider</w:t>
      </w:r>
      <w:r>
        <w:rPr>
          <w:i/>
          <w:iCs/>
        </w:rPr>
        <w:t>s</w:t>
      </w:r>
      <w:r w:rsidRPr="009C4D91">
        <w:rPr>
          <w:i/>
          <w:iCs/>
        </w:rPr>
        <w:t xml:space="preserve"> the impact of advanced multi-connectivity and dynamic spectrum integration on 6GR waveforms, numerologies, channel models, and MIMO/beam management strategies during the study item phase.</w:t>
      </w:r>
    </w:p>
    <w:p w14:paraId="424B1013" w14:textId="77777777" w:rsidR="00606302" w:rsidRPr="00403E5B" w:rsidRDefault="00606302" w:rsidP="00606302">
      <w:pPr>
        <w:tabs>
          <w:tab w:val="num" w:pos="720"/>
        </w:tabs>
        <w:spacing w:after="0"/>
        <w:rPr>
          <w:i/>
          <w:iCs/>
          <w:lang w:val="en-US"/>
        </w:rPr>
      </w:pPr>
      <w:r>
        <w:rPr>
          <w:b/>
          <w:bCs/>
          <w:i/>
          <w:iCs/>
        </w:rPr>
        <w:t>Pr</w:t>
      </w:r>
      <w:r w:rsidRPr="00CD0FFE">
        <w:rPr>
          <w:b/>
          <w:bCs/>
          <w:i/>
          <w:iCs/>
        </w:rPr>
        <w:t>oposal</w:t>
      </w:r>
      <w:r>
        <w:rPr>
          <w:b/>
          <w:bCs/>
          <w:i/>
          <w:iCs/>
        </w:rPr>
        <w:t xml:space="preserve"> 11</w:t>
      </w:r>
      <w:r w:rsidRPr="00CD0FFE">
        <w:rPr>
          <w:b/>
          <w:bCs/>
          <w:i/>
          <w:iCs/>
        </w:rPr>
        <w:t>:</w:t>
      </w:r>
      <w:r w:rsidRPr="00245B22">
        <w:rPr>
          <w:i/>
          <w:iCs/>
        </w:rPr>
        <w:t xml:space="preserve"> </w:t>
      </w:r>
      <w:r w:rsidRPr="00403E5B">
        <w:rPr>
          <w:i/>
          <w:iCs/>
          <w:lang w:val="en-US"/>
        </w:rPr>
        <w:t>The network architecture and air interface of 6GR should be designed with high deployment flexibility to meet two key objectives:</w:t>
      </w:r>
    </w:p>
    <w:p w14:paraId="54B48B95" w14:textId="77777777" w:rsidR="00606302" w:rsidRPr="003C457E" w:rsidRDefault="00606302" w:rsidP="00606302">
      <w:pPr>
        <w:pStyle w:val="ListParagraph"/>
        <w:numPr>
          <w:ilvl w:val="0"/>
          <w:numId w:val="9"/>
        </w:numPr>
        <w:rPr>
          <w:lang w:val="en-GB"/>
        </w:rPr>
      </w:pPr>
      <w:r w:rsidRPr="003C457E">
        <w:rPr>
          <w:i/>
          <w:iCs/>
          <w:sz w:val="20"/>
          <w:szCs w:val="20"/>
          <w:lang w:val="en-GB"/>
        </w:rPr>
        <w:t>Seamless integration of new nodes without disrupting ongoing operations.</w:t>
      </w:r>
    </w:p>
    <w:p w14:paraId="2D5BB570" w14:textId="77777777" w:rsidR="00606302" w:rsidRPr="00796BE0" w:rsidRDefault="00606302" w:rsidP="00606302">
      <w:pPr>
        <w:pStyle w:val="ListParagraph"/>
        <w:numPr>
          <w:ilvl w:val="0"/>
          <w:numId w:val="9"/>
        </w:numPr>
        <w:spacing w:after="180"/>
        <w:ind w:left="714" w:hanging="357"/>
        <w:rPr>
          <w:lang w:val="en-GB"/>
        </w:rPr>
      </w:pPr>
      <w:r w:rsidRPr="003C457E">
        <w:rPr>
          <w:i/>
          <w:iCs/>
          <w:sz w:val="20"/>
          <w:szCs w:val="20"/>
          <w:lang w:val="en-GB"/>
        </w:rPr>
        <w:t>Dynamic, software-driven service migration across locations over time.</w:t>
      </w:r>
    </w:p>
    <w:p w14:paraId="064711C1" w14:textId="53723A8F" w:rsidR="00C513F0" w:rsidRPr="00CA5237" w:rsidRDefault="00C513F0" w:rsidP="00C513F0">
      <w:pPr>
        <w:rPr>
          <w:b/>
          <w:bCs/>
          <w:i/>
          <w:iCs/>
        </w:rPr>
      </w:pPr>
      <w:r w:rsidRPr="00CD0FFE">
        <w:rPr>
          <w:b/>
          <w:bCs/>
          <w:i/>
          <w:iCs/>
        </w:rPr>
        <w:t xml:space="preserve">Proposal </w:t>
      </w:r>
      <w:r w:rsidR="00664DCA">
        <w:rPr>
          <w:b/>
          <w:bCs/>
          <w:i/>
          <w:iCs/>
        </w:rPr>
        <w:t>1</w:t>
      </w:r>
      <w:r w:rsidR="00606302">
        <w:rPr>
          <w:b/>
          <w:bCs/>
          <w:i/>
          <w:iCs/>
        </w:rPr>
        <w:t>2</w:t>
      </w:r>
      <w:r w:rsidRPr="00CD0FFE">
        <w:rPr>
          <w:b/>
          <w:bCs/>
          <w:i/>
          <w:iCs/>
        </w:rPr>
        <w:t>:</w:t>
      </w:r>
      <w:r w:rsidRPr="00245B22">
        <w:rPr>
          <w:i/>
          <w:iCs/>
        </w:rPr>
        <w:t xml:space="preserve"> </w:t>
      </w:r>
      <w:r w:rsidRPr="00403E5B">
        <w:rPr>
          <w:i/>
          <w:iCs/>
          <w:lang w:val="en-US"/>
        </w:rPr>
        <w:t>The network architecture and air interface of 6GR should be designed</w:t>
      </w:r>
      <w:r>
        <w:rPr>
          <w:i/>
          <w:iCs/>
          <w:lang w:val="en-US"/>
        </w:rPr>
        <w:t xml:space="preserve"> to enable full flexibility in non-coherent joint transmission (NCJT) and non-coherent joint reception (NCJR) to enable </w:t>
      </w:r>
      <w:r w:rsidR="00016739">
        <w:rPr>
          <w:i/>
          <w:iCs/>
          <w:lang w:val="en-US"/>
        </w:rPr>
        <w:t>optimized</w:t>
      </w:r>
      <w:r>
        <w:rPr>
          <w:i/>
          <w:iCs/>
          <w:lang w:val="en-US"/>
        </w:rPr>
        <w:t xml:space="preserve"> selection of serving TRPs, thereby enhancing high data rate and low latency services for targeted subsets of UEs within the network.</w:t>
      </w:r>
    </w:p>
    <w:p w14:paraId="172B3BC6" w14:textId="2E7C171B" w:rsidR="00C65EB5" w:rsidRDefault="00C513F0" w:rsidP="00BF588E">
      <w:pPr>
        <w:rPr>
          <w:i/>
          <w:iCs/>
        </w:rPr>
      </w:pPr>
      <w:r w:rsidRPr="00CD0FFE">
        <w:rPr>
          <w:b/>
          <w:bCs/>
          <w:i/>
          <w:iCs/>
        </w:rPr>
        <w:t xml:space="preserve">Proposal </w:t>
      </w:r>
      <w:r w:rsidR="00664DCA">
        <w:rPr>
          <w:b/>
          <w:bCs/>
          <w:i/>
          <w:iCs/>
        </w:rPr>
        <w:t>1</w:t>
      </w:r>
      <w:r w:rsidR="00606302">
        <w:rPr>
          <w:b/>
          <w:bCs/>
          <w:i/>
          <w:iCs/>
        </w:rPr>
        <w:t>3</w:t>
      </w:r>
      <w:r w:rsidRPr="00CD0FFE">
        <w:rPr>
          <w:b/>
          <w:bCs/>
          <w:i/>
          <w:iCs/>
        </w:rPr>
        <w:t>:</w:t>
      </w:r>
      <w:r w:rsidRPr="00245B22">
        <w:rPr>
          <w:i/>
          <w:iCs/>
        </w:rPr>
        <w:t xml:space="preserve"> </w:t>
      </w:r>
      <w:r w:rsidRPr="00962DBB">
        <w:rPr>
          <w:i/>
          <w:iCs/>
        </w:rPr>
        <w:t>The network architecture and air interface of 6GNR should be designed to support high-precision synchronization between TRPs for enhancing signal strength in coverage-challenged areas</w:t>
      </w:r>
      <w:r>
        <w:rPr>
          <w:i/>
          <w:iCs/>
        </w:rPr>
        <w:t xml:space="preserve"> (</w:t>
      </w:r>
      <w:r w:rsidRPr="00962DBB">
        <w:rPr>
          <w:i/>
          <w:iCs/>
        </w:rPr>
        <w:t>dead zones</w:t>
      </w:r>
      <w:r>
        <w:rPr>
          <w:i/>
          <w:iCs/>
        </w:rPr>
        <w:t xml:space="preserve">), </w:t>
      </w:r>
      <w:r w:rsidRPr="00962DBB">
        <w:rPr>
          <w:i/>
          <w:iCs/>
        </w:rPr>
        <w:t>thereby significantly improving overall network coverage.</w:t>
      </w:r>
    </w:p>
    <w:p w14:paraId="6167BA54" w14:textId="354E8D65" w:rsidR="00C513F0" w:rsidRDefault="00C513F0" w:rsidP="00BF588E">
      <w:pPr>
        <w:rPr>
          <w:b/>
          <w:bCs/>
          <w:i/>
        </w:rPr>
      </w:pPr>
      <w:r w:rsidRPr="00CD0FFE">
        <w:rPr>
          <w:b/>
          <w:bCs/>
          <w:i/>
          <w:iCs/>
        </w:rPr>
        <w:t xml:space="preserve">Proposal </w:t>
      </w:r>
      <w:r w:rsidR="003C457E">
        <w:rPr>
          <w:b/>
          <w:bCs/>
          <w:i/>
          <w:iCs/>
        </w:rPr>
        <w:t>1</w:t>
      </w:r>
      <w:r w:rsidR="00606302">
        <w:rPr>
          <w:b/>
          <w:bCs/>
          <w:i/>
          <w:iCs/>
        </w:rPr>
        <w:t>4</w:t>
      </w:r>
      <w:r w:rsidRPr="00CD0FFE">
        <w:rPr>
          <w:b/>
          <w:bCs/>
          <w:i/>
          <w:iCs/>
        </w:rPr>
        <w:t>:</w:t>
      </w:r>
      <w:r w:rsidRPr="00245B22">
        <w:rPr>
          <w:i/>
          <w:iCs/>
        </w:rPr>
        <w:t xml:space="preserve"> </w:t>
      </w:r>
      <w:r w:rsidRPr="00067BB3">
        <w:rPr>
          <w:i/>
          <w:iCs/>
        </w:rPr>
        <w:t xml:space="preserve">The 6G air interface should be designed to support NTN and enable seamless, </w:t>
      </w:r>
      <w:proofErr w:type="gramStart"/>
      <w:r w:rsidRPr="00067BB3">
        <w:rPr>
          <w:i/>
          <w:iCs/>
        </w:rPr>
        <w:t>low-latency</w:t>
      </w:r>
      <w:proofErr w:type="gramEnd"/>
      <w:r w:rsidRPr="00067BB3">
        <w:rPr>
          <w:i/>
          <w:iCs/>
        </w:rPr>
        <w:t xml:space="preserve"> switching between NTN and TN to ensure continuous connectivity, especially in underserved areas or during infrastructure outages.</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12382CDB" w14:textId="77777777" w:rsidR="00CD1669"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D1669" w14:paraId="21E927BE" w14:textId="77777777">
                <w:trPr>
                  <w:divId w:val="1849786267"/>
                  <w:tblCellSpacing w:w="15" w:type="dxa"/>
                </w:trPr>
                <w:tc>
                  <w:tcPr>
                    <w:tcW w:w="50" w:type="pct"/>
                    <w:hideMark/>
                  </w:tcPr>
                  <w:p w14:paraId="7A38E8A5" w14:textId="6B6EBC3C" w:rsidR="00CD1669" w:rsidRDefault="00CD1669">
                    <w:pPr>
                      <w:pStyle w:val="Bibliography"/>
                      <w:rPr>
                        <w:noProof/>
                        <w:sz w:val="24"/>
                        <w:szCs w:val="24"/>
                      </w:rPr>
                    </w:pPr>
                    <w:r>
                      <w:rPr>
                        <w:noProof/>
                      </w:rPr>
                      <w:t xml:space="preserve">[1] </w:t>
                    </w:r>
                  </w:p>
                </w:tc>
                <w:tc>
                  <w:tcPr>
                    <w:tcW w:w="0" w:type="auto"/>
                    <w:hideMark/>
                  </w:tcPr>
                  <w:p w14:paraId="7441F88D" w14:textId="77777777" w:rsidR="00CD1669" w:rsidRDefault="00CD1669">
                    <w:pPr>
                      <w:pStyle w:val="Bibliography"/>
                      <w:rPr>
                        <w:noProof/>
                      </w:rPr>
                    </w:pPr>
                    <w:r>
                      <w:rPr>
                        <w:noProof/>
                      </w:rPr>
                      <w:t>RP-251881, “New SID: Study on 6G Radio,” NTT Docomo.</w:t>
                    </w:r>
                  </w:p>
                </w:tc>
              </w:tr>
              <w:tr w:rsidR="00CD1669" w14:paraId="095BFCC5" w14:textId="77777777">
                <w:trPr>
                  <w:divId w:val="1849786267"/>
                  <w:tblCellSpacing w:w="15" w:type="dxa"/>
                </w:trPr>
                <w:tc>
                  <w:tcPr>
                    <w:tcW w:w="50" w:type="pct"/>
                    <w:hideMark/>
                  </w:tcPr>
                  <w:p w14:paraId="08A67ADE" w14:textId="77777777" w:rsidR="00CD1669" w:rsidRDefault="00CD1669">
                    <w:pPr>
                      <w:pStyle w:val="Bibliography"/>
                      <w:rPr>
                        <w:noProof/>
                      </w:rPr>
                    </w:pPr>
                    <w:r>
                      <w:rPr>
                        <w:noProof/>
                      </w:rPr>
                      <w:t xml:space="preserve">[2] </w:t>
                    </w:r>
                  </w:p>
                </w:tc>
                <w:tc>
                  <w:tcPr>
                    <w:tcW w:w="0" w:type="auto"/>
                    <w:hideMark/>
                  </w:tcPr>
                  <w:p w14:paraId="75C45E21" w14:textId="77777777" w:rsidR="00CD1669" w:rsidRDefault="00CD1669">
                    <w:pPr>
                      <w:pStyle w:val="Bibliography"/>
                      <w:rPr>
                        <w:noProof/>
                      </w:rPr>
                    </w:pPr>
                    <w:r>
                      <w:rPr>
                        <w:noProof/>
                      </w:rPr>
                      <w:t>RAN1 #122, “RAN1 Chair's Notes,” August 2025.</w:t>
                    </w:r>
                  </w:p>
                </w:tc>
              </w:tr>
            </w:tbl>
            <w:p w14:paraId="28FCD0E2" w14:textId="77777777" w:rsidR="00CD1669" w:rsidRDefault="00CD1669">
              <w:pPr>
                <w:divId w:val="1849786267"/>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kuten [Subramanya]" w:date="2025-10-02T23:25:00Z" w:initials="RAK [SC]">
    <w:p w14:paraId="436140A1" w14:textId="77777777" w:rsidR="00EA722A" w:rsidRDefault="00EA722A" w:rsidP="00EA722A">
      <w:r>
        <w:rPr>
          <w:rStyle w:val="CommentReference"/>
        </w:rPr>
        <w:annotationRef/>
      </w:r>
      <w:r>
        <w:rPr>
          <w:rFonts w:eastAsia="MS Mincho"/>
        </w:rPr>
        <w:t>if this is a part of the proposal, its better to be assertive. "may" is considered optional.</w:t>
      </w:r>
    </w:p>
  </w:comment>
  <w:comment w:id="2" w:author="Rakuten [Subramanya]" w:date="2025-10-02T23:51:00Z" w:initials="RAK [SC]">
    <w:p w14:paraId="469E8407" w14:textId="77777777" w:rsidR="00EB4803" w:rsidRDefault="00EB4803" w:rsidP="00EB4803">
      <w:r>
        <w:rPr>
          <w:rStyle w:val="CommentReference"/>
        </w:rPr>
        <w:annotationRef/>
      </w:r>
      <w:r>
        <w:rPr>
          <w:rFonts w:eastAsia="MS Mincho"/>
        </w:rPr>
        <w:t>what is the connection with sync signal here?</w:t>
      </w:r>
    </w:p>
  </w:comment>
  <w:comment w:id="3" w:author="Rakuten [Subramanya]" w:date="2025-10-03T00:28:00Z" w:initials="RAK [SC]">
    <w:p w14:paraId="1708E620" w14:textId="77777777" w:rsidR="00BA30C6" w:rsidRDefault="00BA30C6" w:rsidP="00BA30C6">
      <w:r>
        <w:rPr>
          <w:rStyle w:val="CommentReference"/>
        </w:rPr>
        <w:annotationRef/>
      </w:r>
      <w:r>
        <w:rPr>
          <w:rFonts w:eastAsia="MS Mincho"/>
        </w:rPr>
        <w:t>what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6140A1" w15:done="0"/>
  <w15:commentEx w15:paraId="469E8407" w15:done="0"/>
  <w15:commentEx w15:paraId="1708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DEEF97" w16cex:dateUtc="2025-10-02T17:55:00Z"/>
  <w16cex:commentExtensible w16cex:durableId="59696729" w16cex:dateUtc="2025-10-02T18:21:00Z"/>
  <w16cex:commentExtensible w16cex:durableId="160C7C9E" w16cex:dateUtc="2025-10-0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6140A1" w16cid:durableId="01DEEF97"/>
  <w16cid:commentId w16cid:paraId="469E8407" w16cid:durableId="59696729"/>
  <w16cid:commentId w16cid:paraId="1708E620" w16cid:durableId="160C7C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3E2B" w14:textId="77777777" w:rsidR="007004B4" w:rsidRDefault="007004B4">
      <w:pPr>
        <w:spacing w:after="0"/>
      </w:pPr>
      <w:r>
        <w:separator/>
      </w:r>
    </w:p>
  </w:endnote>
  <w:endnote w:type="continuationSeparator" w:id="0">
    <w:p w14:paraId="621953BB" w14:textId="77777777" w:rsidR="007004B4" w:rsidRDefault="007004B4">
      <w:pPr>
        <w:spacing w:after="0"/>
      </w:pPr>
      <w:r>
        <w:continuationSeparator/>
      </w:r>
    </w:p>
  </w:endnote>
  <w:endnote w:type="continuationNotice" w:id="1">
    <w:p w14:paraId="2F1B8D8B" w14:textId="77777777" w:rsidR="007004B4" w:rsidRDefault="00700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4219" w14:textId="77777777" w:rsidR="007004B4" w:rsidRDefault="007004B4">
      <w:pPr>
        <w:spacing w:after="0"/>
      </w:pPr>
      <w:r>
        <w:separator/>
      </w:r>
    </w:p>
  </w:footnote>
  <w:footnote w:type="continuationSeparator" w:id="0">
    <w:p w14:paraId="117AC54F" w14:textId="77777777" w:rsidR="007004B4" w:rsidRDefault="007004B4">
      <w:pPr>
        <w:spacing w:after="0"/>
      </w:pPr>
      <w:r>
        <w:continuationSeparator/>
      </w:r>
    </w:p>
  </w:footnote>
  <w:footnote w:type="continuationNotice" w:id="1">
    <w:p w14:paraId="6E91A78D" w14:textId="77777777" w:rsidR="007004B4" w:rsidRDefault="00700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62039C"/>
    <w:multiLevelType w:val="multilevel"/>
    <w:tmpl w:val="46B2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B3BE4"/>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F47B3"/>
    <w:multiLevelType w:val="hybridMultilevel"/>
    <w:tmpl w:val="84368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BD0500"/>
    <w:multiLevelType w:val="hybridMultilevel"/>
    <w:tmpl w:val="F54E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507B1D"/>
    <w:multiLevelType w:val="multilevel"/>
    <w:tmpl w:val="99583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824C10"/>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3500F8"/>
    <w:multiLevelType w:val="multilevel"/>
    <w:tmpl w:val="C41AD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6"/>
  </w:num>
  <w:num w:numId="2" w16cid:durableId="135219078">
    <w:abstractNumId w:val="8"/>
  </w:num>
  <w:num w:numId="3" w16cid:durableId="1130828869">
    <w:abstractNumId w:val="1"/>
  </w:num>
  <w:num w:numId="4" w16cid:durableId="586613930">
    <w:abstractNumId w:val="14"/>
  </w:num>
  <w:num w:numId="5" w16cid:durableId="1616861889">
    <w:abstractNumId w:val="9"/>
  </w:num>
  <w:num w:numId="6" w16cid:durableId="1532567702">
    <w:abstractNumId w:val="3"/>
  </w:num>
  <w:num w:numId="7" w16cid:durableId="5256778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994112">
    <w:abstractNumId w:val="16"/>
  </w:num>
  <w:num w:numId="10" w16cid:durableId="239604866">
    <w:abstractNumId w:val="0"/>
  </w:num>
  <w:num w:numId="11" w16cid:durableId="916594819">
    <w:abstractNumId w:val="12"/>
  </w:num>
  <w:num w:numId="12" w16cid:durableId="361519710">
    <w:abstractNumId w:val="4"/>
  </w:num>
  <w:num w:numId="13" w16cid:durableId="1692338007">
    <w:abstractNumId w:val="7"/>
  </w:num>
  <w:num w:numId="14" w16cid:durableId="1759862610">
    <w:abstractNumId w:val="11"/>
  </w:num>
  <w:num w:numId="15" w16cid:durableId="2077051609">
    <w:abstractNumId w:val="5"/>
  </w:num>
  <w:num w:numId="16" w16cid:durableId="959992484">
    <w:abstractNumId w:val="2"/>
  </w:num>
  <w:num w:numId="17" w16cid:durableId="1321080008">
    <w:abstractNumId w:val="13"/>
  </w:num>
  <w:num w:numId="18" w16cid:durableId="262764754">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Subramanya]">
    <w15:presenceInfo w15:providerId="None" w15:userId="Rakuten [Subraman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05F6"/>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0C17"/>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60B5"/>
    <w:rsid w:val="00226577"/>
    <w:rsid w:val="0022687C"/>
    <w:rsid w:val="00226DA9"/>
    <w:rsid w:val="00226FE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1F6"/>
    <w:rsid w:val="002A4708"/>
    <w:rsid w:val="002A5217"/>
    <w:rsid w:val="002A5A40"/>
    <w:rsid w:val="002A5EB7"/>
    <w:rsid w:val="002A607D"/>
    <w:rsid w:val="002A6AF4"/>
    <w:rsid w:val="002A6C75"/>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3D3"/>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50CE"/>
    <w:rsid w:val="00315AAB"/>
    <w:rsid w:val="00315ED5"/>
    <w:rsid w:val="003175E1"/>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4FCF"/>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113"/>
    <w:rsid w:val="003A48B2"/>
    <w:rsid w:val="003A495D"/>
    <w:rsid w:val="003A4A12"/>
    <w:rsid w:val="003A4A40"/>
    <w:rsid w:val="003A4C7C"/>
    <w:rsid w:val="003A5605"/>
    <w:rsid w:val="003A5611"/>
    <w:rsid w:val="003A5844"/>
    <w:rsid w:val="003A58A1"/>
    <w:rsid w:val="003A597F"/>
    <w:rsid w:val="003A69F7"/>
    <w:rsid w:val="003A6E63"/>
    <w:rsid w:val="003A71A8"/>
    <w:rsid w:val="003A71D2"/>
    <w:rsid w:val="003A78E6"/>
    <w:rsid w:val="003A7AB4"/>
    <w:rsid w:val="003B00CA"/>
    <w:rsid w:val="003B0131"/>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28C"/>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5457"/>
    <w:rsid w:val="00495BA6"/>
    <w:rsid w:val="0049632E"/>
    <w:rsid w:val="00496606"/>
    <w:rsid w:val="004966C8"/>
    <w:rsid w:val="00496DC2"/>
    <w:rsid w:val="00496E75"/>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2DC0"/>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BE0"/>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311"/>
    <w:rsid w:val="005B0CA0"/>
    <w:rsid w:val="005B1757"/>
    <w:rsid w:val="005B1EAB"/>
    <w:rsid w:val="005B3C6D"/>
    <w:rsid w:val="005B4045"/>
    <w:rsid w:val="005B54CB"/>
    <w:rsid w:val="005B5995"/>
    <w:rsid w:val="005B609E"/>
    <w:rsid w:val="005B6726"/>
    <w:rsid w:val="005B6CF3"/>
    <w:rsid w:val="005B6DF6"/>
    <w:rsid w:val="005B7B7D"/>
    <w:rsid w:val="005B7C6D"/>
    <w:rsid w:val="005B7F03"/>
    <w:rsid w:val="005C01AA"/>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772"/>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DCA"/>
    <w:rsid w:val="00664E8C"/>
    <w:rsid w:val="0066583C"/>
    <w:rsid w:val="00665F7C"/>
    <w:rsid w:val="0066699A"/>
    <w:rsid w:val="00666B60"/>
    <w:rsid w:val="00666DFC"/>
    <w:rsid w:val="00666EBB"/>
    <w:rsid w:val="0066779E"/>
    <w:rsid w:val="00667CF4"/>
    <w:rsid w:val="00667D7C"/>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573"/>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E9B"/>
    <w:rsid w:val="007D6F64"/>
    <w:rsid w:val="007D7205"/>
    <w:rsid w:val="007D731A"/>
    <w:rsid w:val="007D7441"/>
    <w:rsid w:val="007E013F"/>
    <w:rsid w:val="007E0D5B"/>
    <w:rsid w:val="007E1553"/>
    <w:rsid w:val="007E1591"/>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7F2"/>
    <w:rsid w:val="00831BE7"/>
    <w:rsid w:val="00831FDF"/>
    <w:rsid w:val="0083350F"/>
    <w:rsid w:val="0083352D"/>
    <w:rsid w:val="00834358"/>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BDD"/>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5F8"/>
    <w:rsid w:val="008F47C6"/>
    <w:rsid w:val="008F4BC9"/>
    <w:rsid w:val="008F4C42"/>
    <w:rsid w:val="008F4D60"/>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24F4"/>
    <w:rsid w:val="009036BC"/>
    <w:rsid w:val="00903B25"/>
    <w:rsid w:val="00903D30"/>
    <w:rsid w:val="00904187"/>
    <w:rsid w:val="00904414"/>
    <w:rsid w:val="00904F3D"/>
    <w:rsid w:val="00905197"/>
    <w:rsid w:val="00905C4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12D"/>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2542"/>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5DB"/>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56D"/>
    <w:rsid w:val="00AC18D4"/>
    <w:rsid w:val="00AC1A1A"/>
    <w:rsid w:val="00AC1DEC"/>
    <w:rsid w:val="00AC1E55"/>
    <w:rsid w:val="00AC24B4"/>
    <w:rsid w:val="00AC2971"/>
    <w:rsid w:val="00AC38FF"/>
    <w:rsid w:val="00AC3CB9"/>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1B"/>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0CFA"/>
    <w:rsid w:val="00AF2153"/>
    <w:rsid w:val="00AF2569"/>
    <w:rsid w:val="00AF28CE"/>
    <w:rsid w:val="00AF2D54"/>
    <w:rsid w:val="00AF2EF8"/>
    <w:rsid w:val="00AF3458"/>
    <w:rsid w:val="00AF38B5"/>
    <w:rsid w:val="00AF3CAA"/>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70BF"/>
    <w:rsid w:val="00B57A00"/>
    <w:rsid w:val="00B60110"/>
    <w:rsid w:val="00B60471"/>
    <w:rsid w:val="00B60B8F"/>
    <w:rsid w:val="00B61477"/>
    <w:rsid w:val="00B61CCE"/>
    <w:rsid w:val="00B61E81"/>
    <w:rsid w:val="00B62418"/>
    <w:rsid w:val="00B625CC"/>
    <w:rsid w:val="00B62634"/>
    <w:rsid w:val="00B62D58"/>
    <w:rsid w:val="00B62DF0"/>
    <w:rsid w:val="00B63337"/>
    <w:rsid w:val="00B6358D"/>
    <w:rsid w:val="00B6369F"/>
    <w:rsid w:val="00B639D7"/>
    <w:rsid w:val="00B6480F"/>
    <w:rsid w:val="00B648E4"/>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9DD"/>
    <w:rsid w:val="00B81CC0"/>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73"/>
    <w:rsid w:val="00BB1AD6"/>
    <w:rsid w:val="00BB2282"/>
    <w:rsid w:val="00BB26A1"/>
    <w:rsid w:val="00BB2F36"/>
    <w:rsid w:val="00BB3688"/>
    <w:rsid w:val="00BB3E2B"/>
    <w:rsid w:val="00BB41FE"/>
    <w:rsid w:val="00BB428A"/>
    <w:rsid w:val="00BB43DA"/>
    <w:rsid w:val="00BB4428"/>
    <w:rsid w:val="00BB4590"/>
    <w:rsid w:val="00BB5D1C"/>
    <w:rsid w:val="00BB6552"/>
    <w:rsid w:val="00BB65E0"/>
    <w:rsid w:val="00BB6B9B"/>
    <w:rsid w:val="00BB6D7E"/>
    <w:rsid w:val="00BB754F"/>
    <w:rsid w:val="00BB785D"/>
    <w:rsid w:val="00BC0012"/>
    <w:rsid w:val="00BC0058"/>
    <w:rsid w:val="00BC07D4"/>
    <w:rsid w:val="00BC0A5D"/>
    <w:rsid w:val="00BC0BE3"/>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1F7"/>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5E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38"/>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3EA1"/>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2B3"/>
    <w:rsid w:val="00CB73F7"/>
    <w:rsid w:val="00CC07F1"/>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ED8"/>
    <w:rsid w:val="00CD3F65"/>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E78B4"/>
    <w:rsid w:val="00CF002F"/>
    <w:rsid w:val="00CF0246"/>
    <w:rsid w:val="00CF09CD"/>
    <w:rsid w:val="00CF0E31"/>
    <w:rsid w:val="00CF12F6"/>
    <w:rsid w:val="00CF2483"/>
    <w:rsid w:val="00CF24E2"/>
    <w:rsid w:val="00CF2B39"/>
    <w:rsid w:val="00CF37D4"/>
    <w:rsid w:val="00CF393D"/>
    <w:rsid w:val="00CF43B6"/>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26A"/>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666"/>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47C0"/>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22"/>
    <w:rsid w:val="00F064EC"/>
    <w:rsid w:val="00F06614"/>
    <w:rsid w:val="00F06E7B"/>
    <w:rsid w:val="00F072FF"/>
    <w:rsid w:val="00F07F39"/>
    <w:rsid w:val="00F1088E"/>
    <w:rsid w:val="00F10CB9"/>
    <w:rsid w:val="00F1107D"/>
    <w:rsid w:val="00F110CD"/>
    <w:rsid w:val="00F110D5"/>
    <w:rsid w:val="00F1145E"/>
    <w:rsid w:val="00F11776"/>
    <w:rsid w:val="00F11B6D"/>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4BD2"/>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0B3"/>
    <w:rsid w:val="00F861BD"/>
    <w:rsid w:val="00F86355"/>
    <w:rsid w:val="00F86621"/>
    <w:rsid w:val="00F86BF6"/>
    <w:rsid w:val="00F86C4B"/>
    <w:rsid w:val="00F87032"/>
    <w:rsid w:val="00F87094"/>
    <w:rsid w:val="00F870E4"/>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B"/>
    <w:rsid w:val="00FC1091"/>
    <w:rsid w:val="00FC19EF"/>
    <w:rsid w:val="00FC1BCA"/>
    <w:rsid w:val="00FC2756"/>
    <w:rsid w:val="00FC2809"/>
    <w:rsid w:val="00FC2A22"/>
    <w:rsid w:val="00FC3300"/>
    <w:rsid w:val="00FC3AEE"/>
    <w:rsid w:val="00FC3CE9"/>
    <w:rsid w:val="00FC48E3"/>
    <w:rsid w:val="00FC53A9"/>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5254D1E-A384-47B0-BDB6-59E9825183E9}">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45</TotalTime>
  <Pages>10</Pages>
  <Words>5832</Words>
  <Characters>33248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39002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Rakuten [Subramanya]</cp:lastModifiedBy>
  <cp:revision>495</cp:revision>
  <cp:lastPrinted>2016-06-20T05:35:00Z</cp:lastPrinted>
  <dcterms:created xsi:type="dcterms:W3CDTF">2025-08-01T11:26:00Z</dcterms:created>
  <dcterms:modified xsi:type="dcterms:W3CDTF">2025-10-02T19:02:00Z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