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1EF17" w14:textId="77777777" w:rsidR="00E327DC" w:rsidRPr="00FB13A8" w:rsidRDefault="00E327DC" w:rsidP="00E327D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ajorHAnsi" w:eastAsia="Arial" w:hAnsiTheme="majorHAnsi" w:cstheme="majorHAnsi"/>
          <w:color w:val="000000"/>
        </w:rPr>
      </w:pPr>
    </w:p>
    <w:tbl>
      <w:tblPr>
        <w:tblStyle w:val="a"/>
        <w:tblW w:w="9026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68"/>
        <w:gridCol w:w="2358"/>
      </w:tblGrid>
      <w:tr w:rsidR="00E327DC" w:rsidRPr="00FB13A8" w14:paraId="7063468B" w14:textId="77777777" w:rsidTr="00175C00">
        <w:tc>
          <w:tcPr>
            <w:tcW w:w="6668" w:type="dxa"/>
          </w:tcPr>
          <w:p w14:paraId="1C6E2BEF" w14:textId="77777777" w:rsidR="00E327DC" w:rsidRPr="00FB13A8" w:rsidRDefault="00E327DC" w:rsidP="00175C00">
            <w:pPr>
              <w:ind w:left="-113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3GPP TSG RAN WG1 Meeting #122bis</w:t>
            </w:r>
          </w:p>
        </w:tc>
        <w:tc>
          <w:tcPr>
            <w:tcW w:w="2358" w:type="dxa"/>
          </w:tcPr>
          <w:p w14:paraId="49983CDA" w14:textId="56CFFA9C" w:rsidR="00E327DC" w:rsidRPr="00FB13A8" w:rsidRDefault="00E327DC" w:rsidP="00175C00">
            <w:pPr>
              <w:ind w:right="-115"/>
              <w:jc w:val="right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R1-250753</w:t>
            </w:r>
            <w:r>
              <w:rPr>
                <w:rFonts w:asciiTheme="majorHAnsi" w:hAnsiTheme="majorHAnsi" w:cstheme="majorHAnsi"/>
                <w:b/>
                <w:sz w:val="32"/>
                <w:szCs w:val="32"/>
              </w:rPr>
              <w:t>6</w:t>
            </w:r>
          </w:p>
        </w:tc>
      </w:tr>
      <w:tr w:rsidR="00E327DC" w:rsidRPr="00FB13A8" w14:paraId="3AD7E966" w14:textId="77777777" w:rsidTr="00175C00">
        <w:tc>
          <w:tcPr>
            <w:tcW w:w="9026" w:type="dxa"/>
            <w:gridSpan w:val="2"/>
          </w:tcPr>
          <w:p w14:paraId="2B962A0C" w14:textId="77777777" w:rsidR="00E327DC" w:rsidRPr="00FB13A8" w:rsidRDefault="00E327DC" w:rsidP="00175C00">
            <w:pPr>
              <w:ind w:left="-113"/>
              <w:jc w:val="both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Prague, CZ, October 13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  <w:vertAlign w:val="superscript"/>
              </w:rPr>
              <w:t>th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 xml:space="preserve"> – 17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  <w:vertAlign w:val="superscript"/>
              </w:rPr>
              <w:t>th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, 2025</w:t>
            </w:r>
          </w:p>
        </w:tc>
      </w:tr>
    </w:tbl>
    <w:p w14:paraId="0821BC22" w14:textId="77777777" w:rsidR="00E327DC" w:rsidRPr="00FB13A8" w:rsidRDefault="00E327DC" w:rsidP="00E327DC">
      <w:pPr>
        <w:jc w:val="both"/>
        <w:rPr>
          <w:rFonts w:asciiTheme="majorHAnsi" w:hAnsiTheme="majorHAnsi" w:cstheme="majorHAnsi"/>
        </w:rPr>
      </w:pPr>
    </w:p>
    <w:tbl>
      <w:tblPr>
        <w:tblStyle w:val="a0"/>
        <w:tblW w:w="9360" w:type="dxa"/>
        <w:tblInd w:w="0" w:type="dxa"/>
        <w:tblBorders>
          <w:top w:val="single" w:sz="4" w:space="0" w:color="000000"/>
          <w:bottom w:val="single" w:sz="4" w:space="0" w:color="000000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00E327DC" w:rsidRPr="00FB13A8" w14:paraId="5AF2DB3D" w14:textId="77777777" w:rsidTr="00175C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13B222C" w14:textId="77777777" w:rsidR="00E327DC" w:rsidRPr="00FB13A8" w:rsidRDefault="00E327DC" w:rsidP="00175C00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249A9FD8" w14:textId="77777777" w:rsidR="00E327DC" w:rsidRPr="00FB13A8" w:rsidRDefault="00E327DC" w:rsidP="00175C00">
            <w:pPr>
              <w:ind w:left="-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b w:val="0"/>
                <w:sz w:val="24"/>
                <w:szCs w:val="24"/>
              </w:rPr>
              <w:t>11.3.1</w:t>
            </w:r>
          </w:p>
        </w:tc>
      </w:tr>
      <w:tr w:rsidR="00E327DC" w:rsidRPr="00FB13A8" w14:paraId="43C8C55C" w14:textId="77777777" w:rsidTr="00175C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1D18EB9" w14:textId="77777777" w:rsidR="00E327DC" w:rsidRPr="00FB13A8" w:rsidRDefault="00E327DC" w:rsidP="00175C00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4F5D27B2" w14:textId="77777777" w:rsidR="00E327DC" w:rsidRPr="00B72F91" w:rsidRDefault="00E327DC" w:rsidP="00175C00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 w:rsidRPr="00B72F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WiSig</w:t>
            </w:r>
            <w:proofErr w:type="spellEnd"/>
            <w:r w:rsidRPr="00B72F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and IITH</w:t>
            </w:r>
          </w:p>
        </w:tc>
      </w:tr>
      <w:tr w:rsidR="00E327DC" w:rsidRPr="00FB13A8" w14:paraId="371780DB" w14:textId="77777777" w:rsidTr="00175C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8483144" w14:textId="77777777" w:rsidR="00E327DC" w:rsidRPr="00FB13A8" w:rsidRDefault="00E327DC" w:rsidP="00175C00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5496C52F" w14:textId="0E711E51" w:rsidR="00E327DC" w:rsidRPr="00E327DC" w:rsidRDefault="00E327DC" w:rsidP="00175C00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E327DC">
              <w:rPr>
                <w:b/>
                <w:bCs/>
                <w:sz w:val="24"/>
                <w:szCs w:val="24"/>
              </w:rPr>
              <w:t>6G BTS Cost Optimization: Waveform Choices and MIMO</w:t>
            </w:r>
            <w:r w:rsidR="00A1617F">
              <w:rPr>
                <w:b/>
                <w:bCs/>
                <w:sz w:val="24"/>
                <w:szCs w:val="24"/>
              </w:rPr>
              <w:t>/RU</w:t>
            </w:r>
            <w:r w:rsidRPr="00E327DC">
              <w:rPr>
                <w:b/>
                <w:bCs/>
                <w:sz w:val="24"/>
                <w:szCs w:val="24"/>
              </w:rPr>
              <w:t xml:space="preserve"> Architecture Trade-offs</w:t>
            </w:r>
          </w:p>
        </w:tc>
      </w:tr>
      <w:tr w:rsidR="00E327DC" w:rsidRPr="00FB13A8" w14:paraId="472516C6" w14:textId="77777777" w:rsidTr="00175C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BB710CD" w14:textId="77777777" w:rsidR="00E327DC" w:rsidRPr="00FB13A8" w:rsidRDefault="00E327DC" w:rsidP="00175C00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Document for:</w:t>
            </w:r>
          </w:p>
        </w:tc>
        <w:tc>
          <w:tcPr>
            <w:tcW w:w="7659" w:type="dxa"/>
          </w:tcPr>
          <w:p w14:paraId="590C47A3" w14:textId="77777777" w:rsidR="00E327DC" w:rsidRPr="00FB13A8" w:rsidRDefault="00E327DC" w:rsidP="00175C00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Discussion</w:t>
            </w:r>
          </w:p>
        </w:tc>
      </w:tr>
    </w:tbl>
    <w:p w14:paraId="0019F42B" w14:textId="77777777" w:rsidR="00D62ACE" w:rsidRDefault="00D62AC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p w14:paraId="2CD721B9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Abstract</w:t>
      </w:r>
    </w:p>
    <w:p w14:paraId="0830696F" w14:textId="57E41DC5" w:rsidR="00841C45" w:rsidRPr="00E04A3E" w:rsidRDefault="00841C45">
      <w:pPr>
        <w:jc w:val="both"/>
        <w:rPr>
          <w:rFonts w:asciiTheme="majorHAnsi" w:eastAsia="Times New Roman" w:hAnsiTheme="majorHAnsi" w:cstheme="majorHAnsi"/>
          <w:bCs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Cs/>
          <w:sz w:val="24"/>
          <w:szCs w:val="24"/>
        </w:rPr>
        <w:t xml:space="preserve">We propose </w:t>
      </w:r>
      <w:r w:rsidR="00D43931">
        <w:rPr>
          <w:rFonts w:asciiTheme="majorHAnsi" w:eastAsia="Times New Roman" w:hAnsiTheme="majorHAnsi" w:cstheme="majorHAnsi"/>
          <w:bCs/>
          <w:sz w:val="24"/>
          <w:szCs w:val="24"/>
        </w:rPr>
        <w:t xml:space="preserve">that </w:t>
      </w:r>
      <w:r w:rsidRPr="00E04A3E">
        <w:rPr>
          <w:rFonts w:asciiTheme="majorHAnsi" w:eastAsia="Times New Roman" w:hAnsiTheme="majorHAnsi" w:cstheme="majorHAnsi"/>
          <w:bCs/>
          <w:sz w:val="24"/>
          <w:szCs w:val="24"/>
        </w:rPr>
        <w:t>the waveform study should consider the impact on BTS cost. The waveform selected should support low-cost BTS options, low energy consumption along with MIMO support suitable for cost reduction.</w:t>
      </w:r>
    </w:p>
    <w:p w14:paraId="54359211" w14:textId="6BE3A775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This contribution proposes a study on standardized,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low-cost macro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base-station architectures for the upper mid-band (6.425–7.125 GHz). The approach combines (</w:t>
      </w:r>
      <w:proofErr w:type="spellStart"/>
      <w:r w:rsidRPr="00E04A3E">
        <w:rPr>
          <w:rFonts w:asciiTheme="majorHAnsi" w:eastAsia="Times New Roman" w:hAnsiTheme="majorHAnsi" w:cstheme="majorHAnsi"/>
          <w:sz w:val="24"/>
          <w:szCs w:val="24"/>
        </w:rPr>
        <w:t>i</w:t>
      </w:r>
      <w:proofErr w:type="spellEnd"/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) simplified RU/DU implementations and (ii)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dual-waveform PHY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(low-PAPR + CP-OFDM on demand) to recover PA back-off, improve energy efficiency, and reduce total cost of ownership—while preserving macro-class EIRP and coverage. The study targets </w:t>
      </w:r>
      <w:proofErr w:type="gramStart"/>
      <w:r w:rsidR="00550535">
        <w:rPr>
          <w:rFonts w:asciiTheme="majorHAnsi" w:eastAsia="Times New Roman" w:hAnsiTheme="majorHAnsi" w:cstheme="majorHAnsi"/>
          <w:b/>
          <w:sz w:val="24"/>
          <w:szCs w:val="24"/>
        </w:rPr>
        <w:t xml:space="preserve">significant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 xml:space="preserve"> cost</w:t>
      </w:r>
      <w:proofErr w:type="gramEnd"/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 xml:space="preserve"> reduction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vs. conventional </w:t>
      </w:r>
      <w:proofErr w:type="spellStart"/>
      <w:r w:rsidRPr="00E04A3E">
        <w:rPr>
          <w:rFonts w:asciiTheme="majorHAnsi" w:eastAsia="Times New Roman" w:hAnsiTheme="majorHAnsi" w:cstheme="majorHAnsi"/>
          <w:sz w:val="24"/>
          <w:szCs w:val="24"/>
        </w:rPr>
        <w:t>gNBs</w:t>
      </w:r>
      <w:proofErr w:type="spellEnd"/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at comparable coverage/capacity and enables scalable deployments, particularly for FWA-heavy markets.</w:t>
      </w:r>
    </w:p>
    <w:p w14:paraId="26318A8B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pict w14:anchorId="7C3C4EB8">
          <v:rect id="_x0000_i1025" style="width:0;height:1.5pt" o:hralign="center" o:hrstd="t" o:hr="t" fillcolor="#a0a0a0" stroked="f"/>
        </w:pict>
      </w:r>
    </w:p>
    <w:p w14:paraId="559CAD58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1. Motivation and Context</w:t>
      </w:r>
    </w:p>
    <w:p w14:paraId="76B2E14E" w14:textId="77777777" w:rsidR="00D62ACE" w:rsidRPr="00E04A3E" w:rsidRDefault="00000000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India is expected to make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6.425–7.125 GHz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available as a dedicated 6G block (aligned with WRC outcomes). With modest fibre penetration,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Fixed Wireless Access (FWA)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will remain a primary broadband mode in both urban and rural areas.</w:t>
      </w:r>
    </w:p>
    <w:p w14:paraId="477A7375" w14:textId="77777777" w:rsidR="00D62ACE" w:rsidRPr="00E04A3E" w:rsidRDefault="00000000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India’s existing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5G mid-band (3.3–3.67 GHz)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is increasingly congested. Stop-gap alternatives (unlicensed Wi-Fi; Wi-Fi BB + FR2 mm Wave backhaul with CPE dishes) offer limited standardization, weaker long-term interoperability, and challenging economics at scale.</w:t>
      </w:r>
    </w:p>
    <w:p w14:paraId="3FAC2EBD" w14:textId="77777777" w:rsidR="00D62ACE" w:rsidRPr="00E04A3E" w:rsidRDefault="00000000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A standardized, macro-class,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lower-cost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upper-midband solution is needed for rapid, large-scale rollouts.</w:t>
      </w:r>
    </w:p>
    <w:p w14:paraId="4B89DD54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pict w14:anchorId="30A4D38B">
          <v:rect id="_x0000_i1026" style="width:0;height:1.5pt" o:hralign="center" o:hrstd="t" o:hr="t" fillcolor="#a0a0a0" stroked="f"/>
        </w:pict>
      </w:r>
    </w:p>
    <w:p w14:paraId="02FCC319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2. Objectives</w:t>
      </w:r>
    </w:p>
    <w:p w14:paraId="35D558EB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>Define macro-class systems for 6.425–7.125 GHz that:</w:t>
      </w:r>
    </w:p>
    <w:p w14:paraId="54C10A1C" w14:textId="77777777" w:rsidR="00D62ACE" w:rsidRPr="00E04A3E" w:rsidRDefault="00000000">
      <w:pPr>
        <w:numPr>
          <w:ilvl w:val="0"/>
          <w:numId w:val="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Achieve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comparable EIRP and coverage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to today’s macro </w:t>
      </w:r>
      <w:proofErr w:type="spellStart"/>
      <w:r w:rsidRPr="00E04A3E">
        <w:rPr>
          <w:rFonts w:asciiTheme="majorHAnsi" w:eastAsia="Times New Roman" w:hAnsiTheme="majorHAnsi" w:cstheme="majorHAnsi"/>
          <w:sz w:val="24"/>
          <w:szCs w:val="24"/>
        </w:rPr>
        <w:t>gNBs</w:t>
      </w:r>
      <w:proofErr w:type="spellEnd"/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(3–4 sectors per site).</w:t>
      </w:r>
    </w:p>
    <w:p w14:paraId="0CADC3BE" w14:textId="2040036C" w:rsidR="00D62ACE" w:rsidRPr="00E04A3E" w:rsidRDefault="00000000">
      <w:pPr>
        <w:numPr>
          <w:ilvl w:val="0"/>
          <w:numId w:val="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Deliver </w:t>
      </w:r>
      <w:r w:rsidR="00936508">
        <w:rPr>
          <w:rFonts w:asciiTheme="majorHAnsi" w:eastAsia="Times New Roman" w:hAnsiTheme="majorHAnsi" w:cstheme="majorHAnsi"/>
          <w:b/>
          <w:sz w:val="24"/>
          <w:szCs w:val="24"/>
        </w:rPr>
        <w:t xml:space="preserve">low 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>cost (per coverage/capacity) of current macro solutions.</w:t>
      </w:r>
    </w:p>
    <w:p w14:paraId="013B1543" w14:textId="77777777" w:rsidR="00D62ACE" w:rsidRPr="00E04A3E" w:rsidRDefault="00000000">
      <w:pPr>
        <w:numPr>
          <w:ilvl w:val="0"/>
          <w:numId w:val="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lastRenderedPageBreak/>
        <w:t xml:space="preserve">Use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simplified RU/DU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designs and a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dual-waveform PHY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to minimize PA back-off while preserving MU-MIMO and spectral efficiency when needed.</w:t>
      </w:r>
    </w:p>
    <w:p w14:paraId="52AB5885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pict w14:anchorId="3E544826">
          <v:rect id="_x0000_i1027" style="width:0;height:1.5pt" o:hralign="center" o:hrstd="t" o:hr="t" fillcolor="#a0a0a0" stroked="f"/>
        </w:pict>
      </w:r>
    </w:p>
    <w:p w14:paraId="126FD477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3. Scope: What “Low-Cost Macro” Means</w:t>
      </w:r>
    </w:p>
    <w:p w14:paraId="6736989E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This work item targets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macro/micro class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equipment,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not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small cells:</w:t>
      </w:r>
    </w:p>
    <w:p w14:paraId="3489D8DD" w14:textId="77777777" w:rsidR="00D62ACE" w:rsidRPr="00E04A3E" w:rsidRDefault="00000000">
      <w:pPr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Per-sector RF power: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~100–400 W;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site: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3–4 sectors (including virtual/beam sectors).</w:t>
      </w:r>
    </w:p>
    <w:p w14:paraId="27516C9B" w14:textId="77777777" w:rsidR="00D62ACE" w:rsidRPr="00E04A3E" w:rsidRDefault="00000000">
      <w:pPr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RU: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simplified PAs (reduced back-off), improved thermal/mechanical design; a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single RU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may feed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2–4 sectors/beams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to lower per-sector cost.</w:t>
      </w:r>
    </w:p>
    <w:p w14:paraId="79C0335F" w14:textId="77777777" w:rsidR="00D62ACE" w:rsidRPr="00E04A3E" w:rsidRDefault="00000000">
      <w:pPr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DU: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Use a single baseband (PHY) and stack (L2/L3) where possible with simplified scheduler/PHY controls; one DU may drive one RU for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180°–360°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azimuth coverage utilizing multiple beams/sectors.</w:t>
      </w:r>
    </w:p>
    <w:p w14:paraId="5D7FC523" w14:textId="77777777" w:rsidR="00D62ACE" w:rsidRPr="00E04A3E" w:rsidRDefault="00000000">
      <w:pPr>
        <w:numPr>
          <w:ilvl w:val="0"/>
          <w:numId w:val="3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One cost lever is the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PA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>, which in CP-OFDM typically requires ≥8 dB back-off; recovering this margin is important.</w:t>
      </w:r>
    </w:p>
    <w:p w14:paraId="09BAB2D9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pict w14:anchorId="4260ACAD">
          <v:rect id="_x0000_i1028" style="width:0;height:1.5pt" o:hralign="center" o:hrstd="t" o:hr="t" fillcolor="#a0a0a0" stroked="f"/>
        </w:pict>
      </w:r>
    </w:p>
    <w:p w14:paraId="5A6BEE38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4. Waveform Strategy and PA Efficiency (Dual-Waveform PHY)</w:t>
      </w:r>
    </w:p>
    <w:p w14:paraId="799ECDCE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We propose a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dual-waveform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PHY that defaults to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low-PAPR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for sync/control/coverage-critical data, and selectively enables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CP-OFDM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for high-throughput/MU-MIMO:</w:t>
      </w:r>
    </w:p>
    <w:p w14:paraId="5C4A5484" w14:textId="77777777" w:rsidR="00D62ACE" w:rsidRPr="00E04A3E" w:rsidRDefault="00000000">
      <w:pPr>
        <w:numPr>
          <w:ilvl w:val="0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Low-PAPR family (e.g., DFT-s-OFDM including OTFDM variants)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>:</w:t>
      </w:r>
    </w:p>
    <w:p w14:paraId="2A992F62" w14:textId="77777777" w:rsidR="00D62ACE" w:rsidRPr="00E04A3E" w:rsidRDefault="00000000">
      <w:pPr>
        <w:numPr>
          <w:ilvl w:val="1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Enables near-saturation PA operation for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π/2-BPSK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>, QPSK, low-MCS data, improving link budget and energy efficiency.</w:t>
      </w:r>
    </w:p>
    <w:p w14:paraId="51BB9DDD" w14:textId="77777777" w:rsidR="00D62ACE" w:rsidRPr="00E04A3E" w:rsidRDefault="00000000">
      <w:pPr>
        <w:numPr>
          <w:ilvl w:val="1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Flexible DMRS placement, robustness to Doppler, and support for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pre-DFT time-domain multiplexing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20AE9375" w14:textId="6D6B828A" w:rsidR="00D33107" w:rsidRPr="00E04A3E" w:rsidRDefault="00D33107">
      <w:pPr>
        <w:numPr>
          <w:ilvl w:val="1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See references [1-4] that contains a detailed description of OTFDM waveform the benefits </w:t>
      </w:r>
      <w:proofErr w:type="spellStart"/>
      <w:r w:rsidRPr="00E04A3E">
        <w:rPr>
          <w:rFonts w:asciiTheme="majorHAnsi" w:eastAsia="Times New Roman" w:hAnsiTheme="majorHAnsi" w:cstheme="majorHAnsi"/>
          <w:sz w:val="24"/>
          <w:szCs w:val="24"/>
        </w:rPr>
        <w:t>wrt</w:t>
      </w:r>
      <w:proofErr w:type="spellEnd"/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to DFT S OFDM and OFDM, system level implications of introducing OTFDM in the specification.</w:t>
      </w:r>
    </w:p>
    <w:p w14:paraId="25A40A44" w14:textId="77777777" w:rsidR="00D62ACE" w:rsidRPr="00E04A3E" w:rsidRDefault="00000000">
      <w:pPr>
        <w:numPr>
          <w:ilvl w:val="0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CP-OFDM on demand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(e.g., PDSCH bursts for MU-MIMO/high MCS):</w:t>
      </w:r>
    </w:p>
    <w:p w14:paraId="212AAA85" w14:textId="77777777" w:rsidR="00D62ACE" w:rsidRPr="00E04A3E" w:rsidRDefault="00000000">
      <w:pPr>
        <w:numPr>
          <w:ilvl w:val="1"/>
          <w:numId w:val="4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>Accepts requisite back-off only when needed to deliver higher spectral efficiency.</w:t>
      </w:r>
    </w:p>
    <w:p w14:paraId="7CDC85A8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Synchronization channels: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Map PSS/SSS/PBCH to low-PAPR by default to maximize coverage.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br/>
      </w:r>
      <w:r w:rsidRPr="00E04A3E">
        <w:rPr>
          <w:rFonts w:asciiTheme="majorHAnsi" w:eastAsia="Times New Roman" w:hAnsiTheme="majorHAnsi" w:cstheme="majorHAnsi"/>
          <w:i/>
          <w:sz w:val="24"/>
          <w:szCs w:val="24"/>
        </w:rPr>
        <w:t>Alternative (not preferred):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Keep sync on CP-OFDM; then coverage must be regained via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repetitions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(NB-IoT-like), which is less energy/cost efficient.</w:t>
      </w:r>
    </w:p>
    <w:p w14:paraId="330079F7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Scheduling model with OTFDM-style multiplexing:</w:t>
      </w:r>
    </w:p>
    <w:p w14:paraId="3453BCFE" w14:textId="77777777" w:rsidR="00D62ACE" w:rsidRPr="00E04A3E" w:rsidRDefault="00000000">
      <w:pPr>
        <w:numPr>
          <w:ilvl w:val="0"/>
          <w:numId w:val="5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In a TTI with 14 symbols, time-multiplex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2–4 UEs per symbol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, enabling up to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28–56 scheduled UEs/TTI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(illustrative).</w:t>
      </w:r>
    </w:p>
    <w:p w14:paraId="0B8621F6" w14:textId="77777777" w:rsidR="00D62ACE" w:rsidRPr="00E04A3E" w:rsidRDefault="00000000">
      <w:pPr>
        <w:numPr>
          <w:ilvl w:val="0"/>
          <w:numId w:val="5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lastRenderedPageBreak/>
        <w:t xml:space="preserve">A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default 2-port DMRS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(H/V) supports single-layer or 2-layer SU-MIMO without cross-polarization precoding (ports are polarization-separated).</w:t>
      </w:r>
    </w:p>
    <w:p w14:paraId="33D18AFF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pict w14:anchorId="11CD3EA5">
          <v:rect id="_x0000_i1029" style="width:0;height:1.5pt" o:hralign="center" o:hrstd="t" o:hr="t" fillcolor="#a0a0a0" stroked="f"/>
        </w:pict>
      </w:r>
    </w:p>
    <w:p w14:paraId="08CE2E0F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5. Architecture Option A — Low-Cost Split RU (O-RAN 7.2A Compatible)</w:t>
      </w:r>
    </w:p>
    <w:p w14:paraId="68C9AB9F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A representative low-cost macro architecture (aligned with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O-RAN FH split 7.2A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>):</w:t>
      </w:r>
    </w:p>
    <w:p w14:paraId="1BC9D91E" w14:textId="77777777" w:rsidR="00D62ACE" w:rsidRPr="00E04A3E" w:rsidRDefault="00000000">
      <w:pPr>
        <w:numPr>
          <w:ilvl w:val="0"/>
          <w:numId w:val="6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Single RU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with ≥8 antenna ports (dual-pol H/V) feeding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2–4 sectors/beams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via external panels.</w:t>
      </w:r>
    </w:p>
    <w:p w14:paraId="299B0C05" w14:textId="77777777" w:rsidR="00D62ACE" w:rsidRPr="00E04A3E" w:rsidRDefault="00000000">
      <w:pPr>
        <w:numPr>
          <w:ilvl w:val="0"/>
          <w:numId w:val="6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PHY: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Dual-waveform baseband; low-PAPR by default;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CP-OFDM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enabled for capacity bursts.</w:t>
      </w:r>
    </w:p>
    <w:p w14:paraId="3C28F787" w14:textId="77777777" w:rsidR="00D62ACE" w:rsidRPr="00E04A3E" w:rsidRDefault="00000000">
      <w:pPr>
        <w:numPr>
          <w:ilvl w:val="0"/>
          <w:numId w:val="6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Modes:</w:t>
      </w:r>
    </w:p>
    <w:p w14:paraId="0AACDC79" w14:textId="77777777" w:rsidR="00D62ACE" w:rsidRPr="00E04A3E" w:rsidRDefault="00000000">
      <w:pPr>
        <w:numPr>
          <w:ilvl w:val="1"/>
          <w:numId w:val="6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SU-MIMO: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1–2 layers via H/V polarization and low PAPR Waveform.</w:t>
      </w:r>
    </w:p>
    <w:p w14:paraId="2492CD0C" w14:textId="77777777" w:rsidR="00D62ACE" w:rsidRPr="00E04A3E" w:rsidRDefault="00000000">
      <w:pPr>
        <w:numPr>
          <w:ilvl w:val="1"/>
          <w:numId w:val="6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MU-MIMO: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activated with CP-OFDM as needed.</w:t>
      </w:r>
    </w:p>
    <w:p w14:paraId="2ED11CF4" w14:textId="77777777" w:rsidR="00D62ACE" w:rsidRPr="00E04A3E" w:rsidRDefault="00000000">
      <w:pPr>
        <w:numPr>
          <w:ilvl w:val="1"/>
          <w:numId w:val="6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CSI: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CSI-RS/SRS with explicit CSI feedback and/or calibration.</w:t>
      </w:r>
    </w:p>
    <w:p w14:paraId="27507D15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pict w14:anchorId="09E8F299">
          <v:rect id="_x0000_i1030" style="width:0;height:1.5pt" o:hralign="center" o:hrstd="t" o:hr="t" fillcolor="#a0a0a0" stroked="f"/>
        </w:pict>
      </w:r>
    </w:p>
    <w:p w14:paraId="55DB4A32" w14:textId="77777777" w:rsidR="00D62ACE" w:rsidRPr="00E04A3E" w:rsidRDefault="00D62ACE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58BA4983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6. Architecture Option B — Upper-Midband Massive MIMO (e.g., 64T/128T)</w:t>
      </w:r>
    </w:p>
    <w:p w14:paraId="7DA30F43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For high-port-count systems (64T/64R to 128T/128R), the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same dual-waveform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principles apply:</w:t>
      </w:r>
    </w:p>
    <w:p w14:paraId="738D7406" w14:textId="77777777" w:rsidR="00D62ACE" w:rsidRPr="00E04A3E" w:rsidRDefault="00000000">
      <w:pPr>
        <w:numPr>
          <w:ilvl w:val="0"/>
          <w:numId w:val="7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For low-order modulations,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dimension PAs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so saturation ≈ average power →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zero/low back-off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14A8FF98" w14:textId="77777777" w:rsidR="00D62ACE" w:rsidRPr="00E04A3E" w:rsidRDefault="00000000">
      <w:pPr>
        <w:numPr>
          <w:ilvl w:val="0"/>
          <w:numId w:val="7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For higher-order modulations,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selective back-off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only for capacity-critical traffic.</w:t>
      </w:r>
    </w:p>
    <w:p w14:paraId="326235F9" w14:textId="77777777" w:rsidR="00D62ACE" w:rsidRPr="00E04A3E" w:rsidRDefault="00000000">
      <w:pPr>
        <w:numPr>
          <w:ilvl w:val="0"/>
          <w:numId w:val="7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CP-OFDM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is used tactically (MU-MIMO, high spectral-efficiency bursts);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low-PAPR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maximizes coverage/energy efficiency otherwise.</w:t>
      </w:r>
    </w:p>
    <w:p w14:paraId="7CBD5D6E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This yields a </w:t>
      </w:r>
      <w:proofErr w:type="spellStart"/>
      <w:r w:rsidRPr="00E04A3E">
        <w:rPr>
          <w:rFonts w:asciiTheme="majorHAnsi" w:eastAsia="Times New Roman" w:hAnsiTheme="majorHAnsi" w:cstheme="majorHAnsi"/>
          <w:sz w:val="24"/>
          <w:szCs w:val="24"/>
        </w:rPr>
        <w:t>tunable</w:t>
      </w:r>
      <w:proofErr w:type="spellEnd"/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coverage–capacity–cost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trade-off while preserving macro-class performance.</w:t>
      </w:r>
    </w:p>
    <w:p w14:paraId="07B64C36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pict w14:anchorId="48AF82F7">
          <v:rect id="_x0000_i1031" style="width:0;height:1.5pt" o:hralign="center" o:hrstd="t" o:hr="t" fillcolor="#a0a0a0" stroked="f"/>
        </w:pict>
      </w:r>
    </w:p>
    <w:p w14:paraId="779661D8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7. Architecture Option C — Single-RU, 360° Coverage Massive MIMO</w:t>
      </w:r>
    </w:p>
    <w:p w14:paraId="5F349E71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To avoid the cost of multiple sectorized RUs, deploy a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single RU with integrated 360° antenna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(e.g., cylindrical array or azimuthal panels within the RU chassis):</w:t>
      </w:r>
    </w:p>
    <w:p w14:paraId="00AF4260" w14:textId="77777777" w:rsidR="00D62ACE" w:rsidRPr="00E04A3E" w:rsidRDefault="00000000">
      <w:pPr>
        <w:numPr>
          <w:ilvl w:val="0"/>
          <w:numId w:val="8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Re-purposes available antenna ports for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site-wide coverage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; TDD reciprocity calibration and massive-MIMO processing are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built-in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5E9210E0" w14:textId="77777777" w:rsidR="00D62ACE" w:rsidRPr="00E04A3E" w:rsidRDefault="00000000">
      <w:pPr>
        <w:numPr>
          <w:ilvl w:val="0"/>
          <w:numId w:val="8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lastRenderedPageBreak/>
        <w:t xml:space="preserve">Combined with low-PAPR,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recovers PA back-off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, increasing effective EIRP; a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single DU–single RU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can cover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360°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with sufficient control-channel capacity for the target load.</w:t>
      </w:r>
    </w:p>
    <w:p w14:paraId="249E3D77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pict w14:anchorId="10401E17">
          <v:rect id="_x0000_i1032" style="width:0;height:1.5pt" o:hralign="center" o:hrstd="t" o:hr="t" fillcolor="#a0a0a0" stroked="f"/>
        </w:pict>
      </w:r>
    </w:p>
    <w:p w14:paraId="65A8C63C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8. Spectrum Efficiency and Uplink Options</w:t>
      </w:r>
    </w:p>
    <w:p w14:paraId="16C9DAFE" w14:textId="77777777" w:rsidR="00D62ACE" w:rsidRPr="00E04A3E" w:rsidRDefault="00000000">
      <w:pPr>
        <w:numPr>
          <w:ilvl w:val="0"/>
          <w:numId w:val="9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Dynamic waveform switching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per service/latency/throughput need.</w:t>
      </w:r>
    </w:p>
    <w:p w14:paraId="58E30B07" w14:textId="77777777" w:rsidR="00D62ACE" w:rsidRPr="00E04A3E" w:rsidRDefault="00000000">
      <w:pPr>
        <w:numPr>
          <w:ilvl w:val="0"/>
          <w:numId w:val="9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Feature selectivity: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DMRS/CSI-RS/PDSCH activation tuned to coverage and load.</w:t>
      </w:r>
    </w:p>
    <w:p w14:paraId="192AF3B2" w14:textId="77777777" w:rsidR="00D62ACE" w:rsidRPr="00E04A3E" w:rsidRDefault="00000000">
      <w:pPr>
        <w:numPr>
          <w:ilvl w:val="0"/>
          <w:numId w:val="9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Uplink: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1Tx/2Tx UE options extend reach for rooftop/pole-mounted CPEs;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dual-waveform UL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(as already in 5G) can be optimized for 6G to balance SU/MU-MIMO against robustness.</w:t>
      </w:r>
    </w:p>
    <w:p w14:paraId="1FD3B993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pict w14:anchorId="06CF2277">
          <v:rect id="_x0000_i1033" style="width:0;height:1.5pt" o:hralign="center" o:hrstd="t" o:hr="t" fillcolor="#a0a0a0" stroked="f"/>
        </w:pict>
      </w:r>
    </w:p>
    <w:p w14:paraId="188301F0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9. Multi-RAT Spectrum Sharing</w:t>
      </w:r>
    </w:p>
    <w:p w14:paraId="74EE1D3D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>Where 6G coexists with 5G in the same band:</w:t>
      </w:r>
    </w:p>
    <w:p w14:paraId="6DE4B12E" w14:textId="77777777" w:rsidR="00D62ACE" w:rsidRPr="00E04A3E" w:rsidRDefault="00000000">
      <w:pPr>
        <w:numPr>
          <w:ilvl w:val="0"/>
          <w:numId w:val="10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Use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CP-OFDM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to maintain full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spectrum-sharing compatibility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with legacy 5G.</w:t>
      </w:r>
    </w:p>
    <w:p w14:paraId="796E3402" w14:textId="77777777" w:rsidR="00D62ACE" w:rsidRPr="00E04A3E" w:rsidRDefault="00000000">
      <w:pPr>
        <w:numPr>
          <w:ilvl w:val="0"/>
          <w:numId w:val="10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Dual-mode 5G/6G RUs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>: extend 6G coverage with low-PAPR for static/FWA users while serving legacy 5G traffic with CP-OFDM.</w:t>
      </w:r>
    </w:p>
    <w:p w14:paraId="13CE2C23" w14:textId="77777777" w:rsidR="00D62ACE" w:rsidRPr="00E04A3E" w:rsidRDefault="00000000">
      <w:pPr>
        <w:numPr>
          <w:ilvl w:val="0"/>
          <w:numId w:val="10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After 5G sunset, migrate fully to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low-PAPR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for further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capex/</w:t>
      </w:r>
      <w:proofErr w:type="spellStart"/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opex</w:t>
      </w:r>
      <w:proofErr w:type="spellEnd"/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gains.</w:t>
      </w:r>
    </w:p>
    <w:p w14:paraId="677FF47C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pict w14:anchorId="5369D4FE">
          <v:rect id="_x0000_i1034" style="width:0;height:1.5pt" o:hralign="center" o:hrstd="t" o:hr="t" fillcolor="#a0a0a0" stroked="f"/>
        </w:pict>
      </w:r>
    </w:p>
    <w:p w14:paraId="32D3149C" w14:textId="2C42267E" w:rsidR="00D62ACE" w:rsidRPr="00E04A3E" w:rsidRDefault="00000000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 xml:space="preserve">11. </w:t>
      </w:r>
      <w:r w:rsidR="00752572" w:rsidRPr="00E04A3E">
        <w:rPr>
          <w:rFonts w:asciiTheme="majorHAnsi" w:eastAsia="Times New Roman" w:hAnsiTheme="majorHAnsi" w:cstheme="majorHAnsi"/>
          <w:b/>
          <w:sz w:val="24"/>
          <w:szCs w:val="24"/>
        </w:rPr>
        <w:t xml:space="preserve">Considerations </w:t>
      </w:r>
      <w:proofErr w:type="gramStart"/>
      <w:r w:rsidR="00752572" w:rsidRPr="00E04A3E">
        <w:rPr>
          <w:rFonts w:asciiTheme="majorHAnsi" w:eastAsia="Times New Roman" w:hAnsiTheme="majorHAnsi" w:cstheme="majorHAnsi"/>
          <w:b/>
          <w:sz w:val="24"/>
          <w:szCs w:val="24"/>
        </w:rPr>
        <w:t xml:space="preserve">for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 xml:space="preserve"> Study</w:t>
      </w:r>
      <w:proofErr w:type="gramEnd"/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</w:p>
    <w:p w14:paraId="01307B98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11.1 Scope of Study</w:t>
      </w:r>
    </w:p>
    <w:p w14:paraId="3C0226B3" w14:textId="77777777" w:rsidR="00D62ACE" w:rsidRPr="00E04A3E" w:rsidRDefault="00000000">
      <w:pPr>
        <w:numPr>
          <w:ilvl w:val="0"/>
          <w:numId w:val="1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RU/DU simplifications: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single-RU multi-sector; 360° integrated arrays; port counts; calibration models.</w:t>
      </w:r>
    </w:p>
    <w:p w14:paraId="39936883" w14:textId="77777777" w:rsidR="00D62ACE" w:rsidRPr="00E04A3E" w:rsidRDefault="00000000">
      <w:pPr>
        <w:numPr>
          <w:ilvl w:val="0"/>
          <w:numId w:val="1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Dual-waveform PHY: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low-PAPR defaults, CP-OFDM on demand; PA back-off recovery; sync/control design; scheduling models (e.g., time-multiplexing within OFDM symbols).</w:t>
      </w:r>
    </w:p>
    <w:p w14:paraId="671D3378" w14:textId="77777777" w:rsidR="00D62ACE" w:rsidRPr="00E04A3E" w:rsidRDefault="00000000">
      <w:pPr>
        <w:numPr>
          <w:ilvl w:val="0"/>
          <w:numId w:val="1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MIMO trade-offs: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SU/MU-MIMO capability under waveform switching; CSI procedures; polarization-based 1–</w:t>
      </w:r>
      <w:proofErr w:type="gramStart"/>
      <w:r w:rsidRPr="00E04A3E">
        <w:rPr>
          <w:rFonts w:asciiTheme="majorHAnsi" w:eastAsia="Times New Roman" w:hAnsiTheme="majorHAnsi" w:cstheme="majorHAnsi"/>
          <w:sz w:val="24"/>
          <w:szCs w:val="24"/>
        </w:rPr>
        <w:t>2 layer</w:t>
      </w:r>
      <w:proofErr w:type="gramEnd"/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SU-MIMO without cross-pol precoding.</w:t>
      </w:r>
    </w:p>
    <w:p w14:paraId="664C602D" w14:textId="77777777" w:rsidR="00D62ACE" w:rsidRPr="00E04A3E" w:rsidRDefault="00000000">
      <w:pPr>
        <w:numPr>
          <w:ilvl w:val="0"/>
          <w:numId w:val="1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Coexistence: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5G/6G spectrum sharing; dual-mode RUs; migration paths.</w:t>
      </w:r>
    </w:p>
    <w:p w14:paraId="1B129988" w14:textId="77777777" w:rsidR="00D62ACE" w:rsidRPr="00E04A3E" w:rsidRDefault="00000000">
      <w:pPr>
        <w:numPr>
          <w:ilvl w:val="0"/>
          <w:numId w:val="1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Cost/Energy models: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BOM, PA efficiency, thermal/mechanical simplifications, site-level TCO.</w:t>
      </w:r>
    </w:p>
    <w:p w14:paraId="3398C18F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pict w14:anchorId="1E1D0318">
          <v:rect id="_x0000_i1035" style="width:0;height:1.5pt" o:hralign="center" o:hrstd="t" o:hr="t" fillcolor="#a0a0a0" stroked="f"/>
        </w:pict>
      </w:r>
    </w:p>
    <w:p w14:paraId="06466BE9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Annex A (Informative): Scheduling Illustration with Low-PAPR + CP-OFDM</w:t>
      </w:r>
    </w:p>
    <w:p w14:paraId="56A67EC5" w14:textId="77777777" w:rsidR="00D62ACE" w:rsidRPr="00E04A3E" w:rsidRDefault="00000000">
      <w:pPr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lastRenderedPageBreak/>
        <w:t>Default: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Low-PAPR for sync/control and coverage-critical data, enabling near-saturation PA operation.</w:t>
      </w:r>
    </w:p>
    <w:p w14:paraId="4C5A1D17" w14:textId="77777777" w:rsidR="00D62ACE" w:rsidRPr="00E04A3E" w:rsidRDefault="00000000">
      <w:pPr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Burst mode: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CP-OFDM enabled per-UE/per-slot for MU-MIMO or high-MCS bursts (accepting temporary PA back-off).</w:t>
      </w:r>
    </w:p>
    <w:p w14:paraId="381AC6CF" w14:textId="77777777" w:rsidR="00D62ACE" w:rsidRPr="00E04A3E" w:rsidRDefault="00000000">
      <w:pPr>
        <w:numPr>
          <w:ilvl w:val="0"/>
          <w:numId w:val="12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Per-symbol time multiplexing: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With 14 symbols/TTI and 2–4 UEs per symbol,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~28–56 UEs/TTI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are schedulable (illustrative), with a </w:t>
      </w:r>
      <w:r w:rsidRPr="00E04A3E">
        <w:rPr>
          <w:rFonts w:asciiTheme="majorHAnsi" w:eastAsia="Times New Roman" w:hAnsiTheme="majorHAnsi" w:cstheme="majorHAnsi"/>
          <w:b/>
          <w:sz w:val="24"/>
          <w:szCs w:val="24"/>
        </w:rPr>
        <w:t>2-port DMRS (H/V)</w:t>
      </w:r>
      <w:r w:rsidRPr="00E04A3E">
        <w:rPr>
          <w:rFonts w:asciiTheme="majorHAnsi" w:eastAsia="Times New Roman" w:hAnsiTheme="majorHAnsi" w:cstheme="majorHAnsi"/>
          <w:sz w:val="24"/>
          <w:szCs w:val="24"/>
        </w:rPr>
        <w:t xml:space="preserve"> supporting 1–2 layers without explicit cross-pol precoding.</w:t>
      </w:r>
    </w:p>
    <w:p w14:paraId="7649C9AA" w14:textId="77777777" w:rsidR="00D62ACE" w:rsidRPr="00E04A3E" w:rsidRDefault="00000000">
      <w:pPr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pict w14:anchorId="5A0C7BFF">
          <v:rect id="_x0000_i1036" style="width:0;height:1.5pt" o:hralign="center" o:hrstd="t" o:hr="t" fillcolor="#a0a0a0" stroked="f"/>
        </w:pict>
      </w:r>
    </w:p>
    <w:p w14:paraId="07CA7021" w14:textId="6EBA29F1" w:rsidR="00D62ACE" w:rsidRPr="00E04A3E" w:rsidRDefault="00841C45">
      <w:pPr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E04A3E">
        <w:rPr>
          <w:rFonts w:asciiTheme="majorHAnsi" w:hAnsiTheme="majorHAnsi" w:cstheme="majorHAnsi"/>
          <w:b/>
          <w:bCs/>
          <w:sz w:val="24"/>
          <w:szCs w:val="24"/>
        </w:rPr>
        <w:t>References</w:t>
      </w:r>
    </w:p>
    <w:p w14:paraId="39CD852E" w14:textId="77777777" w:rsidR="00841C45" w:rsidRPr="00E04A3E" w:rsidRDefault="00841C45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364FFA12" w14:textId="455C3F95" w:rsidR="00841C45" w:rsidRPr="009865D3" w:rsidRDefault="00841C45">
      <w:pPr>
        <w:jc w:val="both"/>
        <w:rPr>
          <w:rFonts w:ascii="Times New Roman" w:hAnsi="Times New Roman" w:cs="Times New Roman"/>
        </w:rPr>
      </w:pPr>
      <w:r w:rsidRPr="00E04A3E">
        <w:rPr>
          <w:rFonts w:asciiTheme="majorHAnsi" w:hAnsiTheme="majorHAnsi" w:cstheme="majorHAnsi"/>
          <w:sz w:val="24"/>
          <w:szCs w:val="24"/>
        </w:rPr>
        <w:t>[1] R1-2507532: Evaluation of 6G BTS Energy, Coverage and Cost Trade-offs: OFDM vs Dual-Waveform(Low-PAPR+OFDM)</w:t>
      </w:r>
      <w:r w:rsidR="00A62299">
        <w:rPr>
          <w:rFonts w:asciiTheme="majorHAnsi" w:hAnsiTheme="majorHAnsi" w:cstheme="majorHAnsi"/>
          <w:sz w:val="24"/>
          <w:szCs w:val="24"/>
        </w:rPr>
        <w:t>-</w:t>
      </w:r>
      <w:r w:rsidRPr="00E04A3E">
        <w:rPr>
          <w:rFonts w:asciiTheme="majorHAnsi" w:hAnsiTheme="majorHAnsi" w:cstheme="majorHAnsi"/>
          <w:sz w:val="24"/>
          <w:szCs w:val="24"/>
        </w:rPr>
        <w:t>in</w:t>
      </w:r>
      <w:r w:rsidR="00A62299">
        <w:rPr>
          <w:rFonts w:asciiTheme="majorHAnsi" w:hAnsiTheme="majorHAnsi" w:cstheme="majorHAnsi"/>
          <w:sz w:val="24"/>
          <w:szCs w:val="24"/>
        </w:rPr>
        <w:t>-</w:t>
      </w:r>
      <w:r w:rsidRPr="00E04A3E">
        <w:rPr>
          <w:rFonts w:asciiTheme="majorHAnsi" w:hAnsiTheme="majorHAnsi" w:cstheme="majorHAnsi"/>
          <w:sz w:val="24"/>
          <w:szCs w:val="24"/>
        </w:rPr>
        <w:t>Downlink</w:t>
      </w:r>
      <w:r w:rsidRPr="00E04A3E">
        <w:rPr>
          <w:rFonts w:asciiTheme="majorHAnsi" w:hAnsiTheme="majorHAnsi" w:cstheme="majorHAnsi"/>
          <w:sz w:val="24"/>
          <w:szCs w:val="24"/>
        </w:rPr>
        <w:br/>
        <w:t>[2] R1-2507534: Design Principles and Evaluation KPIs for 6G Candidate Waveforms</w:t>
      </w:r>
      <w:r w:rsidRPr="00E04A3E">
        <w:rPr>
          <w:rFonts w:asciiTheme="majorHAnsi" w:hAnsiTheme="majorHAnsi" w:cstheme="majorHAnsi"/>
          <w:sz w:val="24"/>
          <w:szCs w:val="24"/>
        </w:rPr>
        <w:br/>
        <w:t>[3] R1-2507535: Link Level Evaluation of OTFDM waveform, simulation assumptions and performance</w:t>
      </w:r>
      <w:r w:rsidRPr="00E04A3E">
        <w:rPr>
          <w:rFonts w:asciiTheme="majorHAnsi" w:hAnsiTheme="majorHAnsi" w:cstheme="majorHAnsi"/>
          <w:sz w:val="24"/>
          <w:szCs w:val="24"/>
        </w:rPr>
        <w:br/>
        <w:t>[4] R1-2507537: Case for π/2-BPSK DFT-s-OFDM in 6G NR (Low PAPR, Cell-Edge Gains)</w:t>
      </w:r>
      <w:r w:rsidRPr="00E04A3E">
        <w:rPr>
          <w:rFonts w:asciiTheme="majorHAnsi" w:hAnsiTheme="majorHAnsi" w:cstheme="majorHAnsi"/>
          <w:sz w:val="24"/>
          <w:szCs w:val="24"/>
        </w:rPr>
        <w:br/>
      </w:r>
      <w:r w:rsidRPr="00EE5522">
        <w:rPr>
          <w:rFonts w:asciiTheme="minorHAnsi" w:hAnsiTheme="minorHAnsi" w:cstheme="majorHAnsi"/>
          <w:sz w:val="24"/>
          <w:szCs w:val="24"/>
        </w:rPr>
        <w:t>[5] R1-2507539: Waveform Evaluation C</w:t>
      </w:r>
      <w:r w:rsidRPr="00EE5522">
        <w:rPr>
          <w:rFonts w:asciiTheme="minorHAnsi" w:hAnsiTheme="minorHAnsi" w:cs="Times New Roman"/>
        </w:rPr>
        <w:t>onsiderations for 6G Uplink Control Channels</w:t>
      </w:r>
      <w:r w:rsidR="00EE5522" w:rsidRPr="00EE5522">
        <w:rPr>
          <w:rFonts w:asciiTheme="minorHAnsi" w:hAnsiTheme="minorHAnsi" w:cs="Times New Roman"/>
        </w:rPr>
        <w:t>.</w:t>
      </w:r>
    </w:p>
    <w:sectPr w:rsidR="00841C45" w:rsidRPr="009865D3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87506"/>
    <w:multiLevelType w:val="multilevel"/>
    <w:tmpl w:val="9266BF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251F41AB"/>
    <w:multiLevelType w:val="multilevel"/>
    <w:tmpl w:val="EFBA6A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6762CA6"/>
    <w:multiLevelType w:val="multilevel"/>
    <w:tmpl w:val="26306F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27785384"/>
    <w:multiLevelType w:val="multilevel"/>
    <w:tmpl w:val="58A882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380A0E2C"/>
    <w:multiLevelType w:val="multilevel"/>
    <w:tmpl w:val="C60686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39996CE5"/>
    <w:multiLevelType w:val="multilevel"/>
    <w:tmpl w:val="CE02D3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45760DD3"/>
    <w:multiLevelType w:val="multilevel"/>
    <w:tmpl w:val="39E8D8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587B3316"/>
    <w:multiLevelType w:val="multilevel"/>
    <w:tmpl w:val="44AE4C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5A890A0B"/>
    <w:multiLevelType w:val="multilevel"/>
    <w:tmpl w:val="C9DC7E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5E3323AC"/>
    <w:multiLevelType w:val="multilevel"/>
    <w:tmpl w:val="61847C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72700510"/>
    <w:multiLevelType w:val="multilevel"/>
    <w:tmpl w:val="AE22FF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7BCD4907"/>
    <w:multiLevelType w:val="multilevel"/>
    <w:tmpl w:val="96385B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922104188">
    <w:abstractNumId w:val="8"/>
  </w:num>
  <w:num w:numId="2" w16cid:durableId="1029262772">
    <w:abstractNumId w:val="4"/>
  </w:num>
  <w:num w:numId="3" w16cid:durableId="1163736188">
    <w:abstractNumId w:val="5"/>
  </w:num>
  <w:num w:numId="4" w16cid:durableId="1588684321">
    <w:abstractNumId w:val="9"/>
  </w:num>
  <w:num w:numId="5" w16cid:durableId="1360011094">
    <w:abstractNumId w:val="6"/>
  </w:num>
  <w:num w:numId="6" w16cid:durableId="938104884">
    <w:abstractNumId w:val="2"/>
  </w:num>
  <w:num w:numId="7" w16cid:durableId="638537372">
    <w:abstractNumId w:val="10"/>
  </w:num>
  <w:num w:numId="8" w16cid:durableId="1083531453">
    <w:abstractNumId w:val="0"/>
  </w:num>
  <w:num w:numId="9" w16cid:durableId="2061515459">
    <w:abstractNumId w:val="7"/>
  </w:num>
  <w:num w:numId="10" w16cid:durableId="881867115">
    <w:abstractNumId w:val="1"/>
  </w:num>
  <w:num w:numId="11" w16cid:durableId="79064377">
    <w:abstractNumId w:val="3"/>
  </w:num>
  <w:num w:numId="12" w16cid:durableId="3944025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ACE"/>
    <w:rsid w:val="00183D3D"/>
    <w:rsid w:val="003E60E9"/>
    <w:rsid w:val="00550535"/>
    <w:rsid w:val="00744BAD"/>
    <w:rsid w:val="00752572"/>
    <w:rsid w:val="007602A7"/>
    <w:rsid w:val="00841C45"/>
    <w:rsid w:val="00936508"/>
    <w:rsid w:val="009865D3"/>
    <w:rsid w:val="00A1617F"/>
    <w:rsid w:val="00A62299"/>
    <w:rsid w:val="00AF39B4"/>
    <w:rsid w:val="00C60966"/>
    <w:rsid w:val="00CD385C"/>
    <w:rsid w:val="00D33107"/>
    <w:rsid w:val="00D43931"/>
    <w:rsid w:val="00D62ACE"/>
    <w:rsid w:val="00E04A3E"/>
    <w:rsid w:val="00E327DC"/>
    <w:rsid w:val="00EE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0DFA7"/>
  <w15:docId w15:val="{7660B99F-75B1-4578-9848-50E6C53E6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IN" w:eastAsia="en-IN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2F549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</w:pPr>
    <w:rPr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color w:val="595959"/>
      <w:sz w:val="28"/>
      <w:szCs w:val="2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kiran kumar kuchi</dc:creator>
  <cp:lastModifiedBy>kiran kumar kuchi</cp:lastModifiedBy>
  <cp:revision>10</cp:revision>
  <dcterms:created xsi:type="dcterms:W3CDTF">2025-10-02T09:45:00Z</dcterms:created>
  <dcterms:modified xsi:type="dcterms:W3CDTF">2025-10-03T02:40:00Z</dcterms:modified>
</cp:coreProperties>
</file>