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mobility enhancements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Early Data Forwarding for subsequent MCG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(NEC, Huawei, Google, Jio Platforms, Qualcomm Inc, Nokia, Samsung, Lenovo, CATT, LG Electronics, Ericsson, ZTE, Ofinno)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SN initiated inter-SN SCG LTM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(Ofinno, Ericsson, CATT, Qualcomm, Huawei, Google, LG Electronics, Nokia, Samsung, Lenovo, China Telecom)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L2 reset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Google, Lenovo, Samsung, Ofinno, LG Electronics, 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stage-2 in Rel-19 Mobility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9.2.3.1, 9.2.3.5.2, 9.2.3.7.1, 9.2.4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Early Data Forwarding for subsequent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(NEC, Huawei, Google, Jio Platforms, Qualcomm Inc, Nokia, Samsung, Lenovo, CATT, LG Electronics, Ericsson, ZTE, Ofinno)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Rel-19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Jio Platforms, CATT, China Telecom, Lenovo, LG Electronics, Nokia, ZTE, Samsung, Ofinno)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(LG Electronics, Ericsson, Jio Platforms, Verizon Wireless, ZTE, CATT, China Telecom,  Google, Huawei, NEC, Nokia, NTT Docomo, Ofinno, Qualcomm, Samsung, Lenovo)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38.401 CR 0505TS 38.423 CR 1596TS 38.473 CR 1638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L2 reset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Google, Lenovo, CATT, Samsung, LG Electronics, Nokia, Ofinno)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MAC for Mob Ph4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5.2b, 5.4.4, 5.12, 5.18.38, 5.35.1, 5.35.2, 5.35.3.1, 5.35.3.2, 5.35.3.3, 5.35.3.4, 5.35.3.5, 5.35.4, 5.36.1, 5.36.2, 5.36.3, 6.1.3.12a, 6.1.3.84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RRC for mobility enhancements Phase 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RP-253728</vt:lpwstr>
  </property>
  <property fmtid="{D5CDD505-2E9C-101B-9397-08002B2CF9AE}" pid="19" name="CrpackTitle">
    <vt:lpwstr>NR mobility enhancements Phase 4</vt:lpwstr>
  </property>
  <property fmtid="{D5CDD505-2E9C-101B-9397-08002B2CF9AE}" pid="20" name="Agenda#">
    <vt:lpwstr>9.9.2.1</vt:lpwstr>
  </property>
  <property fmtid="{D5CDD505-2E9C-101B-9397-08002B2CF9AE}" pid="21" name="Source">
    <vt:lpwstr>RAN2</vt:lpwstr>
  </property>
</Properties>
</file>