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RP-253724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RAN2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Evolution of NR duplex operation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9.9.1.2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RO type selection for both CFRA and CBRA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R2-2509179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CATT, Ericsson,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to UE-to-UE CLI mitigation in SBFD operation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R2-2509435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R3 (Huawei, CATT, China Unicom, Ericsson)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17.2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38.321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2126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MAC spec for R19 SBFD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R2-2508176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 (Rapporteur)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5.1.1, 5.1.4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38.321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2138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for RO type indication in (enhanced) LTM MAC 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R2-2508177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 (Rapporteur)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NR_duplex_evo-Core, NR_Mob_Ph4-Core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5.1.1, 6.1.3.75, 6.1.3.75a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5499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WI SBFD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R2-2509396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 (Rapporteur)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6.3.2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RP-253724</vt:lpwstr>
  </property>
  <property fmtid="{D5CDD505-2E9C-101B-9397-08002B2CF9AE}" pid="19" name="CrpackTitle">
    <vt:lpwstr>Evolution of NR duplex operation</vt:lpwstr>
  </property>
  <property fmtid="{D5CDD505-2E9C-101B-9397-08002B2CF9AE}" pid="20" name="Agenda#">
    <vt:lpwstr>9.9.1.2</vt:lpwstr>
  </property>
  <property fmtid="{D5CDD505-2E9C-101B-9397-08002B2CF9AE}" pid="21" name="Source">
    <vt:lpwstr>RAN2</vt:lpwstr>
  </property>
</Properties>
</file>