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3FBE9">
      <w:pPr>
        <w:pStyle w:val="81"/>
        <w:spacing w:after="0"/>
        <w:rPr>
          <w:rFonts w:hint="default" w:ascii="Arial" w:hAnsi="Arial" w:eastAsia="宋体" w:cs="Arial"/>
          <w:color w:val="000000" w:themeColor="text1"/>
          <w:sz w:val="22"/>
          <w:lang w:val="en-US" w:eastAsia="zh-CN"/>
          <w14:textFill>
            <w14:solidFill>
              <w14:schemeClr w14:val="tx1"/>
            </w14:solidFill>
          </w14:textFill>
        </w:rPr>
      </w:pPr>
      <w:bookmarkStart w:id="0" w:name="OLE_LINK3"/>
      <w:r>
        <w:rPr>
          <w:rFonts w:ascii="Arial" w:hAnsi="Arial" w:cs="Arial"/>
          <w:color w:val="000000" w:themeColor="text1"/>
          <w:sz w:val="22"/>
          <w:lang w:val="en-US"/>
          <w14:textFill>
            <w14:solidFill>
              <w14:schemeClr w14:val="tx1"/>
            </w14:solidFill>
          </w14:textFill>
        </w:rPr>
        <w:t xml:space="preserve">3GPP TSG RAN </w:t>
      </w:r>
      <w:r>
        <w:rPr>
          <w:rFonts w:hint="eastAsia" w:ascii="Arial" w:hAnsi="Arial" w:cs="Arial"/>
          <w:color w:val="000000" w:themeColor="text1"/>
          <w:sz w:val="22"/>
          <w:lang w:val="en-US"/>
          <w14:textFill>
            <w14:solidFill>
              <w14:schemeClr w14:val="tx1"/>
            </w14:solidFill>
          </w14:textFill>
        </w:rPr>
        <w:t>Meeting #1</w:t>
      </w:r>
      <w:r>
        <w:rPr>
          <w:rFonts w:hint="eastAsia" w:ascii="Arial" w:hAnsi="Arial" w:eastAsia="宋体" w:cs="Arial"/>
          <w:color w:val="000000" w:themeColor="text1"/>
          <w:sz w:val="22"/>
          <w:lang w:val="en-US"/>
          <w14:textFill>
            <w14:solidFill>
              <w14:schemeClr w14:val="tx1"/>
            </w14:solidFill>
          </w14:textFill>
        </w:rPr>
        <w:t>10</w:t>
      </w:r>
      <w:r>
        <w:rPr>
          <w:rFonts w:ascii="Arial" w:hAnsi="Arial" w:cs="Arial"/>
          <w:color w:val="000000" w:themeColor="text1"/>
          <w:sz w:val="22"/>
          <w:lang w:val="en-US"/>
          <w14:textFill>
            <w14:solidFill>
              <w14:schemeClr w14:val="tx1"/>
            </w14:solidFill>
          </w14:textFill>
        </w:rPr>
        <w:tab/>
      </w:r>
      <w:r>
        <w:rPr>
          <w:rFonts w:hint="eastAsia" w:ascii="Arial" w:hAnsi="Arial" w:cs="Arial"/>
          <w:color w:val="000000" w:themeColor="text1"/>
          <w:sz w:val="22"/>
          <w:lang w:val="en-US"/>
          <w14:textFill>
            <w14:solidFill>
              <w14:schemeClr w14:val="tx1"/>
            </w14:solidFill>
          </w14:textFill>
        </w:rPr>
        <w:t>RP-25</w:t>
      </w:r>
      <w:r>
        <w:rPr>
          <w:rFonts w:hint="eastAsia" w:ascii="Arial" w:hAnsi="Arial" w:eastAsia="宋体" w:cs="Arial"/>
          <w:color w:val="000000" w:themeColor="text1"/>
          <w:sz w:val="22"/>
          <w:lang w:val="en-US" w:eastAsia="zh-CN"/>
          <w14:textFill>
            <w14:solidFill>
              <w14:schemeClr w14:val="tx1"/>
            </w14:solidFill>
          </w14:textFill>
        </w:rPr>
        <w:t>3476</w:t>
      </w:r>
    </w:p>
    <w:p w14:paraId="5AE3F714">
      <w:pPr>
        <w:pStyle w:val="81"/>
        <w:spacing w:after="0"/>
        <w:rPr>
          <w:rFonts w:ascii="Arial" w:hAnsi="Arial" w:eastAsia="宋体" w:cs="Arial"/>
          <w:sz w:val="22"/>
          <w:lang w:val="en-US"/>
        </w:rPr>
      </w:pPr>
      <w:r>
        <w:rPr>
          <w:rFonts w:hint="eastAsia" w:ascii="Arial" w:hAnsi="Arial" w:eastAsia="宋体" w:cs="Arial"/>
          <w:sz w:val="22"/>
          <w:lang w:val="en-US"/>
        </w:rPr>
        <w:t>Baltimore, USA, December 8-11, 2025</w:t>
      </w:r>
    </w:p>
    <w:bookmarkEnd w:id="0"/>
    <w:p w14:paraId="768AA782">
      <w:pPr>
        <w:pStyle w:val="24"/>
        <w:rPr>
          <w:rFonts w:eastAsia="MS Mincho"/>
          <w:bCs/>
          <w:sz w:val="24"/>
          <w:lang w:val="en-US"/>
        </w:rPr>
      </w:pPr>
    </w:p>
    <w:p w14:paraId="40491FFC">
      <w:pPr>
        <w:pStyle w:val="72"/>
        <w:tabs>
          <w:tab w:val="left" w:pos="1985"/>
        </w:tabs>
        <w:rPr>
          <w:rFonts w:eastAsia="宋体" w:cs="Arial"/>
          <w:b/>
          <w:bCs/>
          <w:sz w:val="24"/>
          <w:lang w:val="en-US" w:eastAsia="zh-CN"/>
        </w:rPr>
      </w:pPr>
      <w:r>
        <w:rPr>
          <w:rFonts w:cs="Arial"/>
          <w:b/>
          <w:bCs/>
          <w:sz w:val="24"/>
        </w:rPr>
        <w:t>Agenda item:</w:t>
      </w:r>
      <w:r>
        <w:rPr>
          <w:rFonts w:cs="Arial"/>
          <w:b/>
          <w:bCs/>
          <w:sz w:val="24"/>
        </w:rPr>
        <w:tab/>
      </w:r>
      <w:r>
        <w:rPr>
          <w:rFonts w:hint="eastAsia" w:eastAsia="宋体" w:cs="Arial"/>
          <w:b/>
          <w:bCs/>
          <w:sz w:val="24"/>
          <w:lang w:val="en-US" w:eastAsia="zh-CN"/>
        </w:rPr>
        <w:t>9.2.3</w:t>
      </w:r>
    </w:p>
    <w:p w14:paraId="505CE6D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14:paraId="17103C84">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Consideration on coexistence of A-IoT and legacy network</w:t>
      </w:r>
    </w:p>
    <w:p w14:paraId="64EE6433">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2886E6F9">
      <w:pPr>
        <w:pStyle w:val="2"/>
        <w:numPr>
          <w:ilvl w:val="0"/>
          <w:numId w:val="2"/>
        </w:numPr>
      </w:pPr>
      <w:r>
        <w:t>Introduction</w:t>
      </w:r>
    </w:p>
    <w:p w14:paraId="630BAB3F">
      <w:pPr>
        <w:rPr>
          <w:lang w:val="en-GB" w:eastAsia="zh-CN"/>
        </w:rPr>
      </w:pPr>
      <w:r>
        <w:rPr>
          <w:rFonts w:hint="eastAsia"/>
          <w:lang w:val="en-GB" w:eastAsia="zh-CN"/>
        </w:rPr>
        <w:t xml:space="preserve">Rel-20 Ambient IoT </w:t>
      </w:r>
      <w:r>
        <w:rPr>
          <w:rFonts w:hint="eastAsia"/>
          <w:lang w:val="en-US" w:eastAsia="zh-CN"/>
        </w:rPr>
        <w:t>will</w:t>
      </w:r>
      <w:r>
        <w:rPr>
          <w:rFonts w:hint="eastAsia"/>
          <w:lang w:val="en-GB" w:eastAsia="zh-CN"/>
        </w:rPr>
        <w:t xml:space="preserve"> support various scenarios including </w:t>
      </w:r>
      <w:r>
        <w:rPr>
          <w:rFonts w:hint="eastAsia"/>
          <w:lang w:eastAsia="zh-CN"/>
        </w:rPr>
        <w:t>o</w:t>
      </w:r>
      <w:r>
        <w:rPr>
          <w:lang w:eastAsia="zh-CN"/>
        </w:rPr>
        <w:t>utdoor scenarios and use cases</w:t>
      </w:r>
      <w:r>
        <w:rPr>
          <w:rFonts w:hint="eastAsia"/>
          <w:lang w:val="en-US" w:eastAsia="zh-CN"/>
        </w:rPr>
        <w:t>, and type 2B/C</w:t>
      </w:r>
      <w:r>
        <w:rPr>
          <w:lang w:eastAsia="zh-CN"/>
        </w:rPr>
        <w:t xml:space="preserve"> devices </w:t>
      </w:r>
      <w:r>
        <w:rPr>
          <w:rFonts w:hint="eastAsia"/>
          <w:lang w:val="en-US" w:eastAsia="zh-CN"/>
        </w:rPr>
        <w:t>do</w:t>
      </w:r>
      <w:r>
        <w:rPr>
          <w:rFonts w:hint="eastAsia"/>
          <w:lang w:eastAsia="zh-CN"/>
        </w:rPr>
        <w:t xml:space="preserve"> </w:t>
      </w:r>
      <w:r>
        <w:rPr>
          <w:lang w:eastAsia="zh-CN"/>
        </w:rPr>
        <w:t>not rely on backscattering</w:t>
      </w:r>
      <w:r>
        <w:rPr>
          <w:rFonts w:hint="eastAsia"/>
          <w:lang w:eastAsia="zh-CN"/>
        </w:rPr>
        <w:t xml:space="preserve">. </w:t>
      </w:r>
      <w:r>
        <w:rPr>
          <w:rFonts w:hint="eastAsia"/>
          <w:lang w:val="en-US" w:eastAsia="zh-CN"/>
        </w:rPr>
        <w:t>So d</w:t>
      </w:r>
      <w:r>
        <w:rPr>
          <w:rFonts w:hint="eastAsia"/>
          <w:lang w:eastAsia="zh-CN"/>
        </w:rPr>
        <w:t xml:space="preserve">eployment Rel-20 Ambient IoT network and devices should </w:t>
      </w:r>
      <w:r>
        <w:rPr>
          <w:lang w:eastAsia="zh-CN"/>
        </w:rPr>
        <w:t>consider</w:t>
      </w:r>
      <w:r>
        <w:rPr>
          <w:rFonts w:hint="eastAsia"/>
          <w:lang w:eastAsia="zh-CN"/>
        </w:rPr>
        <w:t xml:space="preserve"> existing operators</w:t>
      </w:r>
      <w:r>
        <w:rPr>
          <w:lang w:eastAsia="zh-CN"/>
        </w:rPr>
        <w:t>’</w:t>
      </w:r>
      <w:r>
        <w:rPr>
          <w:rFonts w:hint="eastAsia"/>
          <w:lang w:eastAsia="zh-CN"/>
        </w:rPr>
        <w:t xml:space="preserve"> deployment.</w:t>
      </w:r>
      <w:r>
        <w:rPr>
          <w:rFonts w:hint="eastAsia"/>
          <w:lang w:val="en-US" w:eastAsia="zh-CN"/>
        </w:rPr>
        <w:t xml:space="preserve"> </w:t>
      </w:r>
      <w:r>
        <w:rPr>
          <w:rFonts w:hint="eastAsia" w:eastAsia="等线"/>
          <w:lang w:eastAsia="zh-CN"/>
        </w:rPr>
        <w:t xml:space="preserve">NB-IoT deployment will continue to exist for a long time, so the coexistence with NB-IoT should be considered. </w:t>
      </w:r>
    </w:p>
    <w:p w14:paraId="6EF6276F">
      <w:pPr>
        <w:pStyle w:val="2"/>
        <w:numPr>
          <w:ilvl w:val="0"/>
          <w:numId w:val="2"/>
        </w:numPr>
        <w:rPr>
          <w:lang w:eastAsia="zh-CN"/>
        </w:rPr>
      </w:pPr>
      <w:r>
        <w:rPr>
          <w:rFonts w:hint="eastAsia"/>
          <w:lang w:eastAsia="zh-CN"/>
        </w:rPr>
        <w:t>Deployment of Ambient -IoT Network</w:t>
      </w:r>
    </w:p>
    <w:p w14:paraId="7988C329">
      <w:pPr>
        <w:rPr>
          <w:lang w:eastAsia="zh-CN"/>
        </w:rPr>
      </w:pPr>
      <w:r>
        <w:rPr>
          <w:lang w:eastAsia="zh-CN"/>
        </w:rPr>
        <w:t>The vast majority of IoT networks are highly cost-sensitive, often operating on significantly lower ARPU compared to traditional smartphone networks. Given these financial constraints, it is particularly advantageous to explore deployment strategies that leverage existing network infrastructure and spectrum allocation. This approach can effectively reduce both CAPEX and OPEX. From a maintenance standpoint, utilizing established networks minimizes the need for extensive new hardware installations and ongoing maintenance efforts, thereby further optimizing operational costs and ensuring long-term sustainability.</w:t>
      </w:r>
    </w:p>
    <w:p w14:paraId="14615BD1">
      <w:pPr>
        <w:rPr>
          <w:b/>
          <w:bCs/>
          <w:u w:val="single"/>
          <w:lang w:eastAsia="zh-CN"/>
        </w:rPr>
      </w:pPr>
      <w:r>
        <w:rPr>
          <w:b/>
          <w:bCs/>
          <w:u w:val="single"/>
          <w:lang w:eastAsia="zh-CN"/>
        </w:rPr>
        <w:t>Spectrum perspective</w:t>
      </w:r>
    </w:p>
    <w:p w14:paraId="64948D19">
      <w:pPr>
        <w:rPr>
          <w:lang w:val="en-GB" w:eastAsia="zh-CN"/>
        </w:rPr>
      </w:pPr>
      <w:r>
        <w:rPr>
          <w:rFonts w:hint="eastAsia"/>
          <w:lang w:val="en-GB" w:eastAsia="zh-CN"/>
        </w:rPr>
        <w:t xml:space="preserve">Most of the interested carrier frequency for </w:t>
      </w:r>
      <w:r>
        <w:rPr>
          <w:rFonts w:hint="eastAsia"/>
          <w:lang w:val="en-US" w:eastAsia="zh-CN"/>
        </w:rPr>
        <w:t>A</w:t>
      </w:r>
      <w:r>
        <w:rPr>
          <w:rFonts w:hint="eastAsia"/>
          <w:lang w:val="en-GB" w:eastAsia="zh-CN"/>
        </w:rPr>
        <w:t xml:space="preserve">mbient-IoT is 900MHz, as discussed in WGs, which </w:t>
      </w:r>
      <w:r>
        <w:rPr>
          <w:rFonts w:hint="eastAsia"/>
          <w:lang w:val="en-US" w:eastAsia="zh-CN"/>
        </w:rPr>
        <w:t>is</w:t>
      </w:r>
      <w:r>
        <w:rPr>
          <w:rFonts w:hint="eastAsia"/>
          <w:lang w:val="en-GB" w:eastAsia="zh-CN"/>
        </w:rPr>
        <w:t xml:space="preserve"> targeting for global usage and better coverage in practice.</w:t>
      </w:r>
    </w:p>
    <w:p w14:paraId="4EA927F1">
      <w:pPr>
        <w:rPr>
          <w:lang w:val="en-GB" w:eastAsia="zh-CN"/>
        </w:rPr>
      </w:pPr>
      <w:r>
        <w:drawing>
          <wp:inline distT="0" distB="0" distL="0" distR="0">
            <wp:extent cx="6122035" cy="307340"/>
            <wp:effectExtent l="0" t="0" r="0" b="0"/>
            <wp:docPr id="1589822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822344" name="Picture 1"/>
                    <pic:cNvPicPr>
                      <a:picLocks noChangeAspect="1"/>
                    </pic:cNvPicPr>
                  </pic:nvPicPr>
                  <pic:blipFill>
                    <a:blip r:embed="rId5"/>
                    <a:stretch>
                      <a:fillRect/>
                    </a:stretch>
                  </pic:blipFill>
                  <pic:spPr>
                    <a:xfrm>
                      <a:off x="0" y="0"/>
                      <a:ext cx="6122035" cy="307340"/>
                    </a:xfrm>
                    <a:prstGeom prst="rect">
                      <a:avLst/>
                    </a:prstGeom>
                  </pic:spPr>
                </pic:pic>
              </a:graphicData>
            </a:graphic>
          </wp:inline>
        </w:drawing>
      </w:r>
    </w:p>
    <w:p w14:paraId="7B03A960">
      <w:pPr>
        <w:rPr>
          <w:lang w:eastAsia="zh-CN"/>
        </w:rPr>
      </w:pPr>
      <w:r>
        <w:rPr>
          <w:rFonts w:hint="eastAsia"/>
          <w:lang w:val="en-GB" w:eastAsia="zh-CN"/>
        </w:rPr>
        <w:t xml:space="preserve">For 900MHz, </w:t>
      </w:r>
      <w:r>
        <w:rPr>
          <w:lang w:eastAsia="zh-CN"/>
        </w:rPr>
        <w:t>LTE FDD</w:t>
      </w:r>
      <w:r>
        <w:rPr>
          <w:rFonts w:hint="eastAsia"/>
          <w:lang w:eastAsia="zh-CN"/>
        </w:rPr>
        <w:t>(</w:t>
      </w:r>
      <w:r>
        <w:rPr>
          <w:lang w:eastAsia="zh-CN"/>
        </w:rPr>
        <w:t>4G</w:t>
      </w:r>
      <w:r>
        <w:rPr>
          <w:rFonts w:hint="eastAsia"/>
          <w:lang w:eastAsia="zh-CN"/>
        </w:rPr>
        <w:t xml:space="preserve">), </w:t>
      </w:r>
      <w:r>
        <w:rPr>
          <w:lang w:eastAsia="zh-CN"/>
        </w:rPr>
        <w:t>GSM</w:t>
      </w:r>
      <w:r>
        <w:rPr>
          <w:rFonts w:hint="eastAsia"/>
          <w:lang w:eastAsia="zh-CN"/>
        </w:rPr>
        <w:t xml:space="preserve"> and </w:t>
      </w:r>
      <w:r>
        <w:rPr>
          <w:lang w:eastAsia="zh-CN"/>
        </w:rPr>
        <w:t>NB-IoT</w:t>
      </w:r>
      <w:r>
        <w:rPr>
          <w:rFonts w:hint="eastAsia"/>
          <w:lang w:eastAsia="zh-CN"/>
        </w:rPr>
        <w:t xml:space="preserve"> are deployed in CMCC network. C</w:t>
      </w:r>
      <w:r>
        <w:rPr>
          <w:lang w:eastAsia="zh-CN"/>
        </w:rPr>
        <w:t>o</w:t>
      </w:r>
      <w:r>
        <w:rPr>
          <w:rFonts w:hint="eastAsia"/>
          <w:lang w:eastAsia="zh-CN"/>
        </w:rPr>
        <w:t xml:space="preserve">nsidering future potential refarming, 5G can also be possible.  </w:t>
      </w:r>
    </w:p>
    <w:p w14:paraId="739D5F7E">
      <w:pPr>
        <w:rPr>
          <w:b/>
          <w:bCs/>
          <w:u w:val="single"/>
          <w:lang w:val="en-GB" w:eastAsia="zh-CN"/>
        </w:rPr>
      </w:pPr>
      <w:r>
        <w:rPr>
          <w:b/>
          <w:bCs/>
          <w:u w:val="single"/>
          <w:lang w:val="en-GB" w:eastAsia="zh-CN"/>
        </w:rPr>
        <w:t>Upgrading perspective</w:t>
      </w:r>
    </w:p>
    <w:p w14:paraId="748C6DB1">
      <w:pPr>
        <w:rPr>
          <w:lang w:eastAsia="zh-CN"/>
        </w:rPr>
      </w:pPr>
      <w:r>
        <w:rPr>
          <w:lang w:eastAsia="zh-CN"/>
        </w:rPr>
        <w:t xml:space="preserve">The </w:t>
      </w:r>
      <w:r>
        <w:rPr>
          <w:rFonts w:hint="eastAsia"/>
          <w:lang w:eastAsia="zh-CN"/>
        </w:rPr>
        <w:t>expected</w:t>
      </w:r>
      <w:r>
        <w:rPr>
          <w:lang w:eastAsia="zh-CN"/>
        </w:rPr>
        <w:t xml:space="preserve"> upgrade of legacy networks to support Ambient-IoT represents a strategic move towards enhancing connectivity and efficiency in the Internet of Things ecosystem. Here are detailed considerations for different network upgrades:</w:t>
      </w:r>
    </w:p>
    <w:p w14:paraId="4A591576">
      <w:pPr>
        <w:pStyle w:val="73"/>
        <w:numPr>
          <w:ilvl w:val="0"/>
          <w:numId w:val="3"/>
        </w:numPr>
        <w:rPr>
          <w:b/>
          <w:bCs/>
          <w:lang w:eastAsia="zh-CN"/>
        </w:rPr>
      </w:pPr>
      <w:r>
        <w:rPr>
          <w:b/>
          <w:bCs/>
          <w:lang w:eastAsia="zh-CN"/>
        </w:rPr>
        <w:t>Upgrading from 2G Networks</w:t>
      </w:r>
    </w:p>
    <w:p w14:paraId="56993AF0">
      <w:pPr>
        <w:rPr>
          <w:lang w:eastAsia="zh-CN"/>
        </w:rPr>
      </w:pPr>
      <w:r>
        <w:rPr>
          <w:lang w:eastAsia="zh-CN"/>
        </w:rPr>
        <w:t>Upgrading from 2G networks to support Ambient-IoT is not considered a viable option. This decision is primarily driven by the fact that 2G networks are expected to be phased out in the near future. As a result, investing in upgrades from 2G infrastructure would not only be economically inefficient but also counterproductive in the long run, given the rapid evolution of communication technologies.</w:t>
      </w:r>
    </w:p>
    <w:p w14:paraId="4F76F8AE">
      <w:pPr>
        <w:pStyle w:val="73"/>
        <w:numPr>
          <w:ilvl w:val="0"/>
          <w:numId w:val="3"/>
        </w:numPr>
        <w:rPr>
          <w:b/>
          <w:bCs/>
          <w:lang w:eastAsia="zh-CN"/>
        </w:rPr>
      </w:pPr>
      <w:r>
        <w:rPr>
          <w:b/>
          <w:bCs/>
          <w:lang w:eastAsia="zh-CN"/>
        </w:rPr>
        <w:t>Upgrading from NB-IoT Networks</w:t>
      </w:r>
    </w:p>
    <w:p w14:paraId="222F0FD7">
      <w:pPr>
        <w:rPr>
          <w:lang w:eastAsia="zh-CN"/>
        </w:rPr>
      </w:pPr>
      <w:r>
        <w:rPr>
          <w:lang w:eastAsia="zh-CN"/>
        </w:rPr>
        <w:t xml:space="preserve">Upgrading from NB-IoT networks to support Ambient-IoT is of particular interest. NB-IoT and Ambient-IoT share similarities in transmission bandwidth, which makes the transition more seamless and technically feasible. In </w:t>
      </w:r>
      <w:r>
        <w:rPr>
          <w:rFonts w:hint="eastAsia"/>
          <w:lang w:val="en-US" w:eastAsia="zh-CN"/>
        </w:rPr>
        <w:t>practical</w:t>
      </w:r>
      <w:r>
        <w:rPr>
          <w:lang w:eastAsia="zh-CN"/>
        </w:rPr>
        <w:t xml:space="preserve"> deployments, many NB-IoT networks experience relatively low traffic loads. This presents an opportunity to share the existing NB-IoT infrastructure with Ambient-IoT, thereby optimizing resource utilization and reducing the need for additional hardware investments. This shared approach can be highly beneficial in scenarios where both technologies coexist, allowing for more efficient spectrum and hardware utilization.</w:t>
      </w:r>
    </w:p>
    <w:p w14:paraId="027F82C7">
      <w:pPr>
        <w:pStyle w:val="73"/>
        <w:numPr>
          <w:ilvl w:val="0"/>
          <w:numId w:val="3"/>
        </w:numPr>
        <w:rPr>
          <w:b/>
          <w:bCs/>
          <w:lang w:eastAsia="zh-CN"/>
        </w:rPr>
      </w:pPr>
      <w:r>
        <w:rPr>
          <w:b/>
          <w:bCs/>
          <w:lang w:eastAsia="zh-CN"/>
        </w:rPr>
        <w:t>Upgrading from 4G</w:t>
      </w:r>
      <w:r>
        <w:rPr>
          <w:rFonts w:hint="eastAsia"/>
          <w:b/>
          <w:bCs/>
          <w:lang w:eastAsia="zh-CN"/>
        </w:rPr>
        <w:t>/5G</w:t>
      </w:r>
      <w:r>
        <w:rPr>
          <w:b/>
          <w:bCs/>
          <w:lang w:eastAsia="zh-CN"/>
        </w:rPr>
        <w:t xml:space="preserve"> Networks</w:t>
      </w:r>
    </w:p>
    <w:p w14:paraId="70C8AD55">
      <w:pPr>
        <w:rPr>
          <w:lang w:eastAsia="zh-CN"/>
        </w:rPr>
      </w:pPr>
      <w:r>
        <w:rPr>
          <w:lang w:eastAsia="zh-CN"/>
        </w:rPr>
        <w:t>Upgrading from 4G</w:t>
      </w:r>
      <w:r>
        <w:rPr>
          <w:rFonts w:hint="eastAsia"/>
          <w:lang w:eastAsia="zh-CN"/>
        </w:rPr>
        <w:t>/5G</w:t>
      </w:r>
      <w:r>
        <w:rPr>
          <w:lang w:eastAsia="zh-CN"/>
        </w:rPr>
        <w:t xml:space="preserve"> networks to support Ambient-IoT is also a promising option. The hardware of 4G</w:t>
      </w:r>
      <w:r>
        <w:rPr>
          <w:rFonts w:hint="eastAsia"/>
          <w:lang w:eastAsia="zh-CN"/>
        </w:rPr>
        <w:t>/5G</w:t>
      </w:r>
      <w:r>
        <w:rPr>
          <w:lang w:eastAsia="zh-CN"/>
        </w:rPr>
        <w:t xml:space="preserve"> networks is sufficiently powerful to handle the processing requirements of Ambient-IoT, ensuring robust and reliable connectivity. However, it is important to note that 4G</w:t>
      </w:r>
      <w:r>
        <w:rPr>
          <w:rFonts w:hint="eastAsia"/>
          <w:lang w:eastAsia="zh-CN"/>
        </w:rPr>
        <w:t>/5G</w:t>
      </w:r>
      <w:r>
        <w:rPr>
          <w:lang w:eastAsia="zh-CN"/>
        </w:rPr>
        <w:t xml:space="preserve"> networks operate on a wider bandwidth compared to Ambient-IoT, which is a narrowband transmission system (e.g., a 1 PRB system with 180 kHz). This wider bandwidth may result in a lower Power Spectral Density (PSD) for Ambient-IoT downlink transmission compared to 4G</w:t>
      </w:r>
      <w:r>
        <w:rPr>
          <w:rFonts w:hint="eastAsia"/>
          <w:lang w:eastAsia="zh-CN"/>
        </w:rPr>
        <w:t>/5G</w:t>
      </w:r>
      <w:r>
        <w:rPr>
          <w:lang w:eastAsia="zh-CN"/>
        </w:rPr>
        <w:t>. Despite this, the existing 4G</w:t>
      </w:r>
      <w:r>
        <w:rPr>
          <w:rFonts w:hint="eastAsia"/>
          <w:lang w:eastAsia="zh-CN"/>
        </w:rPr>
        <w:t>/5G</w:t>
      </w:r>
      <w:r>
        <w:rPr>
          <w:lang w:eastAsia="zh-CN"/>
        </w:rPr>
        <w:t xml:space="preserve"> infrastructure can still serve as a strong foundation for Ambient-IoT deployment, especially when considering the cost and time savings associated with leveraging existing hardware.</w:t>
      </w:r>
    </w:p>
    <w:p w14:paraId="5636E33C">
      <w:pPr>
        <w:rPr>
          <w:b/>
          <w:bCs/>
          <w:lang w:eastAsia="zh-CN"/>
        </w:rPr>
      </w:pPr>
      <w:r>
        <w:rPr>
          <w:b/>
          <w:bCs/>
          <w:lang w:eastAsia="zh-CN"/>
        </w:rPr>
        <w:t>Observations</w:t>
      </w:r>
      <w:r>
        <w:rPr>
          <w:rFonts w:hint="eastAsia"/>
          <w:b/>
          <w:bCs/>
          <w:lang w:eastAsia="zh-CN"/>
        </w:rPr>
        <w:t xml:space="preserve"> 1:</w:t>
      </w:r>
    </w:p>
    <w:p w14:paraId="61F587A2">
      <w:pPr>
        <w:rPr>
          <w:b/>
          <w:bCs/>
          <w:lang w:val="en-US" w:eastAsia="zh-CN"/>
        </w:rPr>
      </w:pPr>
      <w:r>
        <w:rPr>
          <w:b/>
          <w:bCs/>
          <w:lang w:eastAsia="zh-CN"/>
        </w:rPr>
        <w:t>The upgrade path for Ambient-IoT should be carefully evaluated based on the existing network infrastructure and its compatibility with the specific requirements of Ambient-IoT. While upgrading from NB-IoT and 4G networks presents immediate opportunities, the potential of 5G networks should not be overlooked, especially considering its advanced features and future-proof capabilities.</w:t>
      </w:r>
    </w:p>
    <w:p w14:paraId="0180DB59">
      <w:pPr>
        <w:rPr>
          <w:b/>
          <w:bCs/>
          <w:lang w:val="en-GB" w:eastAsia="zh-CN"/>
        </w:rPr>
      </w:pPr>
      <w:r>
        <w:rPr>
          <w:b/>
          <w:bCs/>
          <w:lang w:val="en-GB" w:eastAsia="zh-CN"/>
        </w:rPr>
        <w:t xml:space="preserve">Proposal </w:t>
      </w:r>
      <w:r>
        <w:rPr>
          <w:rFonts w:hint="eastAsia"/>
          <w:b/>
          <w:bCs/>
          <w:lang w:val="en-GB" w:eastAsia="zh-CN"/>
        </w:rPr>
        <w:t>1</w:t>
      </w:r>
      <w:r>
        <w:rPr>
          <w:b/>
          <w:bCs/>
          <w:lang w:val="en-GB" w:eastAsia="zh-CN"/>
        </w:rPr>
        <w:t>: Upgrading of the legacy network (e.g., NB-IoT or 4G</w:t>
      </w:r>
      <w:r>
        <w:rPr>
          <w:rFonts w:hint="eastAsia"/>
          <w:b/>
          <w:bCs/>
          <w:lang w:val="en-GB" w:eastAsia="zh-CN"/>
        </w:rPr>
        <w:t>/5G</w:t>
      </w:r>
      <w:r>
        <w:rPr>
          <w:b/>
          <w:bCs/>
          <w:lang w:val="en-GB" w:eastAsia="zh-CN"/>
        </w:rPr>
        <w:t xml:space="preserve">) to support Ambient-IoT network from RAN perspective is considered. </w:t>
      </w:r>
    </w:p>
    <w:p w14:paraId="6F19D34E">
      <w:pPr>
        <w:rPr>
          <w:b/>
          <w:bCs/>
          <w:u w:val="single"/>
          <w:lang w:val="en-GB" w:eastAsia="zh-CN"/>
        </w:rPr>
      </w:pPr>
      <w:r>
        <w:rPr>
          <w:rFonts w:hint="eastAsia"/>
          <w:b/>
          <w:bCs/>
          <w:u w:val="single"/>
          <w:lang w:val="en-GB" w:eastAsia="zh-CN"/>
        </w:rPr>
        <w:t>Design consideration for NB-IoT and Ambient-IoT coexistence</w:t>
      </w:r>
    </w:p>
    <w:p w14:paraId="072C4401">
      <w:pPr>
        <w:pStyle w:val="73"/>
        <w:numPr>
          <w:ilvl w:val="0"/>
          <w:numId w:val="4"/>
        </w:numPr>
        <w:rPr>
          <w:b/>
          <w:bCs/>
          <w:lang w:val="en-GB" w:eastAsia="zh-CN"/>
        </w:rPr>
      </w:pPr>
      <w:r>
        <w:rPr>
          <w:b/>
          <w:bCs/>
          <w:lang w:val="en-GB" w:eastAsia="zh-CN"/>
        </w:rPr>
        <w:t xml:space="preserve">NB-IoT and Ambient-IoT </w:t>
      </w:r>
      <w:r>
        <w:rPr>
          <w:rFonts w:hint="eastAsia"/>
          <w:b/>
          <w:bCs/>
          <w:lang w:val="en-GB" w:eastAsia="zh-CN"/>
        </w:rPr>
        <w:t>s</w:t>
      </w:r>
      <w:r>
        <w:rPr>
          <w:b/>
          <w:bCs/>
          <w:lang w:val="en-GB" w:eastAsia="zh-CN"/>
        </w:rPr>
        <w:t>pectrum</w:t>
      </w:r>
      <w:r>
        <w:rPr>
          <w:rFonts w:hint="eastAsia"/>
          <w:b/>
          <w:bCs/>
          <w:lang w:val="en-GB" w:eastAsia="zh-CN"/>
        </w:rPr>
        <w:t xml:space="preserve"> sharing</w:t>
      </w:r>
    </w:p>
    <w:p w14:paraId="5EC5001D">
      <w:pPr>
        <w:rPr>
          <w:lang w:val="en-GB" w:eastAsia="zh-CN"/>
        </w:rPr>
      </w:pPr>
      <w:r>
        <w:rPr>
          <w:rFonts w:hint="eastAsia"/>
          <w:lang w:val="en-GB" w:eastAsia="zh-CN"/>
        </w:rPr>
        <w:t xml:space="preserve">With consideration of the spectrum reuse and site upgrading of the NB-IoT network, Ambient-IoT can be deployed in a fast and cost-effective way. </w:t>
      </w:r>
    </w:p>
    <w:p w14:paraId="2D6B0654">
      <w:pPr>
        <w:rPr>
          <w:lang w:val="en-GB" w:eastAsia="zh-CN"/>
        </w:rPr>
      </w:pPr>
      <w:r>
        <w:rPr>
          <w:rFonts w:hint="eastAsia"/>
          <w:lang w:val="en-GB" w:eastAsia="zh-CN"/>
        </w:rPr>
        <w:t>Particular design should be taken into consideration in order to allow A</w:t>
      </w:r>
      <w:r>
        <w:rPr>
          <w:lang w:val="en-GB" w:eastAsia="zh-CN"/>
        </w:rPr>
        <w:t>m</w:t>
      </w:r>
      <w:r>
        <w:rPr>
          <w:rFonts w:hint="eastAsia"/>
          <w:lang w:val="en-GB" w:eastAsia="zh-CN"/>
        </w:rPr>
        <w:t>bient-IoT device to be operated and sharing spectrum with NB-IoT. A</w:t>
      </w:r>
      <w:r>
        <w:rPr>
          <w:lang w:val="en-GB" w:eastAsia="zh-CN"/>
        </w:rPr>
        <w:t>l</w:t>
      </w:r>
      <w:r>
        <w:rPr>
          <w:rFonts w:hint="eastAsia"/>
          <w:lang w:val="en-GB" w:eastAsia="zh-CN"/>
        </w:rPr>
        <w:t>ways on NB-IoT signals/channels should be avoided, such as in Table 1.</w:t>
      </w:r>
    </w:p>
    <w:p w14:paraId="086D1B0A">
      <w:pPr>
        <w:jc w:val="center"/>
        <w:rPr>
          <w:b/>
          <w:bCs/>
          <w:lang w:val="en-US" w:eastAsia="zh-CN"/>
        </w:rPr>
      </w:pPr>
      <w:r>
        <w:rPr>
          <w:b/>
          <w:bCs/>
          <w:lang w:val="en-GB" w:eastAsia="zh-CN"/>
        </w:rPr>
        <w:t>Table 1. Always on signals in NB-IOT</w:t>
      </w:r>
      <w:r>
        <w:rPr>
          <w:rFonts w:hint="eastAsia"/>
          <w:b/>
          <w:bCs/>
          <w:lang w:val="en-US" w:eastAsia="zh-CN"/>
        </w:rPr>
        <w:t>[2]</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8"/>
        <w:gridCol w:w="3909"/>
        <w:gridCol w:w="2754"/>
      </w:tblGrid>
      <w:tr w14:paraId="79AC1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tcPr>
          <w:p w14:paraId="7ED22E56">
            <w:pPr>
              <w:spacing w:after="0"/>
              <w:jc w:val="center"/>
              <w:rPr>
                <w:b/>
                <w:bCs/>
                <w:lang w:val="en-GB" w:eastAsia="zh-CN"/>
              </w:rPr>
            </w:pPr>
            <w:r>
              <w:rPr>
                <w:b/>
                <w:bCs/>
                <w:lang w:val="en-GB" w:eastAsia="zh-CN"/>
              </w:rPr>
              <w:t>Signals/channels</w:t>
            </w:r>
          </w:p>
        </w:tc>
        <w:tc>
          <w:tcPr>
            <w:tcW w:w="3909" w:type="dxa"/>
          </w:tcPr>
          <w:p w14:paraId="604888F5">
            <w:pPr>
              <w:spacing w:after="0"/>
              <w:jc w:val="center"/>
              <w:rPr>
                <w:b/>
                <w:bCs/>
                <w:lang w:val="en-GB" w:eastAsia="zh-CN"/>
              </w:rPr>
            </w:pPr>
            <w:r>
              <w:rPr>
                <w:b/>
                <w:bCs/>
                <w:lang w:val="en-GB" w:eastAsia="zh-CN"/>
              </w:rPr>
              <w:t>Characteristics</w:t>
            </w:r>
          </w:p>
        </w:tc>
        <w:tc>
          <w:tcPr>
            <w:tcW w:w="2754" w:type="dxa"/>
          </w:tcPr>
          <w:p w14:paraId="59BB189C">
            <w:pPr>
              <w:spacing w:after="0"/>
              <w:jc w:val="center"/>
              <w:rPr>
                <w:b/>
                <w:bCs/>
                <w:lang w:val="en-GB" w:eastAsia="zh-CN"/>
              </w:rPr>
            </w:pPr>
            <w:r>
              <w:rPr>
                <w:b/>
                <w:bCs/>
                <w:lang w:val="en-GB" w:eastAsia="zh-CN"/>
              </w:rPr>
              <w:t>Values</w:t>
            </w:r>
          </w:p>
        </w:tc>
      </w:tr>
      <w:tr w14:paraId="10A82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vMerge w:val="restart"/>
          </w:tcPr>
          <w:p w14:paraId="5920C81C">
            <w:pPr>
              <w:spacing w:after="0"/>
              <w:jc w:val="center"/>
              <w:rPr>
                <w:b/>
                <w:bCs/>
                <w:lang w:val="en-US" w:eastAsia="zh-CN"/>
              </w:rPr>
            </w:pPr>
            <w:r>
              <w:rPr>
                <w:b/>
                <w:bCs/>
                <w:lang w:eastAsia="zh-CN"/>
              </w:rPr>
              <w:t>NB-IoT NPSS</w:t>
            </w:r>
          </w:p>
        </w:tc>
        <w:tc>
          <w:tcPr>
            <w:tcW w:w="3909" w:type="dxa"/>
          </w:tcPr>
          <w:p w14:paraId="59A9ADDE">
            <w:pPr>
              <w:spacing w:after="0"/>
              <w:rPr>
                <w:lang w:val="en-GB" w:eastAsia="zh-CN"/>
              </w:rPr>
            </w:pPr>
            <w:r>
              <w:rPr>
                <w:rFonts w:hint="eastAsia"/>
                <w:lang w:eastAsia="zh-CN"/>
              </w:rPr>
              <w:t>Subframe</w:t>
            </w:r>
          </w:p>
        </w:tc>
        <w:tc>
          <w:tcPr>
            <w:tcW w:w="2754" w:type="dxa"/>
          </w:tcPr>
          <w:p w14:paraId="5D7FF35D">
            <w:pPr>
              <w:spacing w:after="0"/>
              <w:rPr>
                <w:lang w:val="en-GB" w:eastAsia="zh-CN"/>
              </w:rPr>
            </w:pPr>
            <w:r>
              <w:rPr>
                <w:rFonts w:hint="eastAsia"/>
                <w:lang w:val="en-GB" w:eastAsia="zh-CN"/>
              </w:rPr>
              <w:t>5</w:t>
            </w:r>
          </w:p>
        </w:tc>
      </w:tr>
      <w:tr w14:paraId="3BB60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vMerge w:val="continue"/>
          </w:tcPr>
          <w:p w14:paraId="0C52E160">
            <w:pPr>
              <w:spacing w:after="0"/>
              <w:jc w:val="center"/>
              <w:rPr>
                <w:b/>
                <w:bCs/>
                <w:lang w:eastAsia="zh-CN"/>
              </w:rPr>
            </w:pPr>
          </w:p>
        </w:tc>
        <w:tc>
          <w:tcPr>
            <w:tcW w:w="3909" w:type="dxa"/>
          </w:tcPr>
          <w:p w14:paraId="629CE57B">
            <w:pPr>
              <w:spacing w:after="0"/>
              <w:rPr>
                <w:lang w:eastAsia="zh-CN"/>
              </w:rPr>
            </w:pPr>
            <w:r>
              <w:rPr>
                <w:rFonts w:hint="eastAsia"/>
                <w:lang w:eastAsia="zh-CN"/>
              </w:rPr>
              <w:t>Subframe periodicity</w:t>
            </w:r>
          </w:p>
        </w:tc>
        <w:tc>
          <w:tcPr>
            <w:tcW w:w="2754" w:type="dxa"/>
          </w:tcPr>
          <w:p w14:paraId="381C9612">
            <w:pPr>
              <w:spacing w:after="0"/>
              <w:rPr>
                <w:lang w:val="en-GB" w:eastAsia="zh-CN"/>
              </w:rPr>
            </w:pPr>
            <w:r>
              <w:rPr>
                <w:rFonts w:hint="eastAsia"/>
                <w:lang w:val="en-GB" w:eastAsia="zh-CN"/>
              </w:rPr>
              <w:t>10 ms</w:t>
            </w:r>
          </w:p>
        </w:tc>
      </w:tr>
      <w:tr w14:paraId="660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vMerge w:val="continue"/>
          </w:tcPr>
          <w:p w14:paraId="7C2858F7">
            <w:pPr>
              <w:spacing w:after="0"/>
              <w:jc w:val="center"/>
              <w:rPr>
                <w:b/>
                <w:bCs/>
                <w:lang w:eastAsia="zh-CN"/>
              </w:rPr>
            </w:pPr>
          </w:p>
        </w:tc>
        <w:tc>
          <w:tcPr>
            <w:tcW w:w="3909" w:type="dxa"/>
          </w:tcPr>
          <w:p w14:paraId="32E9FBB6">
            <w:pPr>
              <w:spacing w:after="0"/>
              <w:rPr>
                <w:lang w:eastAsia="zh-CN"/>
              </w:rPr>
            </w:pPr>
            <w:r>
              <w:rPr>
                <w:rFonts w:hint="eastAsia"/>
                <w:lang w:eastAsia="zh-CN"/>
              </w:rPr>
              <w:t xml:space="preserve">Sequence pattern periodicity </w:t>
            </w:r>
          </w:p>
        </w:tc>
        <w:tc>
          <w:tcPr>
            <w:tcW w:w="2754" w:type="dxa"/>
          </w:tcPr>
          <w:p w14:paraId="556A31E2">
            <w:pPr>
              <w:spacing w:after="0"/>
              <w:rPr>
                <w:lang w:val="en-GB" w:eastAsia="zh-CN"/>
              </w:rPr>
            </w:pPr>
            <w:r>
              <w:rPr>
                <w:rFonts w:hint="eastAsia"/>
                <w:lang w:val="en-GB" w:eastAsia="zh-CN"/>
              </w:rPr>
              <w:t>10 ms</w:t>
            </w:r>
          </w:p>
        </w:tc>
      </w:tr>
      <w:tr w14:paraId="79E4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vMerge w:val="continue"/>
          </w:tcPr>
          <w:p w14:paraId="61BCBD45">
            <w:pPr>
              <w:spacing w:after="0"/>
              <w:jc w:val="center"/>
              <w:rPr>
                <w:b/>
                <w:bCs/>
                <w:lang w:eastAsia="zh-CN"/>
              </w:rPr>
            </w:pPr>
          </w:p>
        </w:tc>
        <w:tc>
          <w:tcPr>
            <w:tcW w:w="3909" w:type="dxa"/>
          </w:tcPr>
          <w:p w14:paraId="20B5E6CC">
            <w:pPr>
              <w:spacing w:after="0"/>
              <w:rPr>
                <w:lang w:eastAsia="zh-CN"/>
              </w:rPr>
            </w:pPr>
            <w:r>
              <w:rPr>
                <w:rFonts w:hint="eastAsia"/>
                <w:lang w:eastAsia="zh-CN"/>
              </w:rPr>
              <w:t>Duration</w:t>
            </w:r>
          </w:p>
        </w:tc>
        <w:tc>
          <w:tcPr>
            <w:tcW w:w="2754" w:type="dxa"/>
          </w:tcPr>
          <w:p w14:paraId="7D63D4B5">
            <w:pPr>
              <w:spacing w:after="0"/>
              <w:rPr>
                <w:lang w:val="en-GB" w:eastAsia="zh-CN"/>
              </w:rPr>
            </w:pPr>
            <w:r>
              <w:rPr>
                <w:lang w:eastAsia="zh-CN"/>
              </w:rPr>
              <w:t>last 11 OFDM symbols are used to carry NSSS in the subframe</w:t>
            </w:r>
          </w:p>
        </w:tc>
      </w:tr>
      <w:tr w14:paraId="4E2B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vMerge w:val="restart"/>
          </w:tcPr>
          <w:p w14:paraId="1E1D7292">
            <w:pPr>
              <w:spacing w:after="0"/>
              <w:jc w:val="center"/>
              <w:rPr>
                <w:b/>
                <w:bCs/>
                <w:lang w:eastAsia="zh-CN"/>
              </w:rPr>
            </w:pPr>
            <w:r>
              <w:rPr>
                <w:b/>
                <w:bCs/>
                <w:lang w:eastAsia="zh-CN"/>
              </w:rPr>
              <w:t xml:space="preserve">NB-IoT </w:t>
            </w:r>
            <w:r>
              <w:rPr>
                <w:rFonts w:hint="eastAsia"/>
                <w:b/>
                <w:bCs/>
                <w:lang w:val="en-GB" w:eastAsia="zh-CN"/>
              </w:rPr>
              <w:t>NSSS</w:t>
            </w:r>
          </w:p>
        </w:tc>
        <w:tc>
          <w:tcPr>
            <w:tcW w:w="3909" w:type="dxa"/>
          </w:tcPr>
          <w:p w14:paraId="6AC11DAF">
            <w:pPr>
              <w:spacing w:after="0"/>
              <w:rPr>
                <w:lang w:eastAsia="zh-CN"/>
              </w:rPr>
            </w:pPr>
            <w:r>
              <w:rPr>
                <w:rFonts w:hint="eastAsia"/>
                <w:lang w:eastAsia="zh-CN"/>
              </w:rPr>
              <w:t>Subframe</w:t>
            </w:r>
          </w:p>
        </w:tc>
        <w:tc>
          <w:tcPr>
            <w:tcW w:w="2754" w:type="dxa"/>
          </w:tcPr>
          <w:p w14:paraId="0D9CA9D4">
            <w:pPr>
              <w:spacing w:after="0"/>
              <w:rPr>
                <w:lang w:val="en-GB" w:eastAsia="zh-CN"/>
              </w:rPr>
            </w:pPr>
            <w:r>
              <w:rPr>
                <w:rFonts w:hint="eastAsia"/>
                <w:lang w:val="en-GB" w:eastAsia="zh-CN"/>
              </w:rPr>
              <w:t>9</w:t>
            </w:r>
          </w:p>
        </w:tc>
      </w:tr>
      <w:tr w14:paraId="502A9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vMerge w:val="continue"/>
          </w:tcPr>
          <w:p w14:paraId="0789C558">
            <w:pPr>
              <w:spacing w:after="0"/>
              <w:jc w:val="center"/>
              <w:rPr>
                <w:b/>
                <w:bCs/>
                <w:lang w:eastAsia="zh-CN"/>
              </w:rPr>
            </w:pPr>
          </w:p>
        </w:tc>
        <w:tc>
          <w:tcPr>
            <w:tcW w:w="3909" w:type="dxa"/>
          </w:tcPr>
          <w:p w14:paraId="4B648873">
            <w:pPr>
              <w:spacing w:after="0"/>
              <w:rPr>
                <w:lang w:eastAsia="zh-CN"/>
              </w:rPr>
            </w:pPr>
            <w:r>
              <w:rPr>
                <w:rFonts w:hint="eastAsia"/>
                <w:lang w:eastAsia="zh-CN"/>
              </w:rPr>
              <w:t>Subframe periodicity</w:t>
            </w:r>
          </w:p>
        </w:tc>
        <w:tc>
          <w:tcPr>
            <w:tcW w:w="2754" w:type="dxa"/>
          </w:tcPr>
          <w:p w14:paraId="6AD3888E">
            <w:pPr>
              <w:spacing w:after="0"/>
              <w:rPr>
                <w:lang w:val="en-GB" w:eastAsia="zh-CN"/>
              </w:rPr>
            </w:pPr>
            <w:r>
              <w:rPr>
                <w:rFonts w:hint="eastAsia"/>
                <w:lang w:val="en-GB" w:eastAsia="zh-CN"/>
              </w:rPr>
              <w:t>20 ms</w:t>
            </w:r>
          </w:p>
        </w:tc>
      </w:tr>
      <w:tr w14:paraId="59F63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vMerge w:val="continue"/>
          </w:tcPr>
          <w:p w14:paraId="3952270C">
            <w:pPr>
              <w:spacing w:after="0"/>
              <w:jc w:val="center"/>
              <w:rPr>
                <w:b/>
                <w:bCs/>
                <w:lang w:eastAsia="zh-CN"/>
              </w:rPr>
            </w:pPr>
          </w:p>
        </w:tc>
        <w:tc>
          <w:tcPr>
            <w:tcW w:w="3909" w:type="dxa"/>
          </w:tcPr>
          <w:p w14:paraId="1FB0D698">
            <w:pPr>
              <w:spacing w:after="0"/>
              <w:rPr>
                <w:lang w:eastAsia="zh-CN"/>
              </w:rPr>
            </w:pPr>
            <w:r>
              <w:rPr>
                <w:rFonts w:hint="eastAsia"/>
                <w:lang w:eastAsia="zh-CN"/>
              </w:rPr>
              <w:t xml:space="preserve">Sequence pattern periodicity </w:t>
            </w:r>
          </w:p>
        </w:tc>
        <w:tc>
          <w:tcPr>
            <w:tcW w:w="2754" w:type="dxa"/>
          </w:tcPr>
          <w:p w14:paraId="5E2559E3">
            <w:pPr>
              <w:spacing w:after="0"/>
              <w:rPr>
                <w:lang w:val="en-GB" w:eastAsia="zh-CN"/>
              </w:rPr>
            </w:pPr>
            <w:r>
              <w:rPr>
                <w:rFonts w:hint="eastAsia"/>
                <w:lang w:val="en-GB" w:eastAsia="zh-CN"/>
              </w:rPr>
              <w:t>80 ms</w:t>
            </w:r>
          </w:p>
        </w:tc>
      </w:tr>
      <w:tr w14:paraId="257C0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vMerge w:val="continue"/>
          </w:tcPr>
          <w:p w14:paraId="5631C7F8">
            <w:pPr>
              <w:spacing w:after="0"/>
              <w:jc w:val="center"/>
              <w:rPr>
                <w:b/>
                <w:bCs/>
                <w:lang w:eastAsia="zh-CN"/>
              </w:rPr>
            </w:pPr>
          </w:p>
        </w:tc>
        <w:tc>
          <w:tcPr>
            <w:tcW w:w="3909" w:type="dxa"/>
          </w:tcPr>
          <w:p w14:paraId="4ED14BDC">
            <w:pPr>
              <w:spacing w:after="0"/>
              <w:rPr>
                <w:lang w:eastAsia="zh-CN"/>
              </w:rPr>
            </w:pPr>
            <w:r>
              <w:rPr>
                <w:rFonts w:hint="eastAsia"/>
                <w:lang w:eastAsia="zh-CN"/>
              </w:rPr>
              <w:t>Duration</w:t>
            </w:r>
          </w:p>
        </w:tc>
        <w:tc>
          <w:tcPr>
            <w:tcW w:w="2754" w:type="dxa"/>
          </w:tcPr>
          <w:p w14:paraId="4E581DCC">
            <w:pPr>
              <w:spacing w:after="0"/>
              <w:rPr>
                <w:lang w:val="en-GB" w:eastAsia="zh-CN"/>
              </w:rPr>
            </w:pPr>
            <w:r>
              <w:rPr>
                <w:lang w:eastAsia="zh-CN"/>
              </w:rPr>
              <w:t>last 11 OFDM symbols are used to carry NSSS in the subframe</w:t>
            </w:r>
          </w:p>
        </w:tc>
      </w:tr>
      <w:tr w14:paraId="4C917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vMerge w:val="restart"/>
          </w:tcPr>
          <w:p w14:paraId="1F276709">
            <w:pPr>
              <w:spacing w:after="0"/>
              <w:jc w:val="center"/>
              <w:rPr>
                <w:b/>
                <w:bCs/>
                <w:lang w:val="en-GB" w:eastAsia="zh-CN"/>
              </w:rPr>
            </w:pPr>
            <w:r>
              <w:rPr>
                <w:b/>
                <w:bCs/>
                <w:lang w:eastAsia="zh-CN"/>
              </w:rPr>
              <w:t xml:space="preserve">NB-IoT </w:t>
            </w:r>
            <w:r>
              <w:rPr>
                <w:rFonts w:hint="eastAsia"/>
                <w:b/>
                <w:bCs/>
                <w:lang w:val="en-GB" w:eastAsia="zh-CN"/>
              </w:rPr>
              <w:t>NRS</w:t>
            </w:r>
          </w:p>
        </w:tc>
        <w:tc>
          <w:tcPr>
            <w:tcW w:w="3909" w:type="dxa"/>
          </w:tcPr>
          <w:p w14:paraId="45A87DE4">
            <w:pPr>
              <w:spacing w:after="0"/>
              <w:rPr>
                <w:lang w:val="en-GB" w:eastAsia="zh-CN"/>
              </w:rPr>
            </w:pPr>
            <w:r>
              <w:rPr>
                <w:rFonts w:hint="eastAsia"/>
                <w:lang w:eastAsia="zh-CN"/>
              </w:rPr>
              <w:t>Subframe</w:t>
            </w:r>
          </w:p>
        </w:tc>
        <w:tc>
          <w:tcPr>
            <w:tcW w:w="2754" w:type="dxa"/>
          </w:tcPr>
          <w:p w14:paraId="6BF26174">
            <w:pPr>
              <w:spacing w:after="0"/>
              <w:rPr>
                <w:lang w:val="en-GB" w:eastAsia="zh-CN"/>
              </w:rPr>
            </w:pPr>
            <w:r>
              <w:rPr>
                <w:rFonts w:hint="eastAsia"/>
                <w:lang w:val="en-GB" w:eastAsia="zh-CN"/>
              </w:rPr>
              <w:t>Any</w:t>
            </w:r>
          </w:p>
        </w:tc>
      </w:tr>
      <w:tr w14:paraId="48B36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vMerge w:val="continue"/>
          </w:tcPr>
          <w:p w14:paraId="45B7CFC5">
            <w:pPr>
              <w:spacing w:after="0"/>
              <w:jc w:val="center"/>
              <w:rPr>
                <w:b/>
                <w:bCs/>
                <w:lang w:val="en-GB" w:eastAsia="zh-CN"/>
              </w:rPr>
            </w:pPr>
          </w:p>
        </w:tc>
        <w:tc>
          <w:tcPr>
            <w:tcW w:w="3909" w:type="dxa"/>
          </w:tcPr>
          <w:p w14:paraId="37AA8080">
            <w:pPr>
              <w:spacing w:after="0"/>
              <w:rPr>
                <w:lang w:val="en-GB" w:eastAsia="zh-CN"/>
              </w:rPr>
            </w:pPr>
            <w:r>
              <w:rPr>
                <w:rFonts w:hint="eastAsia"/>
                <w:lang w:eastAsia="zh-CN"/>
              </w:rPr>
              <w:t>Basic TTI</w:t>
            </w:r>
          </w:p>
        </w:tc>
        <w:tc>
          <w:tcPr>
            <w:tcW w:w="2754" w:type="dxa"/>
          </w:tcPr>
          <w:p w14:paraId="2310705D">
            <w:pPr>
              <w:spacing w:after="0"/>
              <w:rPr>
                <w:lang w:val="en-GB" w:eastAsia="zh-CN"/>
              </w:rPr>
            </w:pPr>
            <w:r>
              <w:rPr>
                <w:rFonts w:hint="eastAsia"/>
                <w:lang w:val="en-GB" w:eastAsia="zh-CN"/>
              </w:rPr>
              <w:t>1 ms</w:t>
            </w:r>
          </w:p>
        </w:tc>
      </w:tr>
      <w:tr w14:paraId="56E9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vMerge w:val="continue"/>
          </w:tcPr>
          <w:p w14:paraId="32E9D592">
            <w:pPr>
              <w:spacing w:after="0"/>
              <w:jc w:val="center"/>
              <w:rPr>
                <w:b/>
                <w:bCs/>
                <w:lang w:val="en-GB" w:eastAsia="zh-CN"/>
              </w:rPr>
            </w:pPr>
          </w:p>
        </w:tc>
        <w:tc>
          <w:tcPr>
            <w:tcW w:w="3909" w:type="dxa"/>
          </w:tcPr>
          <w:p w14:paraId="4FB31BE1">
            <w:pPr>
              <w:spacing w:after="0"/>
              <w:rPr>
                <w:lang w:val="en-GB" w:eastAsia="zh-CN"/>
              </w:rPr>
            </w:pPr>
            <w:r>
              <w:rPr>
                <w:rFonts w:hint="eastAsia"/>
                <w:lang w:eastAsia="zh-CN"/>
              </w:rPr>
              <w:t xml:space="preserve">Sequence pattern periodicity </w:t>
            </w:r>
          </w:p>
        </w:tc>
        <w:tc>
          <w:tcPr>
            <w:tcW w:w="2754" w:type="dxa"/>
          </w:tcPr>
          <w:p w14:paraId="25415869">
            <w:pPr>
              <w:spacing w:after="0"/>
              <w:rPr>
                <w:lang w:val="en-GB" w:eastAsia="zh-CN"/>
              </w:rPr>
            </w:pPr>
            <w:r>
              <w:rPr>
                <w:rFonts w:hint="eastAsia"/>
                <w:lang w:val="en-GB" w:eastAsia="zh-CN"/>
              </w:rPr>
              <w:t>10 ms</w:t>
            </w:r>
          </w:p>
        </w:tc>
      </w:tr>
      <w:tr w14:paraId="4890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tcPr>
          <w:p w14:paraId="48D9F2E4">
            <w:pPr>
              <w:spacing w:after="0"/>
              <w:jc w:val="center"/>
              <w:rPr>
                <w:b/>
                <w:bCs/>
                <w:lang w:val="en-GB" w:eastAsia="zh-CN"/>
              </w:rPr>
            </w:pPr>
            <w:r>
              <w:rPr>
                <w:b/>
                <w:bCs/>
                <w:lang w:val="en-GB" w:eastAsia="zh-CN"/>
              </w:rPr>
              <w:t xml:space="preserve">NB-IoT </w:t>
            </w:r>
            <w:r>
              <w:rPr>
                <w:rFonts w:hint="eastAsia"/>
                <w:b/>
                <w:bCs/>
                <w:lang w:val="en-GB" w:eastAsia="zh-CN"/>
              </w:rPr>
              <w:t>PBCH</w:t>
            </w:r>
          </w:p>
        </w:tc>
        <w:tc>
          <w:tcPr>
            <w:tcW w:w="3909" w:type="dxa"/>
          </w:tcPr>
          <w:p w14:paraId="6C47E958">
            <w:pPr>
              <w:spacing w:after="0"/>
              <w:rPr>
                <w:lang w:val="en-GB" w:eastAsia="zh-CN"/>
              </w:rPr>
            </w:pPr>
            <w:r>
              <w:rPr>
                <w:rFonts w:hint="eastAsia"/>
                <w:lang w:eastAsia="zh-CN"/>
              </w:rPr>
              <w:t>Subframe periodicity</w:t>
            </w:r>
          </w:p>
        </w:tc>
        <w:tc>
          <w:tcPr>
            <w:tcW w:w="2754" w:type="dxa"/>
          </w:tcPr>
          <w:p w14:paraId="1DCFD0FA">
            <w:pPr>
              <w:spacing w:after="0"/>
              <w:rPr>
                <w:lang w:val="en-GB" w:eastAsia="zh-CN"/>
              </w:rPr>
            </w:pPr>
            <w:r>
              <w:rPr>
                <w:rFonts w:hint="eastAsia"/>
                <w:lang w:val="en-GB" w:eastAsia="zh-CN"/>
              </w:rPr>
              <w:t>160ms</w:t>
            </w:r>
          </w:p>
        </w:tc>
      </w:tr>
      <w:tr w14:paraId="530C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tcPr>
          <w:p w14:paraId="0A3F6A5F">
            <w:pPr>
              <w:spacing w:after="0"/>
              <w:jc w:val="center"/>
              <w:rPr>
                <w:b/>
                <w:bCs/>
                <w:lang w:val="en-GB" w:eastAsia="zh-CN"/>
              </w:rPr>
            </w:pPr>
            <w:r>
              <w:rPr>
                <w:rFonts w:hint="eastAsia"/>
                <w:b/>
                <w:bCs/>
                <w:lang w:val="en-GB" w:eastAsia="zh-CN"/>
              </w:rPr>
              <w:t>NB-IoT SIB</w:t>
            </w:r>
          </w:p>
        </w:tc>
        <w:tc>
          <w:tcPr>
            <w:tcW w:w="3909" w:type="dxa"/>
          </w:tcPr>
          <w:p w14:paraId="3DE07476">
            <w:pPr>
              <w:spacing w:after="0"/>
              <w:rPr>
                <w:lang w:val="en-GB" w:eastAsia="zh-CN"/>
              </w:rPr>
            </w:pPr>
            <w:r>
              <w:rPr>
                <w:rFonts w:hint="eastAsia"/>
                <w:lang w:eastAsia="zh-CN"/>
              </w:rPr>
              <w:t>Subframe periodicity</w:t>
            </w:r>
          </w:p>
        </w:tc>
        <w:tc>
          <w:tcPr>
            <w:tcW w:w="2754" w:type="dxa"/>
          </w:tcPr>
          <w:p w14:paraId="66E0A450">
            <w:pPr>
              <w:spacing w:after="0"/>
              <w:rPr>
                <w:lang w:val="en-GB" w:eastAsia="zh-CN"/>
              </w:rPr>
            </w:pPr>
            <w:r>
              <w:rPr>
                <w:rFonts w:hint="eastAsia"/>
                <w:lang w:val="en-GB" w:eastAsia="zh-CN"/>
              </w:rPr>
              <w:t>80ms or 160ms</w:t>
            </w:r>
          </w:p>
        </w:tc>
      </w:tr>
    </w:tbl>
    <w:p w14:paraId="0A41FC5D"/>
    <w:p w14:paraId="4306FC4B">
      <w:r>
        <w:drawing>
          <wp:inline distT="0" distB="0" distL="114300" distR="114300">
            <wp:extent cx="6115685" cy="1144270"/>
            <wp:effectExtent l="0" t="0" r="10795"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115685" cy="1144270"/>
                    </a:xfrm>
                    <a:prstGeom prst="rect">
                      <a:avLst/>
                    </a:prstGeom>
                    <a:noFill/>
                    <a:ln>
                      <a:noFill/>
                    </a:ln>
                  </pic:spPr>
                </pic:pic>
              </a:graphicData>
            </a:graphic>
          </wp:inline>
        </w:drawing>
      </w:r>
    </w:p>
    <w:p w14:paraId="2C42A39C">
      <w:pPr>
        <w:jc w:val="center"/>
        <w:rPr>
          <w:lang w:val="en-GB" w:eastAsia="zh-CN"/>
        </w:rPr>
      </w:pPr>
      <w:r>
        <w:rPr>
          <w:rFonts w:hint="eastAsia"/>
          <w:lang w:val="en-US" w:eastAsia="zh-CN"/>
        </w:rPr>
        <w:t>Figure.1 Always on signals in NB-IoT</w:t>
      </w:r>
    </w:p>
    <w:p w14:paraId="2E3D5865">
      <w:pPr>
        <w:rPr>
          <w:rFonts w:hint="default"/>
          <w:lang w:val="en-US" w:eastAsia="zh-CN"/>
        </w:rPr>
      </w:pPr>
      <w:r>
        <w:rPr>
          <w:lang w:eastAsia="zh-CN"/>
        </w:rPr>
        <w:t xml:space="preserve">In summary, in the case of no data transmission in NB-IoT, </w:t>
      </w:r>
      <w:r>
        <w:rPr>
          <w:rFonts w:hint="eastAsia"/>
          <w:lang w:val="en-US" w:eastAsia="zh-CN"/>
        </w:rPr>
        <w:t xml:space="preserve">if the whole NRS symbols are excluded, </w:t>
      </w:r>
      <w:r>
        <w:rPr>
          <w:lang w:eastAsia="zh-CN"/>
        </w:rPr>
        <w:t>Ambient IoT can use no more than (14x20 – 11x</w:t>
      </w:r>
      <w:r>
        <w:rPr>
          <w:rFonts w:hint="eastAsia"/>
          <w:lang w:val="en-US" w:eastAsia="zh-CN"/>
        </w:rPr>
        <w:t>5</w:t>
      </w:r>
      <w:r>
        <w:rPr>
          <w:lang w:eastAsia="zh-CN"/>
        </w:rPr>
        <w:t xml:space="preserve"> – 4x1</w:t>
      </w:r>
      <w:r>
        <w:rPr>
          <w:rFonts w:hint="eastAsia"/>
          <w:lang w:val="en-US" w:eastAsia="zh-CN"/>
        </w:rPr>
        <w:t>5</w:t>
      </w:r>
      <w:r>
        <w:rPr>
          <w:lang w:eastAsia="zh-CN"/>
        </w:rPr>
        <w:t>) / (14x20) = ~</w:t>
      </w:r>
      <w:r>
        <w:rPr>
          <w:rFonts w:hint="eastAsia"/>
          <w:b/>
          <w:bCs/>
          <w:lang w:eastAsia="zh-CN"/>
        </w:rPr>
        <w:t>5</w:t>
      </w:r>
      <w:r>
        <w:rPr>
          <w:rFonts w:hint="eastAsia"/>
          <w:b/>
          <w:bCs/>
          <w:lang w:val="en-US" w:eastAsia="zh-CN"/>
        </w:rPr>
        <w:t>9</w:t>
      </w:r>
      <w:r>
        <w:rPr>
          <w:b/>
          <w:bCs/>
          <w:lang w:eastAsia="zh-CN"/>
        </w:rPr>
        <w:t>%</w:t>
      </w:r>
      <w:r>
        <w:rPr>
          <w:lang w:eastAsia="zh-CN"/>
        </w:rPr>
        <w:t xml:space="preserve"> of the resources of the 180 kHz carrier.</w:t>
      </w:r>
      <w:r>
        <w:rPr>
          <w:rFonts w:hint="eastAsia"/>
          <w:lang w:val="en-US" w:eastAsia="zh-CN"/>
        </w:rPr>
        <w:t xml:space="preserve"> And if NRS symbols are used by Ambient IoT system, i.e. 4 NRS REs are treated as interference, the available REs for Ambient IoT is about </w:t>
      </w:r>
      <w:bookmarkStart w:id="1" w:name="_GoBack"/>
      <w:bookmarkEnd w:id="1"/>
      <w:r>
        <w:rPr>
          <w:lang w:eastAsia="zh-CN"/>
        </w:rPr>
        <w:t>(14x20 – 11x</w:t>
      </w:r>
      <w:r>
        <w:rPr>
          <w:rFonts w:hint="eastAsia"/>
          <w:lang w:val="en-US" w:eastAsia="zh-CN"/>
        </w:rPr>
        <w:t>5</w:t>
      </w:r>
      <w:r>
        <w:rPr>
          <w:lang w:eastAsia="zh-CN"/>
        </w:rPr>
        <w:t>) / (14x20)</w:t>
      </w:r>
      <w:r>
        <w:rPr>
          <w:rFonts w:hint="eastAsia"/>
          <w:lang w:val="en-US" w:eastAsia="zh-CN"/>
        </w:rPr>
        <w:t xml:space="preserve"> = ~</w:t>
      </w:r>
      <w:r>
        <w:rPr>
          <w:rFonts w:hint="eastAsia"/>
          <w:b/>
          <w:bCs/>
          <w:lang w:val="en-US" w:eastAsia="zh-CN"/>
        </w:rPr>
        <w:t>80%</w:t>
      </w:r>
      <w:r>
        <w:rPr>
          <w:rFonts w:hint="eastAsia"/>
          <w:lang w:val="en-US" w:eastAsia="zh-CN"/>
        </w:rPr>
        <w:t xml:space="preserve"> </w:t>
      </w:r>
      <w:r>
        <w:rPr>
          <w:lang w:eastAsia="zh-CN"/>
        </w:rPr>
        <w:t>of the resources of the 180 kHz carrier</w:t>
      </w:r>
      <w:r>
        <w:rPr>
          <w:rFonts w:hint="eastAsia"/>
          <w:lang w:val="en-US" w:eastAsia="zh-CN"/>
        </w:rPr>
        <w:t>. SIB1 overhead is not considered here.</w:t>
      </w:r>
    </w:p>
    <w:p w14:paraId="3741BC63">
      <w:pPr>
        <w:rPr>
          <w:lang w:eastAsia="zh-CN"/>
        </w:rPr>
      </w:pPr>
      <w:r>
        <w:rPr>
          <w:rFonts w:hint="eastAsia"/>
          <w:lang w:eastAsia="zh-CN"/>
        </w:rPr>
        <w:t xml:space="preserve">For uplink, since both NB-IoT and Ambient-IoT are able to be operated in a subcarrier (15kHz) way. Hence, it is more easier to be FDMed in a PRB for these two systems. </w:t>
      </w:r>
    </w:p>
    <w:p w14:paraId="373AD300">
      <w:pPr>
        <w:pStyle w:val="73"/>
        <w:numPr>
          <w:ilvl w:val="0"/>
          <w:numId w:val="4"/>
        </w:numPr>
        <w:rPr>
          <w:b w:val="0"/>
          <w:bCs w:val="0"/>
          <w:lang w:val="en-GB" w:eastAsia="zh-CN"/>
        </w:rPr>
      </w:pPr>
      <w:r>
        <w:rPr>
          <w:rFonts w:hint="eastAsia"/>
          <w:b/>
          <w:bCs/>
          <w:lang w:val="en-GB" w:eastAsia="zh-CN"/>
        </w:rPr>
        <w:t xml:space="preserve">NB-IoT and Ambient-IoT </w:t>
      </w:r>
      <w:r>
        <w:rPr>
          <w:b/>
          <w:bCs/>
          <w:lang w:val="en-GB" w:eastAsia="zh-CN"/>
        </w:rPr>
        <w:t>adjacent</w:t>
      </w:r>
      <w:r>
        <w:rPr>
          <w:rFonts w:hint="eastAsia"/>
          <w:b/>
          <w:bCs/>
          <w:lang w:val="en-GB" w:eastAsia="zh-CN"/>
        </w:rPr>
        <w:t xml:space="preserve"> carrier </w:t>
      </w:r>
    </w:p>
    <w:p w14:paraId="00E38D4B">
      <w:pPr>
        <w:rPr>
          <w:lang w:val="en-GB" w:eastAsia="zh-CN"/>
        </w:rPr>
      </w:pPr>
      <w:r>
        <w:rPr>
          <w:rFonts w:hint="eastAsia"/>
          <w:lang w:val="en-GB" w:eastAsia="zh-CN"/>
        </w:rPr>
        <w:t>For this case, Ambient-IoT device does not requires to share spectrum. Additional spectrum for A</w:t>
      </w:r>
      <w:r>
        <w:rPr>
          <w:lang w:val="en-GB" w:eastAsia="zh-CN"/>
        </w:rPr>
        <w:t>m</w:t>
      </w:r>
      <w:r>
        <w:rPr>
          <w:rFonts w:hint="eastAsia"/>
          <w:lang w:val="en-GB" w:eastAsia="zh-CN"/>
        </w:rPr>
        <w:t xml:space="preserve">bient-IoT is required for operator. </w:t>
      </w:r>
    </w:p>
    <w:p w14:paraId="1B65D89A">
      <w:pPr>
        <w:rPr>
          <w:rFonts w:eastAsia="等线"/>
          <w:b/>
          <w:bCs/>
          <w:lang w:val="en-GB" w:eastAsia="zh-CN"/>
        </w:rPr>
      </w:pPr>
      <w:r>
        <w:rPr>
          <w:rFonts w:hint="eastAsia" w:eastAsia="等线"/>
          <w:b/>
          <w:bCs/>
          <w:lang w:eastAsia="zh-CN"/>
        </w:rPr>
        <w:t xml:space="preserve">Proposal 2: Both </w:t>
      </w:r>
      <w:r>
        <w:rPr>
          <w:rFonts w:hint="eastAsia"/>
          <w:b/>
          <w:bCs/>
          <w:lang w:val="en-GB" w:eastAsia="zh-CN"/>
        </w:rPr>
        <w:t xml:space="preserve">NB-IoT and Ambient-IoT spectrum sharing and </w:t>
      </w:r>
      <w:r>
        <w:rPr>
          <w:b/>
          <w:bCs/>
          <w:lang w:val="en-GB" w:eastAsia="zh-CN"/>
        </w:rPr>
        <w:t>adjacent</w:t>
      </w:r>
      <w:r>
        <w:rPr>
          <w:rFonts w:hint="eastAsia"/>
          <w:b/>
          <w:bCs/>
          <w:lang w:val="en-GB" w:eastAsia="zh-CN"/>
        </w:rPr>
        <w:t xml:space="preserve"> carrier deployment are considered for Rel-20 Ambient-IoT.</w:t>
      </w:r>
    </w:p>
    <w:p w14:paraId="770C7D43">
      <w:pPr>
        <w:pStyle w:val="2"/>
        <w:numPr>
          <w:ilvl w:val="0"/>
          <w:numId w:val="2"/>
        </w:numPr>
      </w:pPr>
      <w:r>
        <w:t>Conclusion</w:t>
      </w:r>
    </w:p>
    <w:p w14:paraId="352E5ABE">
      <w:r>
        <w:t xml:space="preserve">In this contribution we </w:t>
      </w:r>
      <w:r>
        <w:rPr>
          <w:rFonts w:hint="eastAsia"/>
          <w:lang w:eastAsia="zh-CN"/>
        </w:rPr>
        <w:t>discuss the coexistence deployment R20 A-IoT</w:t>
      </w:r>
      <w:r>
        <w:rPr>
          <w:rFonts w:hint="eastAsia"/>
          <w:lang w:val="en-US" w:eastAsia="zh-CN"/>
        </w:rPr>
        <w:t xml:space="preserve"> and legacy network</w:t>
      </w:r>
      <w:r>
        <w:rPr>
          <w:rFonts w:hint="eastAsia"/>
          <w:lang w:eastAsia="zh-CN"/>
        </w:rPr>
        <w:t>, and the following proposal and observation are made,</w:t>
      </w:r>
    </w:p>
    <w:p w14:paraId="3D9C02D2">
      <w:pPr>
        <w:rPr>
          <w:b/>
          <w:bCs/>
          <w:lang w:eastAsia="zh-CN"/>
        </w:rPr>
      </w:pPr>
      <w:r>
        <w:rPr>
          <w:b/>
          <w:bCs/>
          <w:lang w:eastAsia="zh-CN"/>
        </w:rPr>
        <w:t>Observations</w:t>
      </w:r>
      <w:r>
        <w:rPr>
          <w:rFonts w:hint="eastAsia"/>
          <w:b/>
          <w:bCs/>
          <w:lang w:eastAsia="zh-CN"/>
        </w:rPr>
        <w:t xml:space="preserve"> 1:</w:t>
      </w:r>
    </w:p>
    <w:p w14:paraId="47405347">
      <w:pPr>
        <w:rPr>
          <w:b/>
          <w:bCs/>
          <w:lang w:val="en-US" w:eastAsia="zh-CN"/>
        </w:rPr>
      </w:pPr>
      <w:r>
        <w:rPr>
          <w:b/>
          <w:bCs/>
          <w:lang w:eastAsia="zh-CN"/>
        </w:rPr>
        <w:t>The upgrade path for Ambient-IoT should be carefully evaluated based on the existing network infrastructure and its compatibility with the specific requirements of Ambient-IoT. While upgrading from NB-IoT and 4G networks presents immediate opportunities, the potential of 5G networks should not be overlooked, especially considering its advanced features and future-proof capabilities.</w:t>
      </w:r>
    </w:p>
    <w:p w14:paraId="3EA509F1">
      <w:pPr>
        <w:rPr>
          <w:b/>
          <w:bCs/>
          <w:lang w:val="en-GB" w:eastAsia="zh-CN"/>
        </w:rPr>
      </w:pPr>
      <w:r>
        <w:rPr>
          <w:b/>
          <w:bCs/>
          <w:lang w:val="en-GB" w:eastAsia="zh-CN"/>
        </w:rPr>
        <w:t xml:space="preserve">Proposal </w:t>
      </w:r>
      <w:r>
        <w:rPr>
          <w:rFonts w:hint="eastAsia"/>
          <w:b/>
          <w:bCs/>
          <w:lang w:val="en-GB" w:eastAsia="zh-CN"/>
        </w:rPr>
        <w:t>1</w:t>
      </w:r>
      <w:r>
        <w:rPr>
          <w:b/>
          <w:bCs/>
          <w:lang w:val="en-GB" w:eastAsia="zh-CN"/>
        </w:rPr>
        <w:t>: Upgrading of the legacy network (e.g., NB-IoT or 4G</w:t>
      </w:r>
      <w:r>
        <w:rPr>
          <w:rFonts w:hint="eastAsia"/>
          <w:b/>
          <w:bCs/>
          <w:lang w:val="en-GB" w:eastAsia="zh-CN"/>
        </w:rPr>
        <w:t>/5G</w:t>
      </w:r>
      <w:r>
        <w:rPr>
          <w:b/>
          <w:bCs/>
          <w:lang w:val="en-GB" w:eastAsia="zh-CN"/>
        </w:rPr>
        <w:t xml:space="preserve">) to support Ambient-IoT network from RAN perspective is considered. </w:t>
      </w:r>
    </w:p>
    <w:p w14:paraId="574149DE">
      <w:pPr>
        <w:rPr>
          <w:rFonts w:eastAsia="等线"/>
          <w:b/>
          <w:bCs/>
          <w:lang w:val="en-GB" w:eastAsia="zh-CN"/>
        </w:rPr>
      </w:pPr>
      <w:r>
        <w:rPr>
          <w:rFonts w:hint="eastAsia" w:eastAsia="等线"/>
          <w:b/>
          <w:bCs/>
          <w:lang w:eastAsia="zh-CN"/>
        </w:rPr>
        <w:t xml:space="preserve">Proposal 2: Both </w:t>
      </w:r>
      <w:r>
        <w:rPr>
          <w:rFonts w:hint="eastAsia"/>
          <w:b/>
          <w:bCs/>
          <w:lang w:val="en-GB" w:eastAsia="zh-CN"/>
        </w:rPr>
        <w:t xml:space="preserve">NB-IoT and Ambient-IoT spectrum sharing and </w:t>
      </w:r>
      <w:r>
        <w:rPr>
          <w:b/>
          <w:bCs/>
          <w:lang w:val="en-GB" w:eastAsia="zh-CN"/>
        </w:rPr>
        <w:t>adjacent</w:t>
      </w:r>
      <w:r>
        <w:rPr>
          <w:rFonts w:hint="eastAsia"/>
          <w:b/>
          <w:bCs/>
          <w:lang w:val="en-GB" w:eastAsia="zh-CN"/>
        </w:rPr>
        <w:t xml:space="preserve"> carrier deployment are considered for Rel-20 Ambient-IoT.</w:t>
      </w:r>
    </w:p>
    <w:p w14:paraId="68A7190A">
      <w:pPr>
        <w:pStyle w:val="2"/>
      </w:pPr>
      <w:r>
        <w:t>References</w:t>
      </w:r>
    </w:p>
    <w:p w14:paraId="1453EC36">
      <w:pPr>
        <w:pStyle w:val="73"/>
        <w:numPr>
          <w:ilvl w:val="0"/>
          <w:numId w:val="5"/>
        </w:numPr>
        <w:overflowPunct w:val="0"/>
        <w:autoSpaceDE w:val="0"/>
        <w:autoSpaceDN w:val="0"/>
        <w:adjustRightInd w:val="0"/>
        <w:textAlignment w:val="baseline"/>
        <w:rPr>
          <w:lang w:eastAsia="zh-CN"/>
        </w:rPr>
      </w:pPr>
      <w:r>
        <w:rPr>
          <w:rFonts w:hint="eastAsia"/>
          <w:lang w:eastAsia="zh-CN"/>
        </w:rPr>
        <w:t>3GPP TR 38.914 V0.2.0, Study on 6G Scenarios and Requirements; (Release 20).</w:t>
      </w:r>
    </w:p>
    <w:p w14:paraId="48CA3674">
      <w:pPr>
        <w:pStyle w:val="73"/>
        <w:numPr>
          <w:ilvl w:val="0"/>
          <w:numId w:val="5"/>
        </w:numPr>
        <w:overflowPunct w:val="0"/>
        <w:autoSpaceDE w:val="0"/>
        <w:autoSpaceDN w:val="0"/>
        <w:adjustRightInd w:val="0"/>
        <w:ind w:left="420"/>
        <w:textAlignment w:val="baseline"/>
        <w:rPr>
          <w:rFonts w:hint="eastAsia"/>
          <w:lang w:eastAsia="zh-CN"/>
        </w:rPr>
      </w:pPr>
      <w:r>
        <w:rPr>
          <w:rFonts w:hint="eastAsia"/>
          <w:lang w:val="en-US" w:eastAsia="zh-CN"/>
        </w:rPr>
        <w:t xml:space="preserve">3GPP TS36.211 v15.0.0, </w:t>
      </w:r>
      <w:r>
        <w:t>Physical channels and modulation</w:t>
      </w:r>
      <w:r>
        <w:rPr>
          <w:rFonts w:hint="eastAsia"/>
          <w:lang w:val="en-US" w:eastAsia="zh-CN"/>
        </w:rPr>
        <w:t>.</w:t>
      </w:r>
    </w:p>
    <w:p w14:paraId="429FCDB2">
      <w:pPr>
        <w:pStyle w:val="73"/>
        <w:numPr>
          <w:ilvl w:val="-1"/>
          <w:numId w:val="0"/>
        </w:numPr>
        <w:overflowPunct w:val="0"/>
        <w:autoSpaceDE w:val="0"/>
        <w:autoSpaceDN w:val="0"/>
        <w:adjustRightInd w:val="0"/>
        <w:ind w:left="0" w:firstLine="0"/>
        <w:textAlignment w:val="baseline"/>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39D79D9"/>
    <w:multiLevelType w:val="multilevel"/>
    <w:tmpl w:val="539D79D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54AE60C3"/>
    <w:multiLevelType w:val="multilevel"/>
    <w:tmpl w:val="54AE60C3"/>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70146DC0"/>
    <w:multiLevelType w:val="multilevel"/>
    <w:tmpl w:val="70146DC0"/>
    <w:lvl w:ilvl="0" w:tentative="0">
      <w:start w:val="1"/>
      <w:numFmt w:val="bullet"/>
      <w:pStyle w:val="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rawingGridHorizontalSpacing w:val="100"/>
  <w:drawingGridVerticalSpacing w:val="156"/>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E1"/>
    <w:rsid w:val="0000277F"/>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66B6"/>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712"/>
    <w:rsid w:val="00102DAD"/>
    <w:rsid w:val="00103246"/>
    <w:rsid w:val="001039FE"/>
    <w:rsid w:val="00103CB2"/>
    <w:rsid w:val="00104088"/>
    <w:rsid w:val="00104632"/>
    <w:rsid w:val="00104DC4"/>
    <w:rsid w:val="00104E54"/>
    <w:rsid w:val="00105D5B"/>
    <w:rsid w:val="00106191"/>
    <w:rsid w:val="00106312"/>
    <w:rsid w:val="001102B9"/>
    <w:rsid w:val="001104C7"/>
    <w:rsid w:val="001116D3"/>
    <w:rsid w:val="00113378"/>
    <w:rsid w:val="00113D0A"/>
    <w:rsid w:val="001142B9"/>
    <w:rsid w:val="00114BDD"/>
    <w:rsid w:val="00114D8D"/>
    <w:rsid w:val="00115354"/>
    <w:rsid w:val="00115520"/>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6F1"/>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DBD"/>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A02D9"/>
    <w:rsid w:val="001A0A06"/>
    <w:rsid w:val="001A192A"/>
    <w:rsid w:val="001A227E"/>
    <w:rsid w:val="001A2746"/>
    <w:rsid w:val="001A44CB"/>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C44"/>
    <w:rsid w:val="001F637E"/>
    <w:rsid w:val="001F7831"/>
    <w:rsid w:val="002002F5"/>
    <w:rsid w:val="002009F6"/>
    <w:rsid w:val="00200BA5"/>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66D"/>
    <w:rsid w:val="00231F5C"/>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0D2"/>
    <w:rsid w:val="002906A1"/>
    <w:rsid w:val="0029141A"/>
    <w:rsid w:val="002914D5"/>
    <w:rsid w:val="00292A32"/>
    <w:rsid w:val="00292D60"/>
    <w:rsid w:val="00293014"/>
    <w:rsid w:val="00293A66"/>
    <w:rsid w:val="00293CD2"/>
    <w:rsid w:val="00295C81"/>
    <w:rsid w:val="00296755"/>
    <w:rsid w:val="00296B72"/>
    <w:rsid w:val="002A0A7A"/>
    <w:rsid w:val="002A167D"/>
    <w:rsid w:val="002A3D83"/>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E0040"/>
    <w:rsid w:val="002E0E15"/>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14AE"/>
    <w:rsid w:val="003023D8"/>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2AD7"/>
    <w:rsid w:val="00372DD0"/>
    <w:rsid w:val="00373151"/>
    <w:rsid w:val="003732C5"/>
    <w:rsid w:val="003741C3"/>
    <w:rsid w:val="00374572"/>
    <w:rsid w:val="00374669"/>
    <w:rsid w:val="00374722"/>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60EA"/>
    <w:rsid w:val="00386BA9"/>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C05"/>
    <w:rsid w:val="00423D15"/>
    <w:rsid w:val="004241D4"/>
    <w:rsid w:val="004242A3"/>
    <w:rsid w:val="0042432A"/>
    <w:rsid w:val="004245DA"/>
    <w:rsid w:val="00424F43"/>
    <w:rsid w:val="0042501D"/>
    <w:rsid w:val="004266D3"/>
    <w:rsid w:val="0042678F"/>
    <w:rsid w:val="004308DB"/>
    <w:rsid w:val="00434A6D"/>
    <w:rsid w:val="00434D06"/>
    <w:rsid w:val="0044067E"/>
    <w:rsid w:val="004412B0"/>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A715B"/>
    <w:rsid w:val="004B0513"/>
    <w:rsid w:val="004B2813"/>
    <w:rsid w:val="004B2CFC"/>
    <w:rsid w:val="004B37FD"/>
    <w:rsid w:val="004B44A7"/>
    <w:rsid w:val="004B5234"/>
    <w:rsid w:val="004B53E0"/>
    <w:rsid w:val="004B5D15"/>
    <w:rsid w:val="004B670D"/>
    <w:rsid w:val="004B7076"/>
    <w:rsid w:val="004C0121"/>
    <w:rsid w:val="004C389A"/>
    <w:rsid w:val="004C4F8E"/>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1F4B"/>
    <w:rsid w:val="0050264A"/>
    <w:rsid w:val="00503171"/>
    <w:rsid w:val="00503B7B"/>
    <w:rsid w:val="00504E7D"/>
    <w:rsid w:val="00505481"/>
    <w:rsid w:val="00506C28"/>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2DCD"/>
    <w:rsid w:val="00523546"/>
    <w:rsid w:val="00523F96"/>
    <w:rsid w:val="00524CC6"/>
    <w:rsid w:val="005250C4"/>
    <w:rsid w:val="005263CF"/>
    <w:rsid w:val="005266EF"/>
    <w:rsid w:val="005267F7"/>
    <w:rsid w:val="00527F15"/>
    <w:rsid w:val="00530334"/>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3E5"/>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225"/>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7866"/>
    <w:rsid w:val="00697F77"/>
    <w:rsid w:val="006A0843"/>
    <w:rsid w:val="006A107E"/>
    <w:rsid w:val="006A1109"/>
    <w:rsid w:val="006A3102"/>
    <w:rsid w:val="006A3441"/>
    <w:rsid w:val="006A38D3"/>
    <w:rsid w:val="006A62CA"/>
    <w:rsid w:val="006A6D6B"/>
    <w:rsid w:val="006B0D65"/>
    <w:rsid w:val="006B123E"/>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2FC"/>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41E1"/>
    <w:rsid w:val="007B420B"/>
    <w:rsid w:val="007B566D"/>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11E9"/>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4EFE"/>
    <w:rsid w:val="007F59D1"/>
    <w:rsid w:val="007F6FE5"/>
    <w:rsid w:val="007F70A0"/>
    <w:rsid w:val="007F711E"/>
    <w:rsid w:val="007F7E99"/>
    <w:rsid w:val="0080013E"/>
    <w:rsid w:val="00800775"/>
    <w:rsid w:val="008028A4"/>
    <w:rsid w:val="00804CC9"/>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0B2"/>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DAD"/>
    <w:rsid w:val="008726A1"/>
    <w:rsid w:val="008732FC"/>
    <w:rsid w:val="00873EFE"/>
    <w:rsid w:val="0087568C"/>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05DB"/>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1037"/>
    <w:rsid w:val="008B2758"/>
    <w:rsid w:val="008B2B4C"/>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68D4"/>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23C"/>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A31"/>
    <w:rsid w:val="009A0561"/>
    <w:rsid w:val="009A0AF3"/>
    <w:rsid w:val="009A0E05"/>
    <w:rsid w:val="009A1524"/>
    <w:rsid w:val="009A18FB"/>
    <w:rsid w:val="009A1E2F"/>
    <w:rsid w:val="009A1E95"/>
    <w:rsid w:val="009A3652"/>
    <w:rsid w:val="009A3E04"/>
    <w:rsid w:val="009A3F3F"/>
    <w:rsid w:val="009A4727"/>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C0E"/>
    <w:rsid w:val="009C6DB9"/>
    <w:rsid w:val="009C6DD5"/>
    <w:rsid w:val="009D0F24"/>
    <w:rsid w:val="009D18CD"/>
    <w:rsid w:val="009D2DA6"/>
    <w:rsid w:val="009D3610"/>
    <w:rsid w:val="009D4812"/>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4E8B"/>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44C0"/>
    <w:rsid w:val="00A3562E"/>
    <w:rsid w:val="00A40076"/>
    <w:rsid w:val="00A42202"/>
    <w:rsid w:val="00A425E8"/>
    <w:rsid w:val="00A42679"/>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84C"/>
    <w:rsid w:val="00AA54AE"/>
    <w:rsid w:val="00AA5912"/>
    <w:rsid w:val="00AA5AB5"/>
    <w:rsid w:val="00AA6946"/>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5C5"/>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2075"/>
    <w:rsid w:val="00B63538"/>
    <w:rsid w:val="00B63CFC"/>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629"/>
    <w:rsid w:val="00BE6AC4"/>
    <w:rsid w:val="00BF0410"/>
    <w:rsid w:val="00BF1A4A"/>
    <w:rsid w:val="00BF1D11"/>
    <w:rsid w:val="00BF3A68"/>
    <w:rsid w:val="00BF3E22"/>
    <w:rsid w:val="00BF3E71"/>
    <w:rsid w:val="00BF4041"/>
    <w:rsid w:val="00BF4650"/>
    <w:rsid w:val="00BF4AB3"/>
    <w:rsid w:val="00BF605F"/>
    <w:rsid w:val="00BF7BDC"/>
    <w:rsid w:val="00C00125"/>
    <w:rsid w:val="00C010AC"/>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0D39"/>
    <w:rsid w:val="00C21D59"/>
    <w:rsid w:val="00C22397"/>
    <w:rsid w:val="00C22559"/>
    <w:rsid w:val="00C23F63"/>
    <w:rsid w:val="00C24238"/>
    <w:rsid w:val="00C24650"/>
    <w:rsid w:val="00C25AAF"/>
    <w:rsid w:val="00C27B36"/>
    <w:rsid w:val="00C307E5"/>
    <w:rsid w:val="00C30930"/>
    <w:rsid w:val="00C31D2A"/>
    <w:rsid w:val="00C3291E"/>
    <w:rsid w:val="00C33079"/>
    <w:rsid w:val="00C330DF"/>
    <w:rsid w:val="00C3367A"/>
    <w:rsid w:val="00C343D1"/>
    <w:rsid w:val="00C356FF"/>
    <w:rsid w:val="00C35B7B"/>
    <w:rsid w:val="00C36153"/>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7FE"/>
    <w:rsid w:val="00C53169"/>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BCC"/>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24EB"/>
    <w:rsid w:val="00F625FB"/>
    <w:rsid w:val="00F64132"/>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56D4"/>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3689"/>
    <w:rsid w:val="00FF4E14"/>
    <w:rsid w:val="00FF6399"/>
    <w:rsid w:val="00FF6569"/>
    <w:rsid w:val="00FF6749"/>
    <w:rsid w:val="00FF7373"/>
    <w:rsid w:val="01832775"/>
    <w:rsid w:val="01C52661"/>
    <w:rsid w:val="03FFE710"/>
    <w:rsid w:val="07CA2A21"/>
    <w:rsid w:val="07D96C21"/>
    <w:rsid w:val="07DF1D17"/>
    <w:rsid w:val="08B56357"/>
    <w:rsid w:val="08CF61A5"/>
    <w:rsid w:val="09282EE2"/>
    <w:rsid w:val="0AFF7000"/>
    <w:rsid w:val="0C5E6B96"/>
    <w:rsid w:val="0FC354B1"/>
    <w:rsid w:val="102209B7"/>
    <w:rsid w:val="10EB315A"/>
    <w:rsid w:val="12235068"/>
    <w:rsid w:val="13DBABBF"/>
    <w:rsid w:val="151A03E7"/>
    <w:rsid w:val="17178427"/>
    <w:rsid w:val="17B848AB"/>
    <w:rsid w:val="17B98188"/>
    <w:rsid w:val="18947552"/>
    <w:rsid w:val="1A196BC3"/>
    <w:rsid w:val="1BCFB308"/>
    <w:rsid w:val="1BF6CC58"/>
    <w:rsid w:val="1CB35AE5"/>
    <w:rsid w:val="1CCC1828"/>
    <w:rsid w:val="1F772449"/>
    <w:rsid w:val="1FEF6B71"/>
    <w:rsid w:val="1FFE84E3"/>
    <w:rsid w:val="2126120C"/>
    <w:rsid w:val="21F42662"/>
    <w:rsid w:val="23063000"/>
    <w:rsid w:val="2370087A"/>
    <w:rsid w:val="23AB5057"/>
    <w:rsid w:val="251A0912"/>
    <w:rsid w:val="255C7391"/>
    <w:rsid w:val="282F3828"/>
    <w:rsid w:val="289A4223"/>
    <w:rsid w:val="2BF25E5E"/>
    <w:rsid w:val="2D7778C6"/>
    <w:rsid w:val="2E7B2248"/>
    <w:rsid w:val="2E7EFE56"/>
    <w:rsid w:val="2EC82111"/>
    <w:rsid w:val="2FE46BA7"/>
    <w:rsid w:val="2FFAE7E1"/>
    <w:rsid w:val="2FFB6F54"/>
    <w:rsid w:val="2FFFCD11"/>
    <w:rsid w:val="314D6131"/>
    <w:rsid w:val="323C48F6"/>
    <w:rsid w:val="339D7574"/>
    <w:rsid w:val="34FBF1F9"/>
    <w:rsid w:val="36752E41"/>
    <w:rsid w:val="36F77D90"/>
    <w:rsid w:val="38E529B8"/>
    <w:rsid w:val="398FC283"/>
    <w:rsid w:val="39D29E18"/>
    <w:rsid w:val="39D7635C"/>
    <w:rsid w:val="39F34C9B"/>
    <w:rsid w:val="3A7A8C1A"/>
    <w:rsid w:val="3BFCCCBB"/>
    <w:rsid w:val="3CEA0113"/>
    <w:rsid w:val="3CFF14AE"/>
    <w:rsid w:val="3D8D90A2"/>
    <w:rsid w:val="3DBF0B9C"/>
    <w:rsid w:val="3DFB5A92"/>
    <w:rsid w:val="3E21411A"/>
    <w:rsid w:val="3EC5A5D9"/>
    <w:rsid w:val="3EF7383C"/>
    <w:rsid w:val="3EF94F1B"/>
    <w:rsid w:val="3EFB8553"/>
    <w:rsid w:val="3EFFB04D"/>
    <w:rsid w:val="3F46116C"/>
    <w:rsid w:val="3F4BFFDB"/>
    <w:rsid w:val="3F4FF23E"/>
    <w:rsid w:val="3F7E2B66"/>
    <w:rsid w:val="3FA760AF"/>
    <w:rsid w:val="3FEDF495"/>
    <w:rsid w:val="3FF6BFD2"/>
    <w:rsid w:val="419A3ADD"/>
    <w:rsid w:val="43D9148F"/>
    <w:rsid w:val="45F64F43"/>
    <w:rsid w:val="46A36559"/>
    <w:rsid w:val="46FAA94E"/>
    <w:rsid w:val="48933737"/>
    <w:rsid w:val="4A4C2C5A"/>
    <w:rsid w:val="4A6FEA7C"/>
    <w:rsid w:val="4C0B5BE5"/>
    <w:rsid w:val="4D9BC14D"/>
    <w:rsid w:val="4D9E751D"/>
    <w:rsid w:val="4E4862FB"/>
    <w:rsid w:val="4F577406"/>
    <w:rsid w:val="4F7FCC4F"/>
    <w:rsid w:val="4F85336C"/>
    <w:rsid w:val="5178128B"/>
    <w:rsid w:val="51EFCD7D"/>
    <w:rsid w:val="528F1EF8"/>
    <w:rsid w:val="52A81D40"/>
    <w:rsid w:val="535363FE"/>
    <w:rsid w:val="53BD478F"/>
    <w:rsid w:val="53ED8584"/>
    <w:rsid w:val="554E230F"/>
    <w:rsid w:val="56DC7AE2"/>
    <w:rsid w:val="5759D9FD"/>
    <w:rsid w:val="57AB6956"/>
    <w:rsid w:val="57B7C97B"/>
    <w:rsid w:val="57DA3A98"/>
    <w:rsid w:val="57DD0776"/>
    <w:rsid w:val="57F879CB"/>
    <w:rsid w:val="5A116641"/>
    <w:rsid w:val="5A7A5928"/>
    <w:rsid w:val="5B3F879F"/>
    <w:rsid w:val="5B825828"/>
    <w:rsid w:val="5B99E193"/>
    <w:rsid w:val="5BDFEE14"/>
    <w:rsid w:val="5BE6C626"/>
    <w:rsid w:val="5BF75090"/>
    <w:rsid w:val="5D4946DE"/>
    <w:rsid w:val="5D6F08B9"/>
    <w:rsid w:val="5D7F85E4"/>
    <w:rsid w:val="5DDE3632"/>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2D81F9F"/>
    <w:rsid w:val="63302147"/>
    <w:rsid w:val="637D5EA4"/>
    <w:rsid w:val="63D45BD0"/>
    <w:rsid w:val="65A6E32E"/>
    <w:rsid w:val="65DED37C"/>
    <w:rsid w:val="65FF3BC8"/>
    <w:rsid w:val="66BFB592"/>
    <w:rsid w:val="67AA30BD"/>
    <w:rsid w:val="67FFCB52"/>
    <w:rsid w:val="68CA01FA"/>
    <w:rsid w:val="68EEFD39"/>
    <w:rsid w:val="69594E6E"/>
    <w:rsid w:val="69F8760C"/>
    <w:rsid w:val="69FF045E"/>
    <w:rsid w:val="6A0D33FA"/>
    <w:rsid w:val="6A923071"/>
    <w:rsid w:val="6B3D4805"/>
    <w:rsid w:val="6B7D08B0"/>
    <w:rsid w:val="6BE9D530"/>
    <w:rsid w:val="6BFB5458"/>
    <w:rsid w:val="6BFF7868"/>
    <w:rsid w:val="6C2174B1"/>
    <w:rsid w:val="6CEEF9A5"/>
    <w:rsid w:val="6CF5F53B"/>
    <w:rsid w:val="6DA4FC8B"/>
    <w:rsid w:val="6EB7C86E"/>
    <w:rsid w:val="6F554E8A"/>
    <w:rsid w:val="6F6D6D46"/>
    <w:rsid w:val="6F7D399A"/>
    <w:rsid w:val="6F7D9EAE"/>
    <w:rsid w:val="6F8F64FA"/>
    <w:rsid w:val="6FE6B675"/>
    <w:rsid w:val="6FEF8DBE"/>
    <w:rsid w:val="6FF5DA9D"/>
    <w:rsid w:val="6FFD1A79"/>
    <w:rsid w:val="71BB12DF"/>
    <w:rsid w:val="72004E9D"/>
    <w:rsid w:val="723BA105"/>
    <w:rsid w:val="72DF5477"/>
    <w:rsid w:val="734658AE"/>
    <w:rsid w:val="747F0D99"/>
    <w:rsid w:val="747F538E"/>
    <w:rsid w:val="74FFD617"/>
    <w:rsid w:val="75ED51FF"/>
    <w:rsid w:val="75F24DEA"/>
    <w:rsid w:val="76210792"/>
    <w:rsid w:val="76D53062"/>
    <w:rsid w:val="76EFFFA2"/>
    <w:rsid w:val="76FD2806"/>
    <w:rsid w:val="77FF249A"/>
    <w:rsid w:val="77FF67FA"/>
    <w:rsid w:val="77FF6D5F"/>
    <w:rsid w:val="77FFD583"/>
    <w:rsid w:val="780667D1"/>
    <w:rsid w:val="7823056D"/>
    <w:rsid w:val="783C0A23"/>
    <w:rsid w:val="788778E5"/>
    <w:rsid w:val="78C10229"/>
    <w:rsid w:val="78FB531A"/>
    <w:rsid w:val="79D78122"/>
    <w:rsid w:val="79FB6343"/>
    <w:rsid w:val="79FB68C9"/>
    <w:rsid w:val="7A1A61E8"/>
    <w:rsid w:val="7A751892"/>
    <w:rsid w:val="7A7E590B"/>
    <w:rsid w:val="7ABFB90E"/>
    <w:rsid w:val="7AC1C2F8"/>
    <w:rsid w:val="7AFF4301"/>
    <w:rsid w:val="7B09235D"/>
    <w:rsid w:val="7B379E62"/>
    <w:rsid w:val="7BB73A53"/>
    <w:rsid w:val="7BBB7A76"/>
    <w:rsid w:val="7BDFC113"/>
    <w:rsid w:val="7BE7C5B6"/>
    <w:rsid w:val="7BED2D70"/>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24A9"/>
    <w:rsid w:val="7E7E8C74"/>
    <w:rsid w:val="7EE5450E"/>
    <w:rsid w:val="7EFE88C7"/>
    <w:rsid w:val="7F7775C9"/>
    <w:rsid w:val="7F77FDD5"/>
    <w:rsid w:val="7F8F4B48"/>
    <w:rsid w:val="7F966AB8"/>
    <w:rsid w:val="7FA43494"/>
    <w:rsid w:val="7FA7A11A"/>
    <w:rsid w:val="7FAF60C0"/>
    <w:rsid w:val="7FB68F1E"/>
    <w:rsid w:val="7FBE6EBF"/>
    <w:rsid w:val="7FD742EA"/>
    <w:rsid w:val="7FD9BC95"/>
    <w:rsid w:val="7FDB28BB"/>
    <w:rsid w:val="7FE39C2C"/>
    <w:rsid w:val="7FEFFD82"/>
    <w:rsid w:val="7FF94EB2"/>
    <w:rsid w:val="7FFBA1C7"/>
    <w:rsid w:val="7FFBAEE9"/>
    <w:rsid w:val="7FFC6021"/>
    <w:rsid w:val="7FFF6BBB"/>
    <w:rsid w:val="7FFF9946"/>
    <w:rsid w:val="7FFFD240"/>
    <w:rsid w:val="7FFFFF78"/>
    <w:rsid w:val="87E758F9"/>
    <w:rsid w:val="8B7F4606"/>
    <w:rsid w:val="8BBF9F19"/>
    <w:rsid w:val="8F82BC5F"/>
    <w:rsid w:val="8FB7D990"/>
    <w:rsid w:val="97B769C8"/>
    <w:rsid w:val="99F78455"/>
    <w:rsid w:val="9CFE6D74"/>
    <w:rsid w:val="9EFF06E3"/>
    <w:rsid w:val="9FEA54D3"/>
    <w:rsid w:val="9FFF453E"/>
    <w:rsid w:val="A7FF4130"/>
    <w:rsid w:val="AB370827"/>
    <w:rsid w:val="AF73FD1E"/>
    <w:rsid w:val="AFFD3E23"/>
    <w:rsid w:val="B3F60A89"/>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D95C7"/>
    <w:rsid w:val="BFEFAC87"/>
    <w:rsid w:val="BFF703E5"/>
    <w:rsid w:val="BFF741B2"/>
    <w:rsid w:val="BFF7A0F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7F6EA7"/>
    <w:rsid w:val="DEF7D523"/>
    <w:rsid w:val="DF551A3F"/>
    <w:rsid w:val="DF6E59E2"/>
    <w:rsid w:val="DF7F0881"/>
    <w:rsid w:val="DFDF58FF"/>
    <w:rsid w:val="DFF3B3F5"/>
    <w:rsid w:val="DFF7A580"/>
    <w:rsid w:val="DFFF5DD0"/>
    <w:rsid w:val="E3FFE26D"/>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32D49FA"/>
    <w:rsid w:val="F35E5E97"/>
    <w:rsid w:val="F38B817C"/>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F0143"/>
    <w:rsid w:val="FCFDB96A"/>
    <w:rsid w:val="FCFF2403"/>
    <w:rsid w:val="FD6F1B0F"/>
    <w:rsid w:val="FD7ECD59"/>
    <w:rsid w:val="FD7FCEA2"/>
    <w:rsid w:val="FDBB0212"/>
    <w:rsid w:val="FDD58F26"/>
    <w:rsid w:val="FDDF6C2E"/>
    <w:rsid w:val="FDDF7AA1"/>
    <w:rsid w:val="FDDFF161"/>
    <w:rsid w:val="FE392101"/>
    <w:rsid w:val="FE4E07CE"/>
    <w:rsid w:val="FEBF2B3F"/>
    <w:rsid w:val="FED960B4"/>
    <w:rsid w:val="FEDF6B94"/>
    <w:rsid w:val="FEE948CF"/>
    <w:rsid w:val="FEEFAB52"/>
    <w:rsid w:val="FEEFBE78"/>
    <w:rsid w:val="FEF698B4"/>
    <w:rsid w:val="FEFD8FED"/>
    <w:rsid w:val="FEFF0298"/>
    <w:rsid w:val="FEFF0AE5"/>
    <w:rsid w:val="FEFF5A90"/>
    <w:rsid w:val="FF1E1EE2"/>
    <w:rsid w:val="FF6F0E61"/>
    <w:rsid w:val="FF75BB51"/>
    <w:rsid w:val="FF762897"/>
    <w:rsid w:val="FF7B4C1C"/>
    <w:rsid w:val="FF7D3CF2"/>
    <w:rsid w:val="FF7EF1FD"/>
    <w:rsid w:val="FFBEC47B"/>
    <w:rsid w:val="FFBF0416"/>
    <w:rsid w:val="FFDC39CD"/>
    <w:rsid w:val="FFDF10EF"/>
    <w:rsid w:val="FFEF22EC"/>
    <w:rsid w:val="FFF747A6"/>
    <w:rsid w:val="FFF7B09E"/>
    <w:rsid w:val="FFFB037D"/>
    <w:rsid w:val="FFFD602D"/>
    <w:rsid w:val="FFFD9FE4"/>
    <w:rsid w:val="FFFDD25E"/>
    <w:rsid w:val="FFFF0FD9"/>
    <w:rsid w:val="FFFFC0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5"/>
    <w:semiHidden/>
    <w:unhideWhenUsed/>
    <w:qFormat/>
    <w:uiPriority w:val="0"/>
    <w:rPr>
      <w:rFonts w:ascii="宋体"/>
      <w:sz w:val="18"/>
      <w:szCs w:val="18"/>
    </w:rPr>
  </w:style>
  <w:style w:type="paragraph" w:styleId="20">
    <w:name w:val="annotation text"/>
    <w:basedOn w:val="1"/>
    <w:link w:val="78"/>
    <w:semiHidden/>
    <w:unhideWhenUsed/>
    <w:qFormat/>
    <w:uiPriority w:val="0"/>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4"/>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7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semiHidden/>
    <w:qFormat/>
    <w:uiPriority w:val="0"/>
    <w:pPr>
      <w:ind w:left="1418" w:hanging="1418"/>
    </w:pPr>
  </w:style>
  <w:style w:type="paragraph" w:styleId="27">
    <w:name w:val="Normal (Web)"/>
    <w:basedOn w:val="1"/>
    <w:semiHidden/>
    <w:unhideWhenUsed/>
    <w:qFormat/>
    <w:uiPriority w:val="99"/>
    <w:pPr>
      <w:spacing w:beforeAutospacing="1" w:after="0" w:afterAutospacing="1"/>
    </w:pPr>
    <w:rPr>
      <w:rFonts w:ascii="宋体" w:hAnsi="宋体"/>
      <w:sz w:val="24"/>
      <w:szCs w:val="24"/>
      <w:lang w:eastAsia="zh-CN"/>
    </w:rPr>
  </w:style>
  <w:style w:type="paragraph" w:styleId="28">
    <w:name w:val="Title"/>
    <w:basedOn w:val="1"/>
    <w:next w:val="1"/>
    <w:link w:val="86"/>
    <w:qFormat/>
    <w:uiPriority w:val="0"/>
    <w:pPr>
      <w:spacing w:before="240" w:after="60"/>
      <w:jc w:val="center"/>
      <w:outlineLvl w:val="0"/>
    </w:pPr>
    <w:rPr>
      <w:rFonts w:asciiTheme="majorHAnsi" w:hAnsiTheme="majorHAnsi" w:eastAsiaTheme="majorEastAsia" w:cstheme="majorBidi"/>
      <w:b/>
      <w:bCs/>
      <w:sz w:val="32"/>
      <w:szCs w:val="32"/>
    </w:rPr>
  </w:style>
  <w:style w:type="paragraph" w:styleId="29">
    <w:name w:val="annotation subject"/>
    <w:basedOn w:val="20"/>
    <w:next w:val="20"/>
    <w:link w:val="79"/>
    <w:semiHidden/>
    <w:unhideWhenUsed/>
    <w:qFormat/>
    <w:uiPriority w:val="0"/>
    <w:rPr>
      <w:b/>
      <w:bCs/>
    </w:r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uiPriority w:val="0"/>
    <w:rPr>
      <w:b/>
    </w:rPr>
  </w:style>
  <w:style w:type="character" w:styleId="34">
    <w:name w:val="Hyperlink"/>
    <w:qFormat/>
    <w:uiPriority w:val="0"/>
    <w:rPr>
      <w:color w:val="0000FF"/>
      <w:u w:val="single"/>
    </w:rPr>
  </w:style>
  <w:style w:type="character" w:styleId="35">
    <w:name w:val="annotation reference"/>
    <w:basedOn w:val="32"/>
    <w:semiHidden/>
    <w:unhideWhenUsed/>
    <w:qFormat/>
    <w:uiPriority w:val="0"/>
    <w:rPr>
      <w:sz w:val="21"/>
      <w:szCs w:val="21"/>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link w:val="8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85"/>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5"/>
    <w:link w:val="97"/>
    <w:qFormat/>
    <w:uiPriority w:val="0"/>
  </w:style>
  <w:style w:type="paragraph" w:customStyle="1" w:styleId="53">
    <w:name w:val="Editor's Note"/>
    <w:basedOn w:val="41"/>
    <w:qFormat/>
    <w:uiPriority w:val="0"/>
    <w:rPr>
      <w:color w:val="FF0000"/>
    </w:rPr>
  </w:style>
  <w:style w:type="paragraph" w:customStyle="1" w:styleId="54">
    <w:name w:val="TH"/>
    <w:basedOn w:val="1"/>
    <w:link w:val="96"/>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Header Char"/>
    <w:link w:val="24"/>
    <w:qFormat/>
    <w:uiPriority w:val="0"/>
    <w:rPr>
      <w:rFonts w:ascii="Arial" w:hAnsi="Arial"/>
      <w:b/>
      <w:sz w:val="18"/>
      <w:lang w:val="en-GB" w:eastAsia="ja-JP" w:bidi="ar-SA"/>
    </w:rPr>
  </w:style>
  <w:style w:type="paragraph" w:customStyle="1" w:styleId="72">
    <w:name w:val="CR Cover Page"/>
    <w:qFormat/>
    <w:uiPriority w:val="0"/>
    <w:pPr>
      <w:spacing w:after="120"/>
    </w:pPr>
    <w:rPr>
      <w:rFonts w:ascii="Arial" w:hAnsi="Arial" w:eastAsia="MS Mincho" w:cs="Times New Roman"/>
      <w:lang w:val="en-GB" w:eastAsia="en-US" w:bidi="ar-SA"/>
    </w:rPr>
  </w:style>
  <w:style w:type="paragraph" w:styleId="73">
    <w:name w:val="List Paragraph"/>
    <w:basedOn w:val="1"/>
    <w:link w:val="94"/>
    <w:qFormat/>
    <w:uiPriority w:val="34"/>
    <w:pPr>
      <w:ind w:left="720"/>
      <w:contextualSpacing/>
    </w:pPr>
  </w:style>
  <w:style w:type="character" w:customStyle="1" w:styleId="74">
    <w:name w:val="Balloon Text Char"/>
    <w:basedOn w:val="32"/>
    <w:link w:val="22"/>
    <w:semiHidden/>
    <w:qFormat/>
    <w:uiPriority w:val="0"/>
    <w:rPr>
      <w:rFonts w:ascii="Segoe UI" w:hAnsi="Segoe UI" w:cs="Segoe UI"/>
      <w:sz w:val="18"/>
      <w:szCs w:val="18"/>
      <w:lang w:eastAsia="en-US"/>
    </w:rPr>
  </w:style>
  <w:style w:type="character" w:customStyle="1" w:styleId="75">
    <w:name w:val="Document Map Char"/>
    <w:basedOn w:val="32"/>
    <w:link w:val="19"/>
    <w:semiHidden/>
    <w:qFormat/>
    <w:uiPriority w:val="0"/>
    <w:rPr>
      <w:rFonts w:ascii="宋体"/>
      <w:sz w:val="18"/>
      <w:szCs w:val="18"/>
      <w:lang w:eastAsia="en-US"/>
    </w:rPr>
  </w:style>
  <w:style w:type="paragraph" w:customStyle="1" w:styleId="76">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7">
    <w:name w:val="修订1"/>
    <w:hidden/>
    <w:semiHidden/>
    <w:qFormat/>
    <w:uiPriority w:val="99"/>
    <w:rPr>
      <w:rFonts w:ascii="Times New Roman" w:hAnsi="Times New Roman" w:eastAsia="宋体" w:cs="Times New Roman"/>
      <w:lang w:val="en-US" w:eastAsia="en-US" w:bidi="ar-SA"/>
    </w:rPr>
  </w:style>
  <w:style w:type="character" w:customStyle="1" w:styleId="78">
    <w:name w:val="Comment Text Char"/>
    <w:basedOn w:val="32"/>
    <w:link w:val="20"/>
    <w:semiHidden/>
    <w:qFormat/>
    <w:uiPriority w:val="0"/>
    <w:rPr>
      <w:lang w:val="en-US" w:eastAsia="en-US"/>
    </w:rPr>
  </w:style>
  <w:style w:type="character" w:customStyle="1" w:styleId="79">
    <w:name w:val="Comment Subject Char"/>
    <w:basedOn w:val="78"/>
    <w:link w:val="29"/>
    <w:semiHidden/>
    <w:qFormat/>
    <w:uiPriority w:val="0"/>
    <w:rPr>
      <w:b/>
      <w:bCs/>
      <w:lang w:val="en-US" w:eastAsia="en-US"/>
    </w:rPr>
  </w:style>
  <w:style w:type="character" w:customStyle="1" w:styleId="80">
    <w:name w:val="PL Char"/>
    <w:link w:val="42"/>
    <w:qFormat/>
    <w:uiPriority w:val="0"/>
    <w:rPr>
      <w:rFonts w:ascii="Courier New" w:hAnsi="Courier New"/>
      <w:sz w:val="16"/>
      <w:lang w:eastAsia="en-US"/>
    </w:rPr>
  </w:style>
  <w:style w:type="paragraph" w:customStyle="1" w:styleId="81">
    <w:name w:val="3GPP_Header"/>
    <w:basedOn w:val="1"/>
    <w:link w:val="82"/>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82">
    <w:name w:val="3GPP_Header Char"/>
    <w:link w:val="81"/>
    <w:qFormat/>
    <w:uiPriority w:val="0"/>
    <w:rPr>
      <w:rFonts w:eastAsia="Times New Roman"/>
      <w:b/>
      <w:sz w:val="24"/>
      <w:lang w:eastAsia="zh-CN"/>
    </w:rPr>
  </w:style>
  <w:style w:type="paragraph" w:customStyle="1" w:styleId="83">
    <w:name w:val="Comments"/>
    <w:basedOn w:val="1"/>
    <w:link w:val="84"/>
    <w:qFormat/>
    <w:uiPriority w:val="0"/>
    <w:pPr>
      <w:spacing w:before="40" w:after="0"/>
    </w:pPr>
    <w:rPr>
      <w:rFonts w:ascii="Arial" w:hAnsi="Arial" w:eastAsia="MS Mincho"/>
      <w:i/>
      <w:sz w:val="18"/>
      <w:szCs w:val="24"/>
      <w:lang w:val="en-GB" w:eastAsia="en-GB"/>
    </w:rPr>
  </w:style>
  <w:style w:type="character" w:customStyle="1" w:styleId="84">
    <w:name w:val="Comments Char"/>
    <w:link w:val="83"/>
    <w:qFormat/>
    <w:uiPriority w:val="0"/>
    <w:rPr>
      <w:rFonts w:ascii="Arial" w:hAnsi="Arial" w:eastAsia="MS Mincho"/>
      <w:i/>
      <w:sz w:val="18"/>
      <w:szCs w:val="24"/>
    </w:rPr>
  </w:style>
  <w:style w:type="character" w:customStyle="1" w:styleId="85">
    <w:name w:val="TAL Char"/>
    <w:link w:val="44"/>
    <w:qFormat/>
    <w:locked/>
    <w:uiPriority w:val="0"/>
    <w:rPr>
      <w:rFonts w:ascii="Arial" w:hAnsi="Arial"/>
      <w:sz w:val="18"/>
      <w:lang w:val="en-US" w:eastAsia="en-US"/>
    </w:rPr>
  </w:style>
  <w:style w:type="character" w:customStyle="1" w:styleId="86">
    <w:name w:val="Title Char"/>
    <w:basedOn w:val="32"/>
    <w:link w:val="28"/>
    <w:qFormat/>
    <w:uiPriority w:val="0"/>
    <w:rPr>
      <w:rFonts w:asciiTheme="majorHAnsi" w:hAnsiTheme="majorHAnsi" w:eastAsiaTheme="majorEastAsia" w:cstheme="majorBidi"/>
      <w:b/>
      <w:bCs/>
      <w:sz w:val="32"/>
      <w:szCs w:val="32"/>
      <w:lang w:val="en-US" w:eastAsia="en-US"/>
    </w:rPr>
  </w:style>
  <w:style w:type="table" w:customStyle="1" w:styleId="87">
    <w:name w:val="网格表 1 浅色1"/>
    <w:basedOn w:val="3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88">
    <w:name w:val="无格式表格 51"/>
    <w:basedOn w:val="30"/>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89">
    <w:name w:val="无格式表格 41"/>
    <w:basedOn w:val="30"/>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0">
    <w:name w:val="无格式表格 31"/>
    <w:basedOn w:val="30"/>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91">
    <w:name w:val="无格式表格 21"/>
    <w:basedOn w:val="30"/>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92">
    <w:name w:val="无格式表格 11"/>
    <w:basedOn w:val="30"/>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3">
    <w:name w:val="网格型浅色1"/>
    <w:basedOn w:val="30"/>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94">
    <w:name w:val="List Paragraph Char"/>
    <w:link w:val="73"/>
    <w:qFormat/>
    <w:locked/>
    <w:uiPriority w:val="34"/>
    <w:rPr>
      <w:lang w:val="en-US" w:eastAsia="en-US"/>
    </w:rPr>
  </w:style>
  <w:style w:type="paragraph" w:customStyle="1" w:styleId="95">
    <w:name w:val="numbered"/>
    <w:basedOn w:val="1"/>
    <w:next w:val="73"/>
    <w:qFormat/>
    <w:uiPriority w:val="34"/>
    <w:pPr>
      <w:spacing w:line="256" w:lineRule="auto"/>
      <w:ind w:left="720"/>
      <w:contextualSpacing/>
    </w:pPr>
    <w:rPr>
      <w:rFonts w:ascii="Times" w:hAnsi="Times"/>
      <w:sz w:val="22"/>
      <w:szCs w:val="24"/>
      <w:lang w:eastAsia="ja-JP"/>
    </w:rPr>
  </w:style>
  <w:style w:type="character" w:customStyle="1" w:styleId="96">
    <w:name w:val="TH Char"/>
    <w:link w:val="54"/>
    <w:qFormat/>
    <w:locked/>
    <w:uiPriority w:val="0"/>
    <w:rPr>
      <w:rFonts w:ascii="Arial" w:hAnsi="Arial"/>
      <w:b/>
      <w:lang w:val="en-US" w:eastAsia="en-US"/>
    </w:rPr>
  </w:style>
  <w:style w:type="character" w:customStyle="1" w:styleId="97">
    <w:name w:val="B1 Char1"/>
    <w:link w:val="52"/>
    <w:qFormat/>
    <w:locked/>
    <w:uiPriority w:val="0"/>
    <w:rPr>
      <w:lang w:val="en-US" w:eastAsia="en-US"/>
    </w:rPr>
  </w:style>
  <w:style w:type="paragraph" w:customStyle="1" w:styleId="98">
    <w:name w:val="Revision1"/>
    <w:hidden/>
    <w:unhideWhenUsed/>
    <w:qFormat/>
    <w:uiPriority w:val="99"/>
    <w:rPr>
      <w:rFonts w:ascii="Times New Roman" w:hAnsi="Times New Roman" w:eastAsia="宋体" w:cs="Times New Roman"/>
      <w:lang w:val="en-US" w:eastAsia="en-US" w:bidi="ar-SA"/>
    </w:rPr>
  </w:style>
  <w:style w:type="character" w:customStyle="1" w:styleId="99">
    <w:name w:val="Unresolved Mention1"/>
    <w:basedOn w:val="32"/>
    <w:semiHidden/>
    <w:unhideWhenUsed/>
    <w:qFormat/>
    <w:uiPriority w:val="99"/>
    <w:rPr>
      <w:color w:val="605E5C"/>
      <w:shd w:val="clear" w:color="auto" w:fill="E1DFDD"/>
    </w:rPr>
  </w:style>
  <w:style w:type="paragraph" w:customStyle="1" w:styleId="100">
    <w:name w:val="Revision2"/>
    <w:hidden/>
    <w:unhideWhenUsed/>
    <w:qFormat/>
    <w:uiPriority w:val="99"/>
    <w:rPr>
      <w:rFonts w:ascii="Times New Roman" w:hAnsi="Times New Roman" w:eastAsia="宋体" w:cs="Times New Roman"/>
      <w:lang w:val="en-US" w:eastAsia="en-US" w:bidi="ar-SA"/>
    </w:rPr>
  </w:style>
  <w:style w:type="table" w:customStyle="1" w:styleId="101">
    <w:name w:val="Table Normal1"/>
    <w:basedOn w:val="30"/>
    <w:semiHidden/>
    <w:qFormat/>
    <w:uiPriority w:val="0"/>
    <w:rPr>
      <w:rFonts w:hint="eastAsia" w:ascii="等线" w:hAnsi="等线" w:eastAsia="等线" w:cs="等线"/>
      <w:kern w:val="2"/>
      <w:sz w:val="21"/>
      <w:szCs w:val="22"/>
    </w:rPr>
  </w:style>
  <w:style w:type="paragraph" w:customStyle="1" w:styleId="102">
    <w:name w:val="Revision3"/>
    <w:hidden/>
    <w:unhideWhenUsed/>
    <w:qFormat/>
    <w:uiPriority w:val="99"/>
    <w:rPr>
      <w:rFonts w:ascii="Times New Roman" w:hAnsi="Times New Roman" w:eastAsia="宋体" w:cs="Times New Roman"/>
      <w:lang w:val="en-US" w:eastAsia="en-US" w:bidi="ar-SA"/>
    </w:rPr>
  </w:style>
  <w:style w:type="table" w:customStyle="1" w:styleId="103">
    <w:name w:val="Table Normal2"/>
    <w:basedOn w:val="30"/>
    <w:semiHidden/>
    <w:qFormat/>
    <w:uiPriority w:val="0"/>
  </w:style>
  <w:style w:type="paragraph" w:customStyle="1" w:styleId="104">
    <w:name w:val="Revision4"/>
    <w:hidden/>
    <w:unhideWhenUsed/>
    <w:qFormat/>
    <w:uiPriority w:val="99"/>
    <w:rPr>
      <w:rFonts w:ascii="Times New Roman" w:hAnsi="Times New Roman" w:eastAsia="宋体" w:cs="Times New Roman"/>
      <w:lang w:val="en-US" w:eastAsia="en-US" w:bidi="ar-SA"/>
    </w:rPr>
  </w:style>
  <w:style w:type="character" w:customStyle="1" w:styleId="105">
    <w:name w:val="列表段落 字符"/>
    <w:basedOn w:val="32"/>
    <w:qFormat/>
    <w:uiPriority w:val="0"/>
    <w:rPr>
      <w:rFonts w:hint="eastAsia" w:ascii="宋体" w:hAnsi="宋体" w:eastAsia="宋体" w:cs="宋体"/>
      <w:lang w:eastAsia="en-US"/>
    </w:rPr>
  </w:style>
  <w:style w:type="table" w:customStyle="1" w:styleId="106">
    <w:name w:val="Table Normal3"/>
    <w:basedOn w:val="30"/>
    <w:semiHidden/>
    <w:qFormat/>
    <w:uiPriority w:val="0"/>
  </w:style>
  <w:style w:type="paragraph" w:customStyle="1" w:styleId="107">
    <w:name w:val="Revision5"/>
    <w:hidden/>
    <w:unhideWhenUsed/>
    <w:qFormat/>
    <w:uiPriority w:val="99"/>
    <w:rPr>
      <w:rFonts w:ascii="Times New Roman" w:hAnsi="Times New Roman" w:eastAsia="宋体" w:cs="Times New Roman"/>
      <w:lang w:val="en-US" w:eastAsia="en-US" w:bidi="ar-SA"/>
    </w:rPr>
  </w:style>
  <w:style w:type="paragraph" w:customStyle="1" w:styleId="108">
    <w:name w:val="Revision"/>
    <w:hidden/>
    <w:unhideWhenUsed/>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34D2A19-8514-40FF-B040-E925845E65D9}">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4</Pages>
  <Words>1427</Words>
  <Characters>8138</Characters>
  <Lines>67</Lines>
  <Paragraphs>19</Paragraphs>
  <TotalTime>8</TotalTime>
  <ScaleCrop>false</ScaleCrop>
  <LinksUpToDate>false</LinksUpToDate>
  <CharactersWithSpaces>9546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2025-11-27T00:32:00Z</dcterms:created>
  <dc:creator>cmcc</dc:creator>
  <cp:lastModifiedBy>cmcc</cp:lastModifiedBy>
  <dcterms:modified xsi:type="dcterms:W3CDTF">2025-11-28T10:33:25Z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2052-12.8.2.21549</vt:lpwstr>
  </property>
  <property fmtid="{D5CDD505-2E9C-101B-9397-08002B2CF9AE}" pid="5" name="ICV">
    <vt:lpwstr>54F24BE08D9C4839A980FBF05B94B234_13</vt:lpwstr>
  </property>
</Properties>
</file>