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5207DFB8"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F52F41">
        <w:rPr>
          <w:rFonts w:cs="Arial"/>
          <w:b/>
          <w:sz w:val="28"/>
          <w:szCs w:val="28"/>
        </w:rPr>
        <w:t>9</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009477DC" w:rsidRPr="009477DC">
        <w:rPr>
          <w:rFonts w:eastAsia="MS Mincho" w:cs="Arial"/>
          <w:b/>
          <w:sz w:val="28"/>
          <w:szCs w:val="28"/>
        </w:rPr>
        <w:t>RP-25</w:t>
      </w:r>
      <w:r w:rsidR="008F5F98">
        <w:rPr>
          <w:rFonts w:eastAsia="MS Mincho" w:cs="Arial"/>
          <w:b/>
          <w:sz w:val="28"/>
          <w:szCs w:val="28"/>
        </w:rPr>
        <w:t>2319</w:t>
      </w:r>
    </w:p>
    <w:p w14:paraId="72947B97" w14:textId="77777777" w:rsidR="00507906" w:rsidRPr="00A079D3" w:rsidRDefault="00F52F41" w:rsidP="00507906">
      <w:pPr>
        <w:keepLines/>
        <w:tabs>
          <w:tab w:val="left" w:pos="567"/>
        </w:tabs>
        <w:rPr>
          <w:rFonts w:cs="Arial"/>
          <w:b/>
          <w:sz w:val="28"/>
          <w:szCs w:val="28"/>
        </w:rPr>
      </w:pPr>
      <w:r>
        <w:rPr>
          <w:rFonts w:cs="Arial"/>
          <w:b/>
          <w:sz w:val="28"/>
          <w:szCs w:val="28"/>
        </w:rPr>
        <w:t>Beijing</w:t>
      </w:r>
      <w:r w:rsidR="00507906">
        <w:rPr>
          <w:rFonts w:cs="Arial"/>
          <w:b/>
          <w:sz w:val="28"/>
          <w:szCs w:val="28"/>
        </w:rPr>
        <w:t xml:space="preserve">, </w:t>
      </w:r>
      <w:r>
        <w:rPr>
          <w:rFonts w:cs="Arial"/>
          <w:b/>
          <w:sz w:val="28"/>
          <w:szCs w:val="28"/>
        </w:rPr>
        <w:t>China</w:t>
      </w:r>
      <w:r w:rsidR="00507906">
        <w:rPr>
          <w:rFonts w:cs="Arial"/>
          <w:b/>
          <w:sz w:val="28"/>
          <w:szCs w:val="28"/>
        </w:rPr>
        <w:t xml:space="preserve">, </w:t>
      </w:r>
      <w:r w:rsidR="00727F0F">
        <w:rPr>
          <w:rFonts w:cs="Arial"/>
          <w:b/>
          <w:sz w:val="28"/>
          <w:szCs w:val="28"/>
        </w:rPr>
        <w:t>September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2FEF90A3" w:rsidR="006F0FFF" w:rsidRDefault="006F0FFF" w:rsidP="006F0FFF">
      <w:pPr>
        <w:pStyle w:val="3GPPheader"/>
      </w:pPr>
      <w:r w:rsidRPr="35436E32">
        <w:t>Agenda Item:</w:t>
      </w:r>
      <w:r>
        <w:tab/>
      </w:r>
      <w:r w:rsidR="00727F0F" w:rsidRPr="35436E32">
        <w:t>8.2</w:t>
      </w:r>
      <w:r w:rsidR="00CF0500" w:rsidRPr="35436E32">
        <w:t>.1</w:t>
      </w:r>
      <w:r w:rsidR="00727F0F" w:rsidRPr="35436E32">
        <w:t>.4</w:t>
      </w:r>
    </w:p>
    <w:p w14:paraId="6A0057C7" w14:textId="5C1AEC0D" w:rsidR="006F0FFF" w:rsidRDefault="006F0FFF" w:rsidP="006F0FFF">
      <w:pPr>
        <w:pStyle w:val="3GPPheader"/>
      </w:pPr>
      <w:r w:rsidRPr="35436E32">
        <w:t>Source:</w:t>
      </w:r>
      <w:r w:rsidR="004A3016">
        <w:t xml:space="preserve"> Rakuten Mobile</w:t>
      </w:r>
    </w:p>
    <w:p w14:paraId="2A34585E" w14:textId="2FB4C677" w:rsidR="006F0FFF" w:rsidRDefault="006F0FFF" w:rsidP="006F0FFF">
      <w:pPr>
        <w:pStyle w:val="3GPPheader"/>
      </w:pPr>
      <w:r w:rsidRPr="35436E32">
        <w:t>Title:</w:t>
      </w:r>
      <w:r w:rsidR="008A25DA">
        <w:t xml:space="preserve"> Requirements for 6G </w:t>
      </w:r>
      <w:r w:rsidR="00E80C3D" w:rsidRPr="35436E32">
        <w:t>NTN</w:t>
      </w:r>
      <w:r w:rsidR="00F617E1">
        <w:t xml:space="preserve"> interworking with TN</w:t>
      </w:r>
    </w:p>
    <w:p w14:paraId="5214F1D7" w14:textId="76652B17" w:rsidR="00024C71" w:rsidRDefault="006F0FFF" w:rsidP="006F0FFF">
      <w:pPr>
        <w:pStyle w:val="3GPPheader"/>
      </w:pPr>
      <w:r w:rsidRPr="35436E32">
        <w:t>Document for:</w:t>
      </w:r>
      <w:r>
        <w:tab/>
      </w:r>
      <w:r w:rsidR="00507906" w:rsidRPr="35436E32">
        <w:t>Approval</w:t>
      </w:r>
    </w:p>
    <w:p w14:paraId="5195A5A3" w14:textId="77777777" w:rsidR="00024C71" w:rsidRDefault="00024C71" w:rsidP="00024C71">
      <w:pPr>
        <w:pStyle w:val="Heading1"/>
      </w:pPr>
      <w:r>
        <w:t>1</w:t>
      </w:r>
      <w:r>
        <w:tab/>
        <w:t>Introduction</w:t>
      </w:r>
    </w:p>
    <w:p w14:paraId="080B15F1" w14:textId="452E902F" w:rsidR="008448DA" w:rsidRPr="008448DA" w:rsidRDefault="008448DA" w:rsidP="008448DA">
      <w:pPr>
        <w:spacing w:before="100" w:beforeAutospacing="1" w:after="100" w:afterAutospacing="1" w:line="240" w:lineRule="auto"/>
        <w:rPr>
          <w:rFonts w:eastAsia="Times New Roman" w:cs="Arial"/>
          <w:szCs w:val="20"/>
          <w:lang w:val="en-JP" w:eastAsia="ja-JP"/>
        </w:rPr>
      </w:pPr>
      <w:r w:rsidRPr="008448DA">
        <w:rPr>
          <w:rFonts w:eastAsia="Times New Roman" w:cs="Arial"/>
          <w:szCs w:val="20"/>
          <w:lang w:val="en-JP" w:eastAsia="ja-JP"/>
        </w:rPr>
        <w:t>Non</w:t>
      </w:r>
      <w:r w:rsidRPr="008448DA">
        <w:rPr>
          <w:rFonts w:eastAsia="Times New Roman" w:cs="Arial"/>
          <w:szCs w:val="20"/>
          <w:lang w:val="en-JP" w:eastAsia="ja-JP"/>
        </w:rPr>
        <w:noBreakHyphen/>
        <w:t>Terrestrial Networks (NTN) are entering operator roadmaps as an extension of terrestrial networks (TN) to achieve ubiquitous handheld coverage and resilience. To accelerate practical deployment while protecting existing terrestrial assets and spectrum investments, this paper proposes service</w:t>
      </w:r>
      <w:r w:rsidRPr="008448DA">
        <w:rPr>
          <w:rFonts w:eastAsia="Times New Roman" w:cs="Arial"/>
          <w:szCs w:val="20"/>
          <w:lang w:val="en-JP" w:eastAsia="ja-JP"/>
        </w:rPr>
        <w:noBreakHyphen/>
        <w:t>level requirements for:</w:t>
      </w:r>
    </w:p>
    <w:p w14:paraId="2C557028" w14:textId="663ABBB1" w:rsidR="008448DA" w:rsidRPr="008448DA" w:rsidRDefault="008448DA" w:rsidP="008448DA">
      <w:pPr>
        <w:numPr>
          <w:ilvl w:val="0"/>
          <w:numId w:val="13"/>
        </w:numPr>
        <w:spacing w:before="100" w:beforeAutospacing="1" w:after="100" w:afterAutospacing="1" w:line="240" w:lineRule="auto"/>
        <w:rPr>
          <w:rFonts w:eastAsia="Times New Roman" w:cs="Arial"/>
          <w:szCs w:val="20"/>
          <w:lang w:val="en-JP" w:eastAsia="ja-JP"/>
        </w:rPr>
      </w:pPr>
      <w:r w:rsidRPr="008448DA">
        <w:rPr>
          <w:rFonts w:eastAsia="Times New Roman" w:cs="Arial"/>
          <w:szCs w:val="20"/>
          <w:lang w:val="en-JP" w:eastAsia="ja-JP"/>
        </w:rPr>
        <w:t>NTN</w:t>
      </w:r>
      <w:r w:rsidR="008A25DA" w:rsidRPr="008448DA">
        <w:rPr>
          <w:rFonts w:eastAsia="Times New Roman" w:cs="Arial"/>
          <w:szCs w:val="20"/>
          <w:lang w:val="en-JP" w:eastAsia="ja-JP"/>
        </w:rPr>
        <w:t>↔</w:t>
      </w:r>
      <w:r w:rsidRPr="008448DA">
        <w:rPr>
          <w:rFonts w:eastAsia="Times New Roman" w:cs="Arial"/>
          <w:szCs w:val="20"/>
          <w:lang w:val="en-JP" w:eastAsia="ja-JP"/>
        </w:rPr>
        <w:t xml:space="preserve">TN Mobility: </w:t>
      </w:r>
    </w:p>
    <w:p w14:paraId="64BC6B72" w14:textId="0067D13D" w:rsidR="008448DA" w:rsidRPr="008448DA" w:rsidRDefault="008448DA" w:rsidP="008448DA">
      <w:pPr>
        <w:numPr>
          <w:ilvl w:val="0"/>
          <w:numId w:val="13"/>
        </w:numPr>
        <w:spacing w:before="100" w:beforeAutospacing="1" w:after="100" w:afterAutospacing="1" w:line="240" w:lineRule="auto"/>
        <w:rPr>
          <w:rFonts w:eastAsia="Times New Roman" w:cs="Arial"/>
          <w:szCs w:val="20"/>
          <w:lang w:val="en-JP" w:eastAsia="ja-JP"/>
        </w:rPr>
      </w:pPr>
      <w:r w:rsidRPr="008448DA">
        <w:rPr>
          <w:rFonts w:eastAsia="Times New Roman" w:cs="Arial"/>
          <w:szCs w:val="20"/>
          <w:lang w:val="en-JP" w:eastAsia="ja-JP"/>
        </w:rPr>
        <w:t>NTN↔TN Spectrum Sharing (MRSS):</w:t>
      </w:r>
    </w:p>
    <w:p w14:paraId="2B72E81B" w14:textId="21F0AEDD" w:rsidR="008448DA" w:rsidRPr="008448DA" w:rsidRDefault="008448DA" w:rsidP="008448DA">
      <w:pPr>
        <w:numPr>
          <w:ilvl w:val="0"/>
          <w:numId w:val="13"/>
        </w:numPr>
        <w:spacing w:before="100" w:beforeAutospacing="1" w:after="100" w:afterAutospacing="1" w:line="240" w:lineRule="auto"/>
        <w:rPr>
          <w:rFonts w:eastAsia="Times New Roman" w:cs="Arial"/>
          <w:szCs w:val="20"/>
          <w:lang w:val="en-JP" w:eastAsia="ja-JP"/>
        </w:rPr>
      </w:pPr>
      <w:r w:rsidRPr="008448DA">
        <w:rPr>
          <w:rFonts w:eastAsia="Times New Roman" w:cs="Arial"/>
          <w:szCs w:val="20"/>
          <w:lang w:val="en-JP" w:eastAsia="ja-JP"/>
        </w:rPr>
        <w:t xml:space="preserve">Energy </w:t>
      </w:r>
      <w:r w:rsidR="008A25DA">
        <w:rPr>
          <w:rFonts w:eastAsia="Times New Roman" w:cs="Arial"/>
          <w:szCs w:val="20"/>
          <w:lang w:val="en-JP" w:eastAsia="ja-JP"/>
        </w:rPr>
        <w:t xml:space="preserve">aware </w:t>
      </w:r>
      <w:r w:rsidRPr="008448DA">
        <w:rPr>
          <w:rFonts w:eastAsia="Times New Roman" w:cs="Arial"/>
          <w:szCs w:val="20"/>
          <w:lang w:val="en-JP" w:eastAsia="ja-JP"/>
        </w:rPr>
        <w:t>Coordination between NTN</w:t>
      </w:r>
      <w:r w:rsidR="008A25DA">
        <w:rPr>
          <w:rFonts w:eastAsia="Times New Roman" w:cs="Arial"/>
          <w:szCs w:val="20"/>
          <w:lang w:val="en-JP" w:eastAsia="ja-JP"/>
        </w:rPr>
        <w:t xml:space="preserve"> </w:t>
      </w:r>
      <w:r w:rsidR="008A25DA" w:rsidRPr="008448DA">
        <w:rPr>
          <w:rFonts w:eastAsia="Times New Roman" w:cs="Arial"/>
          <w:szCs w:val="20"/>
          <w:lang w:val="en-JP" w:eastAsia="ja-JP"/>
        </w:rPr>
        <w:t>↔</w:t>
      </w:r>
      <w:r w:rsidRPr="008448DA">
        <w:rPr>
          <w:rFonts w:eastAsia="Times New Roman" w:cs="Arial"/>
          <w:szCs w:val="20"/>
          <w:lang w:val="en-JP" w:eastAsia="ja-JP"/>
        </w:rPr>
        <w:t>TN</w:t>
      </w:r>
      <w:r w:rsidR="008A25DA">
        <w:rPr>
          <w:rFonts w:eastAsia="Times New Roman" w:cs="Arial"/>
          <w:szCs w:val="20"/>
          <w:lang w:val="en-JP" w:eastAsia="ja-JP"/>
        </w:rPr>
        <w:t>.</w:t>
      </w:r>
    </w:p>
    <w:p w14:paraId="45BA2733" w14:textId="77777777" w:rsidR="00024C71" w:rsidRDefault="00024C71" w:rsidP="00024C71">
      <w:pPr>
        <w:pStyle w:val="Heading1"/>
      </w:pPr>
      <w:r>
        <w:t>2</w:t>
      </w:r>
      <w:r>
        <w:tab/>
        <w:t>Discussion</w:t>
      </w:r>
    </w:p>
    <w:p w14:paraId="0CBA8216" w14:textId="40F41D02" w:rsidR="003332EC" w:rsidRDefault="003332EC" w:rsidP="003332EC">
      <w:pPr>
        <w:pStyle w:val="Heading3"/>
        <w:rPr>
          <w:rFonts w:ascii="Times New Roman" w:hAnsi="Times New Roman"/>
        </w:rPr>
      </w:pPr>
      <w:r>
        <w:t xml:space="preserve">2.1 NTN–TN Mobility (6G NTN </w:t>
      </w:r>
      <w:r w:rsidR="00292AF5">
        <w:t xml:space="preserve">- </w:t>
      </w:r>
      <w:r>
        <w:t>NR/LTE TN)</w:t>
      </w:r>
    </w:p>
    <w:p w14:paraId="6A1D3C2A" w14:textId="78CBA0BD" w:rsidR="003332EC" w:rsidRPr="008A25DA" w:rsidRDefault="003332EC" w:rsidP="003332EC">
      <w:pPr>
        <w:pStyle w:val="NormalWeb"/>
        <w:rPr>
          <w:rFonts w:ascii="Arial" w:hAnsi="Arial" w:cs="Arial"/>
          <w:sz w:val="20"/>
          <w:szCs w:val="20"/>
        </w:rPr>
      </w:pPr>
      <w:r w:rsidRPr="008A25DA">
        <w:rPr>
          <w:rFonts w:ascii="Arial" w:hAnsi="Arial" w:cs="Arial"/>
          <w:sz w:val="20"/>
          <w:szCs w:val="20"/>
        </w:rPr>
        <w:t>Handheld UE users will move between NTN beams/cells and TN cells, or will require fallback from NTN to TN due to visibility, blockage or policy. To ensure service continuity while avoiding too many options we recommend mobility support between 6G NTN↔5G TN as well as 6G NTN ↔ 4G TN.</w:t>
      </w:r>
    </w:p>
    <w:p w14:paraId="1DF0AAE6" w14:textId="78572C67" w:rsidR="003332EC" w:rsidRDefault="003332EC" w:rsidP="003332EC">
      <w:pPr>
        <w:pStyle w:val="Heading3"/>
      </w:pPr>
      <w:r>
        <w:t>2.2 NTN - TN Spectrum Sharing (MRSS), Interference Mitigation, Cross</w:t>
      </w:r>
      <w:r>
        <w:noBreakHyphen/>
        <w:t>Border Management</w:t>
      </w:r>
    </w:p>
    <w:p w14:paraId="34D8FB7E" w14:textId="77777777" w:rsidR="003332EC" w:rsidRPr="003332EC" w:rsidRDefault="003332EC" w:rsidP="003332EC">
      <w:pPr>
        <w:pStyle w:val="NormalWeb"/>
        <w:rPr>
          <w:rFonts w:ascii="Arial" w:hAnsi="Arial" w:cs="Arial"/>
          <w:sz w:val="20"/>
          <w:szCs w:val="20"/>
        </w:rPr>
      </w:pPr>
      <w:r w:rsidRPr="003332EC">
        <w:rPr>
          <w:rFonts w:ascii="Arial" w:hAnsi="Arial" w:cs="Arial"/>
          <w:sz w:val="20"/>
          <w:szCs w:val="20"/>
        </w:rPr>
        <w:t xml:space="preserve">Many operators intend to </w:t>
      </w:r>
      <w:r w:rsidRPr="003332EC">
        <w:rPr>
          <w:rStyle w:val="Strong"/>
          <w:rFonts w:ascii="Arial" w:eastAsiaTheme="majorEastAsia" w:hAnsi="Arial" w:cs="Arial"/>
          <w:b w:val="0"/>
          <w:bCs w:val="0"/>
          <w:sz w:val="20"/>
          <w:szCs w:val="20"/>
        </w:rPr>
        <w:t>utilise their existing TN spectrum</w:t>
      </w:r>
      <w:r w:rsidRPr="003332EC">
        <w:rPr>
          <w:rFonts w:ascii="Arial" w:hAnsi="Arial" w:cs="Arial"/>
          <w:sz w:val="20"/>
          <w:szCs w:val="20"/>
        </w:rPr>
        <w:t xml:space="preserve"> for early or sustained NTN service where regulation permits. Service requirements should therefore:</w:t>
      </w:r>
    </w:p>
    <w:p w14:paraId="0334E49F" w14:textId="6437ACCA" w:rsidR="003332EC" w:rsidRPr="003332EC" w:rsidRDefault="003332EC" w:rsidP="003332EC">
      <w:pPr>
        <w:numPr>
          <w:ilvl w:val="0"/>
          <w:numId w:val="15"/>
        </w:numPr>
        <w:spacing w:before="100" w:beforeAutospacing="1" w:after="100" w:afterAutospacing="1" w:line="240" w:lineRule="auto"/>
        <w:rPr>
          <w:rFonts w:cs="Arial"/>
          <w:szCs w:val="20"/>
        </w:rPr>
      </w:pPr>
      <w:r w:rsidRPr="003332EC">
        <w:rPr>
          <w:rFonts w:cs="Arial"/>
          <w:szCs w:val="20"/>
        </w:rPr>
        <w:t xml:space="preserve">Support </w:t>
      </w:r>
      <w:r w:rsidR="008A25DA">
        <w:rPr>
          <w:rFonts w:cs="Arial"/>
          <w:szCs w:val="20"/>
        </w:rPr>
        <w:t xml:space="preserve">TN </w:t>
      </w:r>
      <w:r w:rsidR="008A25DA" w:rsidRPr="008448DA">
        <w:rPr>
          <w:rFonts w:eastAsia="Times New Roman" w:cs="Arial"/>
          <w:szCs w:val="20"/>
          <w:lang w:val="en-JP" w:eastAsia="ja-JP"/>
        </w:rPr>
        <w:t>↔</w:t>
      </w:r>
      <w:r w:rsidR="008A25DA">
        <w:rPr>
          <w:rFonts w:cs="Arial"/>
          <w:szCs w:val="20"/>
        </w:rPr>
        <w:t xml:space="preserve">NTN </w:t>
      </w:r>
      <w:r w:rsidRPr="003332EC">
        <w:rPr>
          <w:rStyle w:val="Strong"/>
          <w:rFonts w:cs="Arial"/>
          <w:b w:val="0"/>
          <w:bCs w:val="0"/>
          <w:szCs w:val="20"/>
        </w:rPr>
        <w:t>MRSS in both FDD and TDD</w:t>
      </w:r>
      <w:r w:rsidRPr="003332EC">
        <w:rPr>
          <w:rFonts w:cs="Arial"/>
          <w:szCs w:val="20"/>
        </w:rPr>
        <w:t xml:space="preserve">, enabling dynamic </w:t>
      </w:r>
      <w:r w:rsidRPr="003332EC">
        <w:rPr>
          <w:rStyle w:val="Strong"/>
          <w:rFonts w:cs="Arial"/>
          <w:b w:val="0"/>
          <w:bCs w:val="0"/>
          <w:szCs w:val="20"/>
        </w:rPr>
        <w:t>time/frequency partitioning</w:t>
      </w:r>
      <w:r w:rsidRPr="003332EC">
        <w:rPr>
          <w:rFonts w:cs="Arial"/>
          <w:szCs w:val="20"/>
        </w:rPr>
        <w:t xml:space="preserve"> with </w:t>
      </w:r>
      <w:r w:rsidRPr="003332EC">
        <w:rPr>
          <w:rStyle w:val="Strong"/>
          <w:rFonts w:cs="Arial"/>
          <w:b w:val="0"/>
          <w:bCs w:val="0"/>
          <w:szCs w:val="20"/>
        </w:rPr>
        <w:t>rate</w:t>
      </w:r>
      <w:r w:rsidRPr="003332EC">
        <w:rPr>
          <w:rStyle w:val="Strong"/>
          <w:rFonts w:cs="Arial"/>
          <w:b w:val="0"/>
          <w:bCs w:val="0"/>
          <w:szCs w:val="20"/>
        </w:rPr>
        <w:noBreakHyphen/>
        <w:t>matching around TN signals</w:t>
      </w:r>
      <w:r w:rsidRPr="003332EC">
        <w:rPr>
          <w:rFonts w:cs="Arial"/>
          <w:szCs w:val="20"/>
        </w:rPr>
        <w:t xml:space="preserve"> (e.g., SSB/PRS/legacy LTE RS</w:t>
      </w:r>
      <w:proofErr w:type="gramStart"/>
      <w:r w:rsidRPr="003332EC">
        <w:rPr>
          <w:rFonts w:cs="Arial"/>
          <w:szCs w:val="20"/>
        </w:rPr>
        <w:t xml:space="preserve">) </w:t>
      </w:r>
      <w:r>
        <w:rPr>
          <w:rFonts w:cs="Arial"/>
          <w:szCs w:val="20"/>
        </w:rPr>
        <w:t>.</w:t>
      </w:r>
      <w:proofErr w:type="gramEnd"/>
    </w:p>
    <w:p w14:paraId="1F33650E" w14:textId="65EC11B0" w:rsidR="003332EC" w:rsidRPr="003332EC" w:rsidRDefault="003332EC" w:rsidP="003332EC">
      <w:pPr>
        <w:numPr>
          <w:ilvl w:val="0"/>
          <w:numId w:val="15"/>
        </w:numPr>
        <w:spacing w:before="100" w:beforeAutospacing="1" w:after="100" w:afterAutospacing="1" w:line="240" w:lineRule="auto"/>
        <w:rPr>
          <w:rFonts w:cs="Arial"/>
          <w:szCs w:val="20"/>
        </w:rPr>
      </w:pPr>
      <w:r w:rsidRPr="003332EC">
        <w:rPr>
          <w:rFonts w:cs="Arial"/>
          <w:szCs w:val="20"/>
        </w:rPr>
        <w:t xml:space="preserve">Provide explicit </w:t>
      </w:r>
      <w:r>
        <w:rPr>
          <w:rFonts w:cs="Arial"/>
          <w:szCs w:val="20"/>
        </w:rPr>
        <w:t xml:space="preserve">methods </w:t>
      </w:r>
      <w:r w:rsidRPr="003332EC">
        <w:rPr>
          <w:rFonts w:cs="Arial"/>
          <w:szCs w:val="20"/>
        </w:rPr>
        <w:t xml:space="preserve">for </w:t>
      </w:r>
      <w:r w:rsidRPr="003332EC">
        <w:rPr>
          <w:rStyle w:val="Strong"/>
          <w:rFonts w:cs="Arial"/>
          <w:b w:val="0"/>
          <w:bCs w:val="0"/>
          <w:szCs w:val="20"/>
        </w:rPr>
        <w:t>interference mitigation and management</w:t>
      </w:r>
      <w:r w:rsidRPr="003332EC">
        <w:rPr>
          <w:rFonts w:cs="Arial"/>
          <w:szCs w:val="20"/>
        </w:rPr>
        <w:t xml:space="preserve">, including: </w:t>
      </w:r>
    </w:p>
    <w:p w14:paraId="11B893E5" w14:textId="32F73446" w:rsidR="003332EC" w:rsidRPr="003332EC" w:rsidRDefault="003332EC" w:rsidP="003332EC">
      <w:pPr>
        <w:numPr>
          <w:ilvl w:val="1"/>
          <w:numId w:val="15"/>
        </w:numPr>
        <w:spacing w:before="100" w:beforeAutospacing="1" w:after="100" w:afterAutospacing="1" w:line="240" w:lineRule="auto"/>
        <w:rPr>
          <w:rFonts w:cs="Arial"/>
          <w:szCs w:val="20"/>
        </w:rPr>
      </w:pPr>
      <w:r w:rsidRPr="003332EC">
        <w:rPr>
          <w:rStyle w:val="Strong"/>
          <w:rFonts w:cs="Arial"/>
          <w:b w:val="0"/>
          <w:bCs w:val="0"/>
          <w:szCs w:val="20"/>
        </w:rPr>
        <w:t>Spectral masks/PFD envelopes</w:t>
      </w:r>
      <w:r w:rsidRPr="003332EC">
        <w:rPr>
          <w:rFonts w:cs="Arial"/>
          <w:szCs w:val="20"/>
        </w:rPr>
        <w:t xml:space="preserve">, </w:t>
      </w:r>
      <w:r w:rsidRPr="003332EC">
        <w:rPr>
          <w:rStyle w:val="Strong"/>
          <w:rFonts w:cs="Arial"/>
          <w:b w:val="0"/>
          <w:bCs w:val="0"/>
          <w:szCs w:val="20"/>
        </w:rPr>
        <w:t>power control</w:t>
      </w:r>
      <w:r w:rsidRPr="003332EC">
        <w:rPr>
          <w:rFonts w:cs="Arial"/>
          <w:szCs w:val="20"/>
        </w:rPr>
        <w:t xml:space="preserve">, and </w:t>
      </w:r>
      <w:r w:rsidRPr="003332EC">
        <w:rPr>
          <w:rStyle w:val="Strong"/>
          <w:rFonts w:cs="Arial"/>
          <w:b w:val="0"/>
          <w:bCs w:val="0"/>
          <w:szCs w:val="20"/>
        </w:rPr>
        <w:t>beam shaping</w:t>
      </w:r>
      <w:r w:rsidRPr="003332EC">
        <w:rPr>
          <w:rFonts w:cs="Arial"/>
          <w:szCs w:val="20"/>
        </w:rPr>
        <w:t xml:space="preserve"> appropriat</w:t>
      </w:r>
      <w:r>
        <w:rPr>
          <w:rFonts w:cs="Arial"/>
          <w:szCs w:val="20"/>
        </w:rPr>
        <w:t>e for NTN-TN spectrum sharing.</w:t>
      </w:r>
    </w:p>
    <w:p w14:paraId="710E7F72" w14:textId="73D9688B" w:rsidR="003332EC" w:rsidRPr="003332EC" w:rsidRDefault="003332EC" w:rsidP="003332EC">
      <w:pPr>
        <w:numPr>
          <w:ilvl w:val="1"/>
          <w:numId w:val="15"/>
        </w:numPr>
        <w:spacing w:before="100" w:beforeAutospacing="1" w:after="100" w:afterAutospacing="1" w:line="240" w:lineRule="auto"/>
        <w:rPr>
          <w:rFonts w:cs="Arial"/>
          <w:szCs w:val="20"/>
        </w:rPr>
      </w:pPr>
      <w:r w:rsidRPr="003332EC">
        <w:rPr>
          <w:rStyle w:val="Strong"/>
          <w:rFonts w:cs="Arial"/>
          <w:b w:val="0"/>
          <w:bCs w:val="0"/>
          <w:szCs w:val="20"/>
        </w:rPr>
        <w:t>Scheduling windows</w:t>
      </w:r>
      <w:r w:rsidRPr="003332EC">
        <w:rPr>
          <w:rFonts w:cs="Arial"/>
          <w:szCs w:val="20"/>
        </w:rPr>
        <w:t xml:space="preserve"> (time–frequency coordination opportunities) to separate terrestrial signals from NTN bursts.</w:t>
      </w:r>
    </w:p>
    <w:p w14:paraId="543C2EA6" w14:textId="77777777" w:rsidR="003332EC" w:rsidRPr="003332EC" w:rsidRDefault="003332EC" w:rsidP="003332EC">
      <w:pPr>
        <w:numPr>
          <w:ilvl w:val="0"/>
          <w:numId w:val="15"/>
        </w:numPr>
        <w:spacing w:before="100" w:beforeAutospacing="1" w:after="100" w:afterAutospacing="1" w:line="240" w:lineRule="auto"/>
        <w:rPr>
          <w:rFonts w:cs="Arial"/>
          <w:szCs w:val="20"/>
        </w:rPr>
      </w:pPr>
      <w:r w:rsidRPr="003332EC">
        <w:rPr>
          <w:rFonts w:cs="Arial"/>
          <w:szCs w:val="20"/>
        </w:rPr>
        <w:t xml:space="preserve">Include </w:t>
      </w:r>
      <w:r w:rsidRPr="003332EC">
        <w:rPr>
          <w:rStyle w:val="Strong"/>
          <w:rFonts w:cs="Arial"/>
          <w:b w:val="0"/>
          <w:bCs w:val="0"/>
          <w:szCs w:val="20"/>
        </w:rPr>
        <w:t>cross</w:t>
      </w:r>
      <w:r w:rsidRPr="003332EC">
        <w:rPr>
          <w:rStyle w:val="Strong"/>
          <w:rFonts w:cs="Arial"/>
          <w:b w:val="0"/>
          <w:bCs w:val="0"/>
          <w:szCs w:val="20"/>
        </w:rPr>
        <w:noBreakHyphen/>
        <w:t>border interference avoidance</w:t>
      </w:r>
      <w:r w:rsidRPr="003332EC">
        <w:rPr>
          <w:rFonts w:cs="Arial"/>
          <w:szCs w:val="20"/>
        </w:rPr>
        <w:t xml:space="preserve"> provisions: geo</w:t>
      </w:r>
      <w:r w:rsidRPr="003332EC">
        <w:rPr>
          <w:rFonts w:cs="Arial"/>
          <w:szCs w:val="20"/>
        </w:rPr>
        <w:noBreakHyphen/>
        <w:t>constraints and coordination hooks to respect national borders and protect adjacent TN deployments.</w:t>
      </w:r>
    </w:p>
    <w:p w14:paraId="23D68846" w14:textId="77777777" w:rsidR="003332EC" w:rsidRDefault="003332EC" w:rsidP="003332EC">
      <w:pPr>
        <w:pStyle w:val="Heading3"/>
      </w:pPr>
      <w:r>
        <w:t>2.3 Energy Savings through NTN/TN Coordination</w:t>
      </w:r>
    </w:p>
    <w:p w14:paraId="7836A378" w14:textId="77777777" w:rsidR="003332EC" w:rsidRPr="003332EC" w:rsidRDefault="003332EC" w:rsidP="003332EC">
      <w:pPr>
        <w:pStyle w:val="NormalWeb"/>
        <w:rPr>
          <w:rFonts w:ascii="Arial" w:hAnsi="Arial" w:cs="Arial"/>
          <w:sz w:val="20"/>
          <w:szCs w:val="20"/>
        </w:rPr>
      </w:pPr>
      <w:r w:rsidRPr="003332EC">
        <w:rPr>
          <w:rFonts w:ascii="Arial" w:hAnsi="Arial" w:cs="Arial"/>
          <w:sz w:val="20"/>
          <w:szCs w:val="20"/>
        </w:rPr>
        <w:t>To ensure sustainable operation as NTN scales:</w:t>
      </w:r>
    </w:p>
    <w:p w14:paraId="632A1BB7" w14:textId="77777777" w:rsidR="003332EC" w:rsidRPr="003332EC" w:rsidRDefault="003332EC" w:rsidP="003332EC">
      <w:pPr>
        <w:numPr>
          <w:ilvl w:val="0"/>
          <w:numId w:val="16"/>
        </w:numPr>
        <w:spacing w:before="100" w:beforeAutospacing="1" w:after="100" w:afterAutospacing="1" w:line="240" w:lineRule="auto"/>
        <w:rPr>
          <w:rFonts w:cs="Arial"/>
          <w:szCs w:val="20"/>
        </w:rPr>
      </w:pPr>
      <w:r w:rsidRPr="003332EC">
        <w:rPr>
          <w:rFonts w:cs="Arial"/>
          <w:szCs w:val="20"/>
        </w:rPr>
        <w:lastRenderedPageBreak/>
        <w:t xml:space="preserve">Require </w:t>
      </w:r>
      <w:r w:rsidRPr="003332EC">
        <w:rPr>
          <w:rStyle w:val="Strong"/>
          <w:rFonts w:cs="Arial"/>
          <w:b w:val="0"/>
          <w:bCs w:val="0"/>
          <w:szCs w:val="20"/>
        </w:rPr>
        <w:t>load</w:t>
      </w:r>
      <w:r w:rsidRPr="003332EC">
        <w:rPr>
          <w:rStyle w:val="Strong"/>
          <w:rFonts w:cs="Arial"/>
          <w:b w:val="0"/>
          <w:bCs w:val="0"/>
          <w:szCs w:val="20"/>
        </w:rPr>
        <w:noBreakHyphen/>
        <w:t>aware coordination</w:t>
      </w:r>
      <w:r w:rsidRPr="003332EC">
        <w:rPr>
          <w:rFonts w:cs="Arial"/>
          <w:szCs w:val="20"/>
        </w:rPr>
        <w:t xml:space="preserve"> between NTN and TN (e.g., traffic steering thresholds, opportunistic idling/sleep windows across domains, and energy</w:t>
      </w:r>
      <w:r w:rsidRPr="003332EC">
        <w:rPr>
          <w:rFonts w:cs="Arial"/>
          <w:szCs w:val="20"/>
        </w:rPr>
        <w:noBreakHyphen/>
        <w:t>biased scheduling) while maintaining agreed QoS.</w:t>
      </w:r>
    </w:p>
    <w:p w14:paraId="5905EE85" w14:textId="77777777" w:rsidR="00024C71" w:rsidRPr="00D04991" w:rsidRDefault="00024C71" w:rsidP="00024C71">
      <w:pPr>
        <w:pStyle w:val="Heading1"/>
      </w:pPr>
      <w:r>
        <w:t>3 Text proposal</w:t>
      </w:r>
    </w:p>
    <w:p w14:paraId="539C456C" w14:textId="77777777" w:rsidR="00024C71" w:rsidRDefault="00024C71" w:rsidP="00024C71">
      <w:pPr>
        <w:jc w:val="both"/>
        <w:rPr>
          <w:lang w:val="en-GB"/>
        </w:rPr>
      </w:pPr>
      <w:r>
        <w:rPr>
          <w:lang w:val="en-GB"/>
        </w:rPr>
        <w:t>Based on the discussion above we propose the following text proposal.</w:t>
      </w:r>
    </w:p>
    <w:p w14:paraId="2D2029A9" w14:textId="77777777" w:rsidR="00024C71" w:rsidRDefault="00024C71" w:rsidP="00024C71">
      <w:pPr>
        <w:keepNext/>
        <w:keepLines/>
        <w:spacing w:before="180"/>
        <w:ind w:left="1134" w:hanging="1134"/>
        <w:outlineLvl w:val="1"/>
        <w:rPr>
          <w:rFonts w:eastAsia="SimSun"/>
          <w:sz w:val="32"/>
          <w:szCs w:val="32"/>
          <w:lang w:eastAsia="zh-CN"/>
        </w:rPr>
      </w:pPr>
      <w:r w:rsidRPr="385AEFDD">
        <w:rPr>
          <w:rFonts w:eastAsia="SimSun"/>
          <w:sz w:val="32"/>
          <w:szCs w:val="32"/>
          <w:lang w:eastAsia="zh-CN"/>
        </w:rPr>
        <w:t>5</w:t>
      </w:r>
      <w:r w:rsidRPr="385AEFDD">
        <w:rPr>
          <w:rFonts w:eastAsia="SimSun"/>
          <w:sz w:val="32"/>
          <w:szCs w:val="32"/>
        </w:rPr>
        <w:t>.</w:t>
      </w:r>
      <w:r w:rsidRPr="385AEFDD">
        <w:rPr>
          <w:rFonts w:eastAsia="SimSun"/>
          <w:sz w:val="32"/>
          <w:szCs w:val="32"/>
          <w:lang w:eastAsia="zh-CN"/>
        </w:rPr>
        <w:t>x</w:t>
      </w:r>
      <w:r>
        <w:tab/>
      </w:r>
      <w:r w:rsidRPr="385AEFDD">
        <w:rPr>
          <w:rFonts w:eastAsia="SimSun"/>
          <w:sz w:val="32"/>
          <w:szCs w:val="32"/>
          <w:lang w:eastAsia="zh-CN"/>
        </w:rPr>
        <w:t>Functional requirements for a 6G Network with satellite access</w:t>
      </w:r>
    </w:p>
    <w:p w14:paraId="45EB01AD" w14:textId="4867F476" w:rsidR="00024C71" w:rsidRPr="000712A3" w:rsidRDefault="00024C71" w:rsidP="00024C71">
      <w:pPr>
        <w:pStyle w:val="Heading3"/>
        <w:rPr>
          <w:rFonts w:eastAsia="SimSun"/>
          <w:lang w:eastAsia="zh-CN"/>
        </w:rPr>
      </w:pPr>
      <w:r>
        <w:rPr>
          <w:rFonts w:eastAsia="SimSun"/>
          <w:lang w:eastAsia="zh-CN"/>
        </w:rPr>
        <w:t xml:space="preserve">5.x.x </w:t>
      </w:r>
      <w:r w:rsidR="001335E3">
        <w:t>NTN–TN Mobility for </w:t>
      </w:r>
      <w:r w:rsidR="007B26DF">
        <w:t xml:space="preserve">service </w:t>
      </w:r>
      <w:r w:rsidR="001335E3">
        <w:t>Continuity</w:t>
      </w:r>
    </w:p>
    <w:p w14:paraId="5240675A" w14:textId="77777777" w:rsidR="001335E3" w:rsidRDefault="001335E3" w:rsidP="001335E3">
      <w:r>
        <w:t xml:space="preserve">6G RAN shall support Idle and connected mode mobility between </w:t>
      </w:r>
      <w:proofErr w:type="gramStart"/>
      <w:r>
        <w:t>Non Terrestrial</w:t>
      </w:r>
      <w:proofErr w:type="gramEnd"/>
      <w:r>
        <w:t xml:space="preserve"> Networks and Terrestrial Networks, including:</w:t>
      </w:r>
    </w:p>
    <w:p w14:paraId="0BC9BA45" w14:textId="154BDC57" w:rsidR="001335E3" w:rsidRPr="00F617E1" w:rsidRDefault="001335E3" w:rsidP="00F617E1">
      <w:pPr>
        <w:pStyle w:val="ListParagraph"/>
        <w:numPr>
          <w:ilvl w:val="0"/>
          <w:numId w:val="21"/>
        </w:numPr>
        <w:spacing w:after="0"/>
        <w:rPr>
          <w:rFonts w:ascii="Arial" w:hAnsi="Arial" w:cs="Arial"/>
          <w:lang w:val="en-JP" w:eastAsia="ja-JP"/>
        </w:rPr>
      </w:pPr>
      <w:r w:rsidRPr="00F617E1">
        <w:rPr>
          <w:rFonts w:ascii="Arial" w:hAnsi="Arial" w:cs="Arial"/>
          <w:lang w:val="en-JP" w:eastAsia="ja-JP"/>
        </w:rPr>
        <w:t>6G NTN ↔ NR TN/NTN</w:t>
      </w:r>
    </w:p>
    <w:p w14:paraId="19EA1683" w14:textId="1A50AF3A" w:rsidR="001335E3" w:rsidRPr="00F617E1" w:rsidRDefault="001335E3" w:rsidP="00F617E1">
      <w:pPr>
        <w:pStyle w:val="ListParagraph"/>
        <w:numPr>
          <w:ilvl w:val="0"/>
          <w:numId w:val="21"/>
        </w:numPr>
        <w:spacing w:after="0"/>
        <w:rPr>
          <w:rFonts w:ascii="Arial" w:hAnsi="Arial" w:cs="Arial"/>
          <w:lang w:val="en-JP" w:eastAsia="ja-JP"/>
        </w:rPr>
      </w:pPr>
      <w:r w:rsidRPr="00F617E1">
        <w:rPr>
          <w:rFonts w:ascii="Arial" w:hAnsi="Arial" w:cs="Arial"/>
          <w:lang w:val="en-JP" w:eastAsia="ja-JP"/>
        </w:rPr>
        <w:t>6G NTN ↔ LTE TN</w:t>
      </w:r>
    </w:p>
    <w:p w14:paraId="5190537A" w14:textId="5A7C429C" w:rsidR="001335E3" w:rsidRPr="001335E3" w:rsidRDefault="001335E3" w:rsidP="001335E3">
      <w:r>
        <w:t>The Mobility between 6G NTN and inter RAT TN should minimize</w:t>
      </w:r>
      <w:r w:rsidRPr="001335E3">
        <w:t xml:space="preserve"> service interruption time; and achieving low handover failure rate in handheld scenarios.</w:t>
      </w:r>
    </w:p>
    <w:p w14:paraId="3797D3C1" w14:textId="28DF5EAA" w:rsidR="001335E3" w:rsidRPr="004C6097" w:rsidRDefault="001335E3" w:rsidP="00024C71"/>
    <w:p w14:paraId="163A6923" w14:textId="21831356" w:rsidR="00024C71" w:rsidRDefault="00024C71" w:rsidP="00024C71">
      <w:pPr>
        <w:pStyle w:val="Heading3"/>
      </w:pPr>
      <w:r>
        <w:t xml:space="preserve">5.x.x </w:t>
      </w:r>
      <w:r w:rsidR="001335E3">
        <w:t>NTN-TN Spectrum Sharing</w:t>
      </w:r>
    </w:p>
    <w:p w14:paraId="32AEA260" w14:textId="77777777" w:rsidR="001335E3" w:rsidRPr="001335E3" w:rsidRDefault="001335E3" w:rsidP="001335E3">
      <w:r w:rsidRPr="001335E3">
        <w:t>MRSS shall enable dynamic time/frequency partitioning and rate</w:t>
      </w:r>
      <w:r w:rsidRPr="001335E3">
        <w:noBreakHyphen/>
        <w:t>matching policies that:</w:t>
      </w:r>
    </w:p>
    <w:p w14:paraId="7098010F" w14:textId="634CD1C0" w:rsidR="001335E3" w:rsidRPr="007B26DF" w:rsidRDefault="007B26DF" w:rsidP="007B26DF">
      <w:pPr>
        <w:pStyle w:val="ListParagraph"/>
        <w:numPr>
          <w:ilvl w:val="0"/>
          <w:numId w:val="21"/>
        </w:numPr>
        <w:spacing w:after="0"/>
        <w:rPr>
          <w:rFonts w:ascii="Arial" w:hAnsi="Arial" w:cs="Arial"/>
          <w:lang w:val="en-JP" w:eastAsia="ja-JP"/>
        </w:rPr>
      </w:pPr>
      <w:r>
        <w:rPr>
          <w:rFonts w:ascii="Arial" w:hAnsi="Arial" w:cs="Arial"/>
          <w:lang w:val="en-JP" w:eastAsia="ja-JP"/>
        </w:rPr>
        <w:t>P</w:t>
      </w:r>
      <w:r w:rsidR="001335E3" w:rsidRPr="007B26DF">
        <w:rPr>
          <w:rFonts w:ascii="Arial" w:hAnsi="Arial" w:cs="Arial"/>
          <w:lang w:val="en-JP" w:eastAsia="ja-JP"/>
        </w:rPr>
        <w:t>rotect terrestrial reference/signalling (e.g., SSB/PRS/legacy LTE RS) when co</w:t>
      </w:r>
      <w:r w:rsidR="001335E3" w:rsidRPr="007B26DF">
        <w:rPr>
          <w:rFonts w:ascii="Arial" w:hAnsi="Arial" w:cs="Arial"/>
          <w:lang w:val="en-JP" w:eastAsia="ja-JP"/>
        </w:rPr>
        <w:noBreakHyphen/>
        <w:t>present;</w:t>
      </w:r>
    </w:p>
    <w:p w14:paraId="0E0EF33C" w14:textId="79928E66" w:rsidR="001335E3" w:rsidRPr="007B26DF" w:rsidRDefault="007B26DF" w:rsidP="007B26DF">
      <w:pPr>
        <w:pStyle w:val="ListParagraph"/>
        <w:numPr>
          <w:ilvl w:val="0"/>
          <w:numId w:val="21"/>
        </w:numPr>
        <w:spacing w:after="0"/>
        <w:rPr>
          <w:rFonts w:ascii="Arial" w:hAnsi="Arial" w:cs="Arial"/>
          <w:lang w:val="en-JP" w:eastAsia="ja-JP"/>
        </w:rPr>
      </w:pPr>
      <w:r>
        <w:rPr>
          <w:rFonts w:ascii="Arial" w:hAnsi="Arial" w:cs="Arial"/>
          <w:lang w:val="en-JP" w:eastAsia="ja-JP"/>
        </w:rPr>
        <w:t>A</w:t>
      </w:r>
      <w:r w:rsidR="001335E3" w:rsidRPr="007B26DF">
        <w:rPr>
          <w:rFonts w:ascii="Arial" w:hAnsi="Arial" w:cs="Arial"/>
          <w:lang w:val="en-JP" w:eastAsia="ja-JP"/>
        </w:rPr>
        <w:t>ccommodate NTN waveform/timing characteristics (Doppler/RTT) without degrading TN KPIs.</w:t>
      </w:r>
    </w:p>
    <w:p w14:paraId="4ABA47D7" w14:textId="79365444" w:rsidR="001335E3" w:rsidRPr="007B26DF" w:rsidRDefault="001335E3" w:rsidP="001335E3">
      <w:pPr>
        <w:pStyle w:val="ListParagraph"/>
        <w:numPr>
          <w:ilvl w:val="0"/>
          <w:numId w:val="21"/>
        </w:numPr>
        <w:spacing w:after="0"/>
        <w:rPr>
          <w:rFonts w:ascii="Arial" w:hAnsi="Arial" w:cs="Arial"/>
          <w:lang w:val="en-JP" w:eastAsia="ja-JP"/>
        </w:rPr>
      </w:pPr>
      <w:r w:rsidRPr="007B26DF">
        <w:rPr>
          <w:rFonts w:ascii="Arial" w:hAnsi="Arial" w:cs="Arial"/>
          <w:lang w:val="en-JP" w:eastAsia="ja-JP"/>
        </w:rPr>
        <w:t xml:space="preserve">MRSS operation between NTN -TN scenarios </w:t>
      </w:r>
      <w:r w:rsidR="007B26DF">
        <w:rPr>
          <w:rFonts w:ascii="Arial" w:hAnsi="Arial" w:cs="Arial"/>
          <w:lang w:val="en-JP" w:eastAsia="ja-JP"/>
        </w:rPr>
        <w:t xml:space="preserve">shall support </w:t>
      </w:r>
      <w:r w:rsidRPr="007B26DF">
        <w:rPr>
          <w:rFonts w:ascii="Arial" w:hAnsi="Arial" w:cs="Arial"/>
          <w:lang w:val="en-JP" w:eastAsia="ja-JP"/>
        </w:rPr>
        <w:t>interference mitigation and management</w:t>
      </w:r>
      <w:r w:rsidR="007B26DF">
        <w:rPr>
          <w:rFonts w:ascii="Arial" w:hAnsi="Arial" w:cs="Arial"/>
          <w:lang w:val="en-JP" w:eastAsia="ja-JP"/>
        </w:rPr>
        <w:t xml:space="preserve"> techniques</w:t>
      </w:r>
      <w:r w:rsidRPr="007B26DF">
        <w:rPr>
          <w:rFonts w:ascii="Arial" w:hAnsi="Arial" w:cs="Arial"/>
          <w:lang w:val="en-JP" w:eastAsia="ja-JP"/>
        </w:rPr>
        <w:t>, including:</w:t>
      </w:r>
    </w:p>
    <w:p w14:paraId="6762D11B" w14:textId="2E29710A" w:rsidR="001335E3" w:rsidRPr="007B26DF" w:rsidRDefault="001335E3" w:rsidP="007B26DF">
      <w:pPr>
        <w:pStyle w:val="ListParagraph"/>
        <w:numPr>
          <w:ilvl w:val="1"/>
          <w:numId w:val="22"/>
        </w:numPr>
        <w:spacing w:after="0"/>
        <w:rPr>
          <w:rFonts w:ascii="Arial" w:hAnsi="Arial" w:cs="Arial"/>
          <w:lang w:val="en-JP" w:eastAsia="ja-JP"/>
        </w:rPr>
      </w:pPr>
      <w:r w:rsidRPr="007B26DF">
        <w:rPr>
          <w:rFonts w:ascii="Arial" w:hAnsi="Arial" w:cs="Arial"/>
          <w:lang w:val="en-JP" w:eastAsia="ja-JP"/>
        </w:rPr>
        <w:t> </w:t>
      </w:r>
      <w:r w:rsidR="007B26DF">
        <w:rPr>
          <w:rFonts w:ascii="Arial" w:hAnsi="Arial" w:cs="Arial"/>
          <w:lang w:val="en-JP" w:eastAsia="ja-JP"/>
        </w:rPr>
        <w:t>A</w:t>
      </w:r>
      <w:r w:rsidRPr="007B26DF">
        <w:rPr>
          <w:rFonts w:ascii="Arial" w:hAnsi="Arial" w:cs="Arial"/>
          <w:lang w:val="en-JP" w:eastAsia="ja-JP"/>
        </w:rPr>
        <w:t>pplicable spectral masks/PFD envelopes and power control for NTN transmissions in shared spectrum;</w:t>
      </w:r>
    </w:p>
    <w:p w14:paraId="02AB5629" w14:textId="31EC5901" w:rsidR="001335E3" w:rsidRPr="007B26DF" w:rsidRDefault="001335E3" w:rsidP="007B26DF">
      <w:pPr>
        <w:pStyle w:val="ListParagraph"/>
        <w:numPr>
          <w:ilvl w:val="1"/>
          <w:numId w:val="22"/>
        </w:numPr>
        <w:spacing w:after="0"/>
        <w:rPr>
          <w:rFonts w:ascii="Arial" w:hAnsi="Arial" w:cs="Arial"/>
          <w:lang w:val="en-JP" w:eastAsia="ja-JP"/>
        </w:rPr>
      </w:pPr>
      <w:r w:rsidRPr="007B26DF">
        <w:rPr>
          <w:rFonts w:ascii="Arial" w:hAnsi="Arial" w:cs="Arial"/>
          <w:lang w:val="en-JP" w:eastAsia="ja-JP"/>
        </w:rPr>
        <w:t> </w:t>
      </w:r>
      <w:r w:rsidR="007B26DF">
        <w:rPr>
          <w:rFonts w:ascii="Arial" w:hAnsi="Arial" w:cs="Arial"/>
          <w:lang w:val="en-JP" w:eastAsia="ja-JP"/>
        </w:rPr>
        <w:t>S</w:t>
      </w:r>
      <w:r w:rsidRPr="007B26DF">
        <w:rPr>
          <w:rFonts w:ascii="Arial" w:hAnsi="Arial" w:cs="Arial"/>
          <w:lang w:val="en-JP" w:eastAsia="ja-JP"/>
        </w:rPr>
        <w:t xml:space="preserve">cheduling windows for TN/NTN separation of </w:t>
      </w:r>
      <w:r w:rsidR="007B26DF">
        <w:rPr>
          <w:rFonts w:ascii="Arial" w:hAnsi="Arial" w:cs="Arial"/>
          <w:lang w:val="en-JP" w:eastAsia="ja-JP"/>
        </w:rPr>
        <w:t>resources</w:t>
      </w:r>
      <w:r w:rsidRPr="007B26DF">
        <w:rPr>
          <w:rFonts w:ascii="Arial" w:hAnsi="Arial" w:cs="Arial"/>
          <w:lang w:val="en-JP" w:eastAsia="ja-JP"/>
        </w:rPr>
        <w:t>.</w:t>
      </w:r>
    </w:p>
    <w:p w14:paraId="3C0DB562" w14:textId="646C50E7" w:rsidR="001335E3" w:rsidRPr="008A25DA" w:rsidRDefault="001335E3" w:rsidP="001335E3">
      <w:pPr>
        <w:pStyle w:val="ListParagraph"/>
        <w:numPr>
          <w:ilvl w:val="0"/>
          <w:numId w:val="22"/>
        </w:numPr>
        <w:spacing w:after="0"/>
        <w:rPr>
          <w:rFonts w:ascii="Arial" w:hAnsi="Arial" w:cs="Arial"/>
          <w:lang w:val="en-JP" w:eastAsia="ja-JP"/>
        </w:rPr>
      </w:pPr>
      <w:r w:rsidRPr="007B26DF">
        <w:rPr>
          <w:rFonts w:ascii="Arial" w:hAnsi="Arial" w:cs="Arial"/>
          <w:lang w:val="en-JP" w:eastAsia="ja-JP"/>
        </w:rPr>
        <w:t>Cross</w:t>
      </w:r>
      <w:r w:rsidRPr="007B26DF">
        <w:rPr>
          <w:rFonts w:ascii="Arial" w:hAnsi="Arial" w:cs="Arial"/>
          <w:lang w:val="en-JP" w:eastAsia="ja-JP"/>
        </w:rPr>
        <w:noBreakHyphen/>
        <w:t>border interference avoidance shall be supported via geo</w:t>
      </w:r>
      <w:r w:rsidRPr="007B26DF">
        <w:rPr>
          <w:rFonts w:ascii="Arial" w:hAnsi="Arial" w:cs="Arial"/>
          <w:lang w:val="en-JP" w:eastAsia="ja-JP"/>
        </w:rPr>
        <w:noBreakHyphen/>
        <w:t xml:space="preserve">constraints and coordination </w:t>
      </w:r>
      <w:r w:rsidR="007B26DF">
        <w:rPr>
          <w:rFonts w:ascii="Arial" w:hAnsi="Arial" w:cs="Arial"/>
          <w:lang w:val="en-JP" w:eastAsia="ja-JP"/>
        </w:rPr>
        <w:t xml:space="preserve">methods </w:t>
      </w:r>
      <w:r w:rsidRPr="007B26DF">
        <w:rPr>
          <w:rFonts w:ascii="Arial" w:hAnsi="Arial" w:cs="Arial"/>
          <w:lang w:val="en-JP" w:eastAsia="ja-JP"/>
        </w:rPr>
        <w:t>to protect adjacent terrestrial deployments across national borders.</w:t>
      </w:r>
    </w:p>
    <w:p w14:paraId="0E50E853" w14:textId="77777777" w:rsidR="00024C71" w:rsidRPr="008417F9" w:rsidRDefault="00024C71" w:rsidP="00024C71">
      <w:pPr>
        <w:pStyle w:val="Heading3"/>
        <w:rPr>
          <w:sz w:val="20"/>
          <w:szCs w:val="20"/>
        </w:rPr>
      </w:pPr>
    </w:p>
    <w:p w14:paraId="50ED7AD6" w14:textId="4F47453C" w:rsidR="00024C71" w:rsidRDefault="00024C71" w:rsidP="00024C71">
      <w:pPr>
        <w:pStyle w:val="Heading3"/>
      </w:pPr>
      <w:r>
        <w:t xml:space="preserve">5.x.x </w:t>
      </w:r>
      <w:r w:rsidR="008A25DA">
        <w:t>Energy aware Coordination between NTN and TN</w:t>
      </w:r>
    </w:p>
    <w:p w14:paraId="5F3E11B5" w14:textId="77777777" w:rsidR="008A25DA" w:rsidRDefault="008A25DA" w:rsidP="008A25DA">
      <w:pPr>
        <w:spacing w:after="0" w:line="240" w:lineRule="auto"/>
      </w:pPr>
    </w:p>
    <w:p w14:paraId="19D8FA7F" w14:textId="1D4E4872" w:rsidR="008A25DA" w:rsidRPr="008A25DA" w:rsidRDefault="008A25DA" w:rsidP="008A25DA">
      <w:pPr>
        <w:spacing w:after="0" w:line="240" w:lineRule="auto"/>
      </w:pPr>
      <w:r w:rsidRPr="008A25DA">
        <w:t>6G RAN shall support energy</w:t>
      </w:r>
      <w:r w:rsidRPr="008A25DA">
        <w:noBreakHyphen/>
        <w:t>aware coordination between NTN and TN with the objective of reducing network/device energy consumption without violating agreed QoS.</w:t>
      </w:r>
    </w:p>
    <w:p w14:paraId="340E9E79" w14:textId="77777777" w:rsidR="008A25DA" w:rsidRPr="008A25DA" w:rsidRDefault="008A25DA" w:rsidP="008A25DA">
      <w:pPr>
        <w:spacing w:after="0" w:line="240" w:lineRule="auto"/>
      </w:pPr>
    </w:p>
    <w:p w14:paraId="2FE2549C" w14:textId="0DECECCA" w:rsidR="008A25DA" w:rsidRPr="008A25DA" w:rsidRDefault="008A25DA" w:rsidP="008A25DA">
      <w:pPr>
        <w:spacing w:after="0" w:line="240" w:lineRule="auto"/>
      </w:pPr>
      <w:r w:rsidRPr="008A25DA">
        <w:t>Energy</w:t>
      </w:r>
      <w:r w:rsidRPr="008A25DA">
        <w:noBreakHyphen/>
        <w:t>aware coordination may include:</w:t>
      </w:r>
    </w:p>
    <w:p w14:paraId="18D4B78C" w14:textId="3922BAF7" w:rsidR="008A25DA" w:rsidRPr="008A25DA" w:rsidRDefault="008A25DA" w:rsidP="008A25DA">
      <w:pPr>
        <w:pStyle w:val="ListParagraph"/>
        <w:numPr>
          <w:ilvl w:val="0"/>
          <w:numId w:val="21"/>
        </w:numPr>
        <w:spacing w:after="0"/>
        <w:rPr>
          <w:rFonts w:ascii="Arial" w:hAnsi="Arial" w:cs="Arial"/>
          <w:lang w:val="en-JP" w:eastAsia="ja-JP"/>
        </w:rPr>
      </w:pPr>
      <w:r w:rsidRPr="008A25DA">
        <w:rPr>
          <w:rFonts w:ascii="Arial" w:eastAsiaTheme="minorHAnsi" w:hAnsi="Arial" w:cstheme="minorBidi"/>
          <w:szCs w:val="22"/>
          <w:lang w:val="en-US" w:eastAsia="en-US"/>
        </w:rPr>
        <w:t xml:space="preserve">    </w:t>
      </w:r>
      <w:r w:rsidRPr="008A25DA">
        <w:rPr>
          <w:rFonts w:ascii="Arial" w:hAnsi="Arial" w:cs="Arial"/>
          <w:lang w:val="en-JP" w:eastAsia="ja-JP"/>
        </w:rPr>
        <w:t>load</w:t>
      </w:r>
      <w:r w:rsidRPr="008A25DA">
        <w:rPr>
          <w:rFonts w:ascii="Arial" w:hAnsi="Arial" w:cs="Arial"/>
          <w:lang w:val="en-JP" w:eastAsia="ja-JP"/>
        </w:rPr>
        <w:noBreakHyphen/>
        <w:t>aware traffic steering between NTN and TN;</w:t>
      </w:r>
    </w:p>
    <w:p w14:paraId="3392254A" w14:textId="28EBE27B" w:rsidR="008A25DA" w:rsidRPr="008A25DA" w:rsidRDefault="008A25DA" w:rsidP="008A25DA">
      <w:pPr>
        <w:pStyle w:val="ListParagraph"/>
        <w:numPr>
          <w:ilvl w:val="0"/>
          <w:numId w:val="21"/>
        </w:numPr>
        <w:spacing w:after="0"/>
        <w:rPr>
          <w:rFonts w:ascii="Arial" w:hAnsi="Arial" w:cs="Arial"/>
          <w:lang w:val="en-JP" w:eastAsia="ja-JP"/>
        </w:rPr>
      </w:pPr>
      <w:r w:rsidRPr="008A25DA">
        <w:rPr>
          <w:rFonts w:ascii="Arial" w:hAnsi="Arial" w:cs="Arial"/>
          <w:lang w:val="en-JP" w:eastAsia="ja-JP"/>
        </w:rPr>
        <w:t>    coordinated idling/sleep windows across NTN/TN where service conditions permit; and</w:t>
      </w:r>
    </w:p>
    <w:p w14:paraId="08AD60E7" w14:textId="53FCDFC6" w:rsidR="008A25DA" w:rsidRPr="008A25DA" w:rsidRDefault="008A25DA" w:rsidP="008A25DA">
      <w:pPr>
        <w:pStyle w:val="ListParagraph"/>
        <w:numPr>
          <w:ilvl w:val="0"/>
          <w:numId w:val="21"/>
        </w:numPr>
        <w:spacing w:after="0"/>
        <w:rPr>
          <w:rFonts w:ascii="Arial" w:hAnsi="Arial" w:cs="Arial"/>
          <w:lang w:val="en-JP" w:eastAsia="ja-JP"/>
        </w:rPr>
      </w:pPr>
      <w:r w:rsidRPr="008A25DA">
        <w:rPr>
          <w:rFonts w:ascii="Arial" w:hAnsi="Arial" w:cs="Arial"/>
          <w:lang w:val="en-JP" w:eastAsia="ja-JP"/>
        </w:rPr>
        <w:t xml:space="preserve">    </w:t>
      </w:r>
      <w:r>
        <w:rPr>
          <w:rFonts w:ascii="Arial" w:hAnsi="Arial" w:cs="Arial"/>
          <w:lang w:val="en-JP" w:eastAsia="ja-JP"/>
        </w:rPr>
        <w:t>E</w:t>
      </w:r>
      <w:r w:rsidRPr="008A25DA">
        <w:rPr>
          <w:rFonts w:ascii="Arial" w:hAnsi="Arial" w:cs="Arial"/>
          <w:lang w:val="en-JP" w:eastAsia="ja-JP"/>
        </w:rPr>
        <w:t>nergy</w:t>
      </w:r>
      <w:r w:rsidRPr="008A25DA">
        <w:rPr>
          <w:rFonts w:ascii="Arial" w:hAnsi="Arial" w:cs="Arial"/>
          <w:lang w:val="en-JP" w:eastAsia="ja-JP"/>
        </w:rPr>
        <w:noBreakHyphen/>
        <w:t>biased scheduling policies in shared spectrum operation.</w:t>
      </w:r>
    </w:p>
    <w:p w14:paraId="091C39FD" w14:textId="77777777" w:rsidR="008A25DA" w:rsidRPr="008A25DA" w:rsidRDefault="008A25DA" w:rsidP="008A25DA">
      <w:pPr>
        <w:spacing w:after="0" w:line="240" w:lineRule="auto"/>
        <w:rPr>
          <w:rFonts w:ascii="Times New Roman" w:eastAsia="Times New Roman" w:hAnsi="Times New Roman" w:cs="Times New Roman"/>
          <w:sz w:val="24"/>
          <w:szCs w:val="24"/>
          <w:lang w:val="en-JP" w:eastAsia="ja-JP"/>
        </w:rPr>
      </w:pPr>
    </w:p>
    <w:p w14:paraId="0D8F56ED" w14:textId="77777777" w:rsidR="003332EC" w:rsidRPr="00E40BC8" w:rsidRDefault="003332EC" w:rsidP="00024C71"/>
    <w:p w14:paraId="461CB6E8" w14:textId="77777777" w:rsidR="00024C71" w:rsidRDefault="00024C71" w:rsidP="00024C71">
      <w:pPr>
        <w:pStyle w:val="Heading1"/>
      </w:pPr>
      <w:r>
        <w:t>4</w:t>
      </w:r>
      <w:r>
        <w:tab/>
        <w:t>Conclusion</w:t>
      </w:r>
    </w:p>
    <w:p w14:paraId="56A1BC0B" w14:textId="77777777" w:rsidR="00024C71" w:rsidRDefault="00024C71" w:rsidP="00024C71">
      <w:r>
        <w:t>In this contribution we propose to add the text proposal in section 3 to TR 38.914.</w:t>
      </w:r>
    </w:p>
    <w:sectPr w:rsidR="00024C7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7BF67" w14:textId="77777777" w:rsidR="00C25FA4" w:rsidRDefault="00C25FA4" w:rsidP="00727FDC">
      <w:pPr>
        <w:spacing w:after="0" w:line="240" w:lineRule="auto"/>
      </w:pPr>
      <w:r>
        <w:separator/>
      </w:r>
    </w:p>
  </w:endnote>
  <w:endnote w:type="continuationSeparator" w:id="0">
    <w:p w14:paraId="48AA4972" w14:textId="77777777" w:rsidR="00C25FA4" w:rsidRDefault="00C25FA4"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D8673" w14:textId="77777777" w:rsidR="00C25FA4" w:rsidRDefault="00C25FA4" w:rsidP="00727FDC">
      <w:pPr>
        <w:spacing w:after="0" w:line="240" w:lineRule="auto"/>
      </w:pPr>
      <w:r>
        <w:separator/>
      </w:r>
    </w:p>
  </w:footnote>
  <w:footnote w:type="continuationSeparator" w:id="0">
    <w:p w14:paraId="0542C1F5" w14:textId="77777777" w:rsidR="00C25FA4" w:rsidRDefault="00C25FA4"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620D32"/>
    <w:multiLevelType w:val="multilevel"/>
    <w:tmpl w:val="EC8C3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747D6"/>
    <w:multiLevelType w:val="hybridMultilevel"/>
    <w:tmpl w:val="24AE85E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235BCF"/>
    <w:multiLevelType w:val="hybridMultilevel"/>
    <w:tmpl w:val="CFEC2EAE"/>
    <w:lvl w:ilvl="0" w:tplc="D4D8FBDC">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D1A0673"/>
    <w:multiLevelType w:val="multilevel"/>
    <w:tmpl w:val="4380D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93548"/>
    <w:multiLevelType w:val="hybridMultilevel"/>
    <w:tmpl w:val="BABA09DE"/>
    <w:lvl w:ilvl="0" w:tplc="921839E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8"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F93A0D"/>
    <w:multiLevelType w:val="hybridMultilevel"/>
    <w:tmpl w:val="6DFCD5B8"/>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3A3E"/>
    <w:multiLevelType w:val="hybridMultilevel"/>
    <w:tmpl w:val="3E247DB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DAD5BF0"/>
    <w:multiLevelType w:val="multilevel"/>
    <w:tmpl w:val="B0986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F406BA"/>
    <w:multiLevelType w:val="multilevel"/>
    <w:tmpl w:val="C76E4A6A"/>
    <w:lvl w:ilvl="0">
      <w:numFmt w:val="bullet"/>
      <w:lvlText w:val="-"/>
      <w:lvlJc w:val="left"/>
      <w:pPr>
        <w:ind w:left="720" w:hanging="360"/>
      </w:pPr>
      <w:rPr>
        <w:rFonts w:ascii="Times" w:eastAsia="Batang" w:hAnsi="Times" w:cs="Time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EF32C4"/>
    <w:multiLevelType w:val="multilevel"/>
    <w:tmpl w:val="90C2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3118E2"/>
    <w:multiLevelType w:val="hybridMultilevel"/>
    <w:tmpl w:val="618E216E"/>
    <w:lvl w:ilvl="0" w:tplc="FFFFFFFF">
      <w:start w:val="4"/>
      <w:numFmt w:val="bullet"/>
      <w:lvlText w:val="-"/>
      <w:lvlJc w:val="left"/>
      <w:pPr>
        <w:ind w:left="720" w:hanging="360"/>
      </w:pPr>
      <w:rPr>
        <w:rFonts w:ascii="Times New Roman" w:eastAsia="Times New Roman" w:hAnsi="Times New Roman" w:cs="Times New Roman" w:hint="default"/>
      </w:rPr>
    </w:lvl>
    <w:lvl w:ilvl="1" w:tplc="C20844A0">
      <w:numFmt w:val="bullet"/>
      <w:lvlText w:val="-"/>
      <w:lvlJc w:val="left"/>
      <w:pPr>
        <w:ind w:left="1440" w:hanging="360"/>
      </w:pPr>
      <w:rPr>
        <w:rFonts w:ascii="Times New Roman" w:eastAsia="MS P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2"/>
  </w:num>
  <w:num w:numId="2" w16cid:durableId="1174219751">
    <w:abstractNumId w:val="11"/>
  </w:num>
  <w:num w:numId="3" w16cid:durableId="216472925">
    <w:abstractNumId w:val="0"/>
  </w:num>
  <w:num w:numId="4" w16cid:durableId="1891842015">
    <w:abstractNumId w:val="18"/>
  </w:num>
  <w:num w:numId="5" w16cid:durableId="267470053">
    <w:abstractNumId w:val="17"/>
  </w:num>
  <w:num w:numId="6" w16cid:durableId="514197527">
    <w:abstractNumId w:val="8"/>
  </w:num>
  <w:num w:numId="7" w16cid:durableId="542641728">
    <w:abstractNumId w:val="21"/>
  </w:num>
  <w:num w:numId="8" w16cid:durableId="1871213951">
    <w:abstractNumId w:val="16"/>
  </w:num>
  <w:num w:numId="9" w16cid:durableId="869074757">
    <w:abstractNumId w:val="3"/>
  </w:num>
  <w:num w:numId="10" w16cid:durableId="1933195565">
    <w:abstractNumId w:val="5"/>
  </w:num>
  <w:num w:numId="11" w16cid:durableId="375004741">
    <w:abstractNumId w:val="19"/>
  </w:num>
  <w:num w:numId="12" w16cid:durableId="2013411341">
    <w:abstractNumId w:val="1"/>
  </w:num>
  <w:num w:numId="13" w16cid:durableId="1101682706">
    <w:abstractNumId w:val="14"/>
  </w:num>
  <w:num w:numId="14" w16cid:durableId="238251306">
    <w:abstractNumId w:val="15"/>
  </w:num>
  <w:num w:numId="15" w16cid:durableId="746417914">
    <w:abstractNumId w:val="13"/>
  </w:num>
  <w:num w:numId="16" w16cid:durableId="886381477">
    <w:abstractNumId w:val="6"/>
  </w:num>
  <w:num w:numId="17" w16cid:durableId="1657034532">
    <w:abstractNumId w:val="10"/>
  </w:num>
  <w:num w:numId="18" w16cid:durableId="1482890690">
    <w:abstractNumId w:val="7"/>
  </w:num>
  <w:num w:numId="19" w16cid:durableId="120460665">
    <w:abstractNumId w:val="2"/>
  </w:num>
  <w:num w:numId="20" w16cid:durableId="799346467">
    <w:abstractNumId w:val="4"/>
  </w:num>
  <w:num w:numId="21" w16cid:durableId="537278451">
    <w:abstractNumId w:val="9"/>
  </w:num>
  <w:num w:numId="22" w16cid:durableId="11126254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1822"/>
    <w:rsid w:val="000138EE"/>
    <w:rsid w:val="00022F28"/>
    <w:rsid w:val="00024C71"/>
    <w:rsid w:val="00047612"/>
    <w:rsid w:val="0007754E"/>
    <w:rsid w:val="00091BDC"/>
    <w:rsid w:val="00095A52"/>
    <w:rsid w:val="000A3E7B"/>
    <w:rsid w:val="000B7A8B"/>
    <w:rsid w:val="000C1057"/>
    <w:rsid w:val="000E6B7D"/>
    <w:rsid w:val="000E7BB7"/>
    <w:rsid w:val="000F7D9F"/>
    <w:rsid w:val="00125BFF"/>
    <w:rsid w:val="001328CF"/>
    <w:rsid w:val="001335E3"/>
    <w:rsid w:val="00147BA9"/>
    <w:rsid w:val="0015231B"/>
    <w:rsid w:val="00167118"/>
    <w:rsid w:val="001903EF"/>
    <w:rsid w:val="001940B9"/>
    <w:rsid w:val="001A1598"/>
    <w:rsid w:val="001A298D"/>
    <w:rsid w:val="001B23B0"/>
    <w:rsid w:val="001E44DD"/>
    <w:rsid w:val="00201308"/>
    <w:rsid w:val="00213DA3"/>
    <w:rsid w:val="002159CA"/>
    <w:rsid w:val="00217D4B"/>
    <w:rsid w:val="00223CF4"/>
    <w:rsid w:val="002346C6"/>
    <w:rsid w:val="00241F95"/>
    <w:rsid w:val="00247C2D"/>
    <w:rsid w:val="00274843"/>
    <w:rsid w:val="00292AF5"/>
    <w:rsid w:val="00311237"/>
    <w:rsid w:val="00312D31"/>
    <w:rsid w:val="00316280"/>
    <w:rsid w:val="003271B9"/>
    <w:rsid w:val="003332EC"/>
    <w:rsid w:val="003347AC"/>
    <w:rsid w:val="003575A9"/>
    <w:rsid w:val="00361E22"/>
    <w:rsid w:val="00366B3C"/>
    <w:rsid w:val="003870EF"/>
    <w:rsid w:val="003A410D"/>
    <w:rsid w:val="003B62E6"/>
    <w:rsid w:val="003B6FC1"/>
    <w:rsid w:val="003D0AE1"/>
    <w:rsid w:val="003D48DA"/>
    <w:rsid w:val="004021F2"/>
    <w:rsid w:val="004438FA"/>
    <w:rsid w:val="00444213"/>
    <w:rsid w:val="00452E6C"/>
    <w:rsid w:val="004A3016"/>
    <w:rsid w:val="004B73EA"/>
    <w:rsid w:val="004C1863"/>
    <w:rsid w:val="004C6097"/>
    <w:rsid w:val="004D278A"/>
    <w:rsid w:val="004E0C79"/>
    <w:rsid w:val="00507906"/>
    <w:rsid w:val="00514A69"/>
    <w:rsid w:val="00516E58"/>
    <w:rsid w:val="00521D82"/>
    <w:rsid w:val="0053632D"/>
    <w:rsid w:val="0057174C"/>
    <w:rsid w:val="00603D82"/>
    <w:rsid w:val="0063245D"/>
    <w:rsid w:val="00642446"/>
    <w:rsid w:val="0064620D"/>
    <w:rsid w:val="006A1BCC"/>
    <w:rsid w:val="006C25C4"/>
    <w:rsid w:val="006C2F44"/>
    <w:rsid w:val="006F0FFF"/>
    <w:rsid w:val="00711664"/>
    <w:rsid w:val="00727F0F"/>
    <w:rsid w:val="00727FDC"/>
    <w:rsid w:val="00772D7D"/>
    <w:rsid w:val="007805B8"/>
    <w:rsid w:val="007813E2"/>
    <w:rsid w:val="00797164"/>
    <w:rsid w:val="007A6BC3"/>
    <w:rsid w:val="007B26DF"/>
    <w:rsid w:val="007B464F"/>
    <w:rsid w:val="007B53E2"/>
    <w:rsid w:val="008057A0"/>
    <w:rsid w:val="008417F9"/>
    <w:rsid w:val="008448DA"/>
    <w:rsid w:val="008817F9"/>
    <w:rsid w:val="00892A4F"/>
    <w:rsid w:val="008A25DA"/>
    <w:rsid w:val="008B5B66"/>
    <w:rsid w:val="008C1EF8"/>
    <w:rsid w:val="008F5F98"/>
    <w:rsid w:val="00911FF3"/>
    <w:rsid w:val="0091359B"/>
    <w:rsid w:val="00917DC6"/>
    <w:rsid w:val="009344EB"/>
    <w:rsid w:val="009367D7"/>
    <w:rsid w:val="009477DC"/>
    <w:rsid w:val="0095038F"/>
    <w:rsid w:val="0097626F"/>
    <w:rsid w:val="009833C1"/>
    <w:rsid w:val="009900AA"/>
    <w:rsid w:val="009A66DF"/>
    <w:rsid w:val="00A01D9E"/>
    <w:rsid w:val="00A06674"/>
    <w:rsid w:val="00A17E4A"/>
    <w:rsid w:val="00A208F3"/>
    <w:rsid w:val="00A35F66"/>
    <w:rsid w:val="00A4212E"/>
    <w:rsid w:val="00A67515"/>
    <w:rsid w:val="00A740B5"/>
    <w:rsid w:val="00A7646D"/>
    <w:rsid w:val="00A80532"/>
    <w:rsid w:val="00A907EB"/>
    <w:rsid w:val="00A94E15"/>
    <w:rsid w:val="00A966B2"/>
    <w:rsid w:val="00AB30D4"/>
    <w:rsid w:val="00AC3262"/>
    <w:rsid w:val="00AC4974"/>
    <w:rsid w:val="00AD31AF"/>
    <w:rsid w:val="00AD3C7A"/>
    <w:rsid w:val="00AE4AB7"/>
    <w:rsid w:val="00AE5F7D"/>
    <w:rsid w:val="00B07ACC"/>
    <w:rsid w:val="00B1265C"/>
    <w:rsid w:val="00B32181"/>
    <w:rsid w:val="00B60F69"/>
    <w:rsid w:val="00B67DCD"/>
    <w:rsid w:val="00BA6F8E"/>
    <w:rsid w:val="00BB7F18"/>
    <w:rsid w:val="00BC38E4"/>
    <w:rsid w:val="00BD0D9A"/>
    <w:rsid w:val="00BE18CA"/>
    <w:rsid w:val="00C03CD2"/>
    <w:rsid w:val="00C12D37"/>
    <w:rsid w:val="00C25FA4"/>
    <w:rsid w:val="00C36C7C"/>
    <w:rsid w:val="00C709C5"/>
    <w:rsid w:val="00C72CD8"/>
    <w:rsid w:val="00C91A6F"/>
    <w:rsid w:val="00CA3D4F"/>
    <w:rsid w:val="00CB2763"/>
    <w:rsid w:val="00CB589B"/>
    <w:rsid w:val="00CB7C15"/>
    <w:rsid w:val="00CF0500"/>
    <w:rsid w:val="00D03CA6"/>
    <w:rsid w:val="00D04991"/>
    <w:rsid w:val="00D07628"/>
    <w:rsid w:val="00D4428E"/>
    <w:rsid w:val="00D62049"/>
    <w:rsid w:val="00D67384"/>
    <w:rsid w:val="00D80FE4"/>
    <w:rsid w:val="00DB1E6E"/>
    <w:rsid w:val="00DC44CF"/>
    <w:rsid w:val="00DE1000"/>
    <w:rsid w:val="00DF2DDA"/>
    <w:rsid w:val="00E07437"/>
    <w:rsid w:val="00E31CFC"/>
    <w:rsid w:val="00E36B8A"/>
    <w:rsid w:val="00E4473C"/>
    <w:rsid w:val="00E80C3D"/>
    <w:rsid w:val="00EA001C"/>
    <w:rsid w:val="00EA7E09"/>
    <w:rsid w:val="00EB0B04"/>
    <w:rsid w:val="00EB1951"/>
    <w:rsid w:val="00EB51C1"/>
    <w:rsid w:val="00ED270F"/>
    <w:rsid w:val="00F30BB6"/>
    <w:rsid w:val="00F52F41"/>
    <w:rsid w:val="00F617E1"/>
    <w:rsid w:val="00F964A4"/>
    <w:rsid w:val="00FA2D2A"/>
    <w:rsid w:val="00FB57B4"/>
    <w:rsid w:val="00FE184E"/>
    <w:rsid w:val="00FE1CAF"/>
    <w:rsid w:val="00FF0E04"/>
    <w:rsid w:val="00FF20B0"/>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9F1DDA84-69A0-E149-8F9D-545E66B9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styleId="Mention">
    <w:name w:val="Mention"/>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NormalWeb">
    <w:name w:val="Normal (Web)"/>
    <w:basedOn w:val="Normal"/>
    <w:uiPriority w:val="99"/>
    <w:semiHidden/>
    <w:unhideWhenUsed/>
    <w:rsid w:val="008448DA"/>
    <w:pPr>
      <w:spacing w:before="100" w:beforeAutospacing="1" w:after="100" w:afterAutospacing="1" w:line="240" w:lineRule="auto"/>
    </w:pPr>
    <w:rPr>
      <w:rFonts w:ascii="Times New Roman" w:eastAsia="Times New Roman" w:hAnsi="Times New Roman" w:cs="Times New Roman"/>
      <w:sz w:val="24"/>
      <w:szCs w:val="24"/>
      <w:lang w:val="en-JP" w:eastAsia="ja-JP"/>
    </w:rPr>
  </w:style>
  <w:style w:type="character" w:styleId="Strong">
    <w:name w:val="Strong"/>
    <w:basedOn w:val="DefaultParagraphFont"/>
    <w:uiPriority w:val="22"/>
    <w:qFormat/>
    <w:rsid w:val="008448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0</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Muhammad, Awn | Awn | RMI</cp:lastModifiedBy>
  <cp:revision>2</cp:revision>
  <dcterms:created xsi:type="dcterms:W3CDTF">2025-09-03T19:02:00Z</dcterms:created>
  <dcterms:modified xsi:type="dcterms:W3CDTF">2025-09-03T19:02:00Z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