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C4D9" w14:textId="77777777" w:rsidR="00BB306A" w:rsidRDefault="00BB306A" w:rsidP="00BB306A">
      <w:pPr>
        <w:pStyle w:val="CRCoverPage"/>
        <w:tabs>
          <w:tab w:val="right" w:pos="9639"/>
        </w:tabs>
        <w:spacing w:after="0"/>
        <w:rPr>
          <w:b/>
          <w:i/>
          <w:noProof/>
          <w:sz w:val="28"/>
        </w:rPr>
      </w:pPr>
      <w:r>
        <w:rPr>
          <w:b/>
          <w:noProof/>
          <w:sz w:val="24"/>
        </w:rPr>
        <w:t>3GPP TSG-SA5 Meeting #15</w:t>
      </w:r>
      <w:r w:rsidR="003E30BB">
        <w:rPr>
          <w:b/>
          <w:noProof/>
          <w:sz w:val="24"/>
        </w:rPr>
        <w:t>4</w:t>
      </w:r>
      <w:r>
        <w:rPr>
          <w:b/>
          <w:i/>
          <w:noProof/>
          <w:sz w:val="24"/>
        </w:rPr>
        <w:t xml:space="preserve"> </w:t>
      </w:r>
      <w:r>
        <w:rPr>
          <w:b/>
          <w:i/>
          <w:noProof/>
          <w:sz w:val="28"/>
        </w:rPr>
        <w:tab/>
        <w:t>S5-24</w:t>
      </w:r>
      <w:r w:rsidRPr="00AF12E9">
        <w:rPr>
          <w:b/>
          <w:i/>
          <w:noProof/>
          <w:sz w:val="28"/>
          <w:highlight w:val="yellow"/>
        </w:rPr>
        <w:t>xxxx</w:t>
      </w:r>
    </w:p>
    <w:p w14:paraId="107FA794" w14:textId="163ECC94" w:rsidR="00BB306A" w:rsidRPr="00DA53A0" w:rsidRDefault="003325A5" w:rsidP="00BB306A">
      <w:pPr>
        <w:pStyle w:val="Header"/>
        <w:rPr>
          <w:sz w:val="22"/>
          <w:szCs w:val="22"/>
        </w:rPr>
      </w:pPr>
      <w:r>
        <w:rPr>
          <w:sz w:val="24"/>
        </w:rPr>
        <w:t>Changsha</w:t>
      </w:r>
      <w:r w:rsidR="00BB306A">
        <w:rPr>
          <w:sz w:val="24"/>
        </w:rPr>
        <w:t xml:space="preserve">, </w:t>
      </w:r>
      <w:r w:rsidR="005D2554">
        <w:rPr>
          <w:sz w:val="24"/>
        </w:rPr>
        <w:t>China</w:t>
      </w:r>
      <w:r w:rsidR="00BB306A">
        <w:rPr>
          <w:sz w:val="24"/>
        </w:rPr>
        <w:t xml:space="preserve">, </w:t>
      </w:r>
      <w:r w:rsidR="003E30BB">
        <w:rPr>
          <w:sz w:val="24"/>
        </w:rPr>
        <w:t>15 – 19 April</w:t>
      </w:r>
      <w:r w:rsidR="00BB306A">
        <w:rPr>
          <w:sz w:val="24"/>
        </w:rPr>
        <w:t xml:space="preserve"> 2024</w:t>
      </w:r>
    </w:p>
    <w:p w14:paraId="0C4C9E3A"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725ED928"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F12E9">
        <w:rPr>
          <w:rFonts w:ascii="Arial" w:hAnsi="Arial"/>
          <w:b/>
          <w:lang w:val="en-US"/>
        </w:rPr>
        <w:t>Ericsson</w:t>
      </w:r>
    </w:p>
    <w:p w14:paraId="3BBDB550"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325A5">
        <w:rPr>
          <w:rFonts w:ascii="Arial" w:hAnsi="Arial" w:cs="Arial"/>
          <w:b/>
        </w:rPr>
        <w:t>Trace Format Correction</w:t>
      </w:r>
    </w:p>
    <w:p w14:paraId="77E1998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Discussion</w:t>
      </w:r>
    </w:p>
    <w:p w14:paraId="24CC87B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325A5">
        <w:rPr>
          <w:rFonts w:ascii="Arial" w:hAnsi="Arial"/>
          <w:b/>
        </w:rPr>
        <w:t>6.3.13</w:t>
      </w:r>
    </w:p>
    <w:p w14:paraId="558075D7" w14:textId="77777777" w:rsidR="00C022E3" w:rsidRDefault="00C022E3">
      <w:pPr>
        <w:pStyle w:val="Heading1"/>
      </w:pPr>
      <w:r>
        <w:t>1</w:t>
      </w:r>
      <w:r>
        <w:tab/>
        <w:t>Decision/action requested</w:t>
      </w:r>
    </w:p>
    <w:p w14:paraId="3C358F93" w14:textId="77777777" w:rsidR="00C022E3" w:rsidRDefault="003325A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agreement</w:t>
      </w:r>
    </w:p>
    <w:p w14:paraId="6DD1C567" w14:textId="77777777" w:rsidR="00C022E3" w:rsidRDefault="00C022E3">
      <w:pPr>
        <w:pStyle w:val="Heading1"/>
      </w:pPr>
      <w:r>
        <w:t>2</w:t>
      </w:r>
      <w:r>
        <w:tab/>
        <w:t>References</w:t>
      </w:r>
    </w:p>
    <w:p w14:paraId="238EF9CE" w14:textId="273E3E81" w:rsidR="00C022E3" w:rsidRPr="003325A5" w:rsidRDefault="00C022E3">
      <w:pPr>
        <w:pStyle w:val="Reference"/>
      </w:pPr>
      <w:r w:rsidRPr="003325A5">
        <w:t>[1]</w:t>
      </w:r>
      <w:r w:rsidRPr="003325A5">
        <w:tab/>
        <w:t>3GPP TS 32.</w:t>
      </w:r>
      <w:r w:rsidR="003325A5">
        <w:t>422</w:t>
      </w:r>
      <w:r w:rsidRPr="003325A5">
        <w:t xml:space="preserve"> </w:t>
      </w:r>
      <w:r w:rsidR="003325A5" w:rsidRPr="003325A5">
        <w:t>Telecommunication management; Subscriber and equipment trace; Trace control and configuration management</w:t>
      </w:r>
    </w:p>
    <w:p w14:paraId="3F121134" w14:textId="021F605D" w:rsidR="00C022E3" w:rsidRPr="003325A5" w:rsidRDefault="00C022E3">
      <w:pPr>
        <w:pStyle w:val="Reference"/>
      </w:pPr>
      <w:r w:rsidRPr="003325A5">
        <w:t>[2]</w:t>
      </w:r>
      <w:r w:rsidRPr="003325A5">
        <w:tab/>
        <w:t xml:space="preserve">3GPP TS </w:t>
      </w:r>
      <w:r w:rsidR="003325A5">
        <w:t>28.622</w:t>
      </w:r>
      <w:r w:rsidRPr="003325A5">
        <w:t xml:space="preserve"> </w:t>
      </w:r>
      <w:r w:rsidR="003325A5" w:rsidRPr="003325A5">
        <w:t>Telecommunication management; Generic Network Resource Model (NRM) Integration Reference Point (IRP); Information Service (IS)</w:t>
      </w:r>
      <w:r w:rsidRPr="003325A5">
        <w:t>.</w:t>
      </w:r>
    </w:p>
    <w:p w14:paraId="332AC8AA" w14:textId="0CA8CC97" w:rsidR="00C022E3" w:rsidRDefault="00C022E3">
      <w:pPr>
        <w:pStyle w:val="Reference"/>
      </w:pPr>
      <w:r w:rsidRPr="003325A5">
        <w:t>[3]</w:t>
      </w:r>
      <w:r w:rsidRPr="003325A5">
        <w:tab/>
        <w:t xml:space="preserve">3GPP TS </w:t>
      </w:r>
      <w:r w:rsidR="003325A5">
        <w:t>28.623</w:t>
      </w:r>
      <w:r w:rsidRPr="003325A5">
        <w:t xml:space="preserve"> </w:t>
      </w:r>
      <w:r w:rsidR="003325A5" w:rsidRPr="003325A5">
        <w:t>Telecommunication management; Generic Network Resource Model (NRM) Integration Reference Point (IRP); Solution Set (SS) definitions</w:t>
      </w:r>
    </w:p>
    <w:p w14:paraId="77DEC64F" w14:textId="561A20A4" w:rsidR="003325A5" w:rsidRPr="003325A5" w:rsidRDefault="003325A5">
      <w:pPr>
        <w:pStyle w:val="Reference"/>
      </w:pPr>
      <w:r>
        <w:t>[4]</w:t>
      </w:r>
      <w:r>
        <w:tab/>
        <w:t xml:space="preserve">3GPP TS38.413 </w:t>
      </w:r>
      <w:r w:rsidRPr="003325A5">
        <w:t>NG-RAN; NG Application Protocol (NGAP)</w:t>
      </w:r>
    </w:p>
    <w:p w14:paraId="5BEC83B7" w14:textId="77777777" w:rsidR="00C022E3" w:rsidRDefault="00C022E3">
      <w:pPr>
        <w:pStyle w:val="Heading1"/>
      </w:pPr>
      <w:r>
        <w:t>3</w:t>
      </w:r>
      <w:r>
        <w:tab/>
        <w:t>Rationale</w:t>
      </w:r>
    </w:p>
    <w:p w14:paraId="1B85F9B8" w14:textId="77777777" w:rsidR="004806AE" w:rsidRDefault="004806AE" w:rsidP="004806AE">
      <w:pPr>
        <w:pStyle w:val="Heading2"/>
      </w:pPr>
      <w:r>
        <w:t>3.1</w:t>
      </w:r>
      <w:r>
        <w:tab/>
        <w:t>Background</w:t>
      </w:r>
    </w:p>
    <w:p w14:paraId="2F78AEE0" w14:textId="13332A43" w:rsidR="003325A5" w:rsidRDefault="003325A5" w:rsidP="003325A5">
      <w:pPr>
        <w:pStyle w:val="NoSpacing"/>
      </w:pPr>
      <w:r>
        <w:t>File based trace reporting description is specified for 5G and pre-5G in TS32.422[1]. Streaming based trace reporting description is added in R16 for 5G</w:t>
      </w:r>
      <w:r w:rsidRPr="003325A5">
        <w:t xml:space="preserve"> </w:t>
      </w:r>
      <w:r>
        <w:t>in TS32.422[1]. It is specified that at NG-RAN activation procedure, either a Trace Collection Entity IP Address or a Trace Reporting Consumer URI will be provided</w:t>
      </w:r>
      <w:r w:rsidR="00166E5B">
        <w:t>, in following sections:</w:t>
      </w:r>
    </w:p>
    <w:p w14:paraId="6127C6C8" w14:textId="6F086250" w:rsidR="003325A5" w:rsidRDefault="003325A5" w:rsidP="003325A5">
      <w:pPr>
        <w:pStyle w:val="NoSpacing"/>
        <w:numPr>
          <w:ilvl w:val="0"/>
          <w:numId w:val="26"/>
        </w:numPr>
      </w:pPr>
      <w:r>
        <w:rPr>
          <w:rFonts w:hint="eastAsia"/>
        </w:rPr>
        <w:t xml:space="preserve">4.1.1.9.1 NG-RAN activation mechanisms "Trace Collection Entity IP Address for the file-based trace reporting </w:t>
      </w:r>
      <w:r w:rsidRPr="003F7893">
        <w:rPr>
          <w:rFonts w:hint="eastAsia"/>
          <w:u w:val="single"/>
        </w:rPr>
        <w:t>or</w:t>
      </w:r>
      <w:r>
        <w:rPr>
          <w:rFonts w:hint="eastAsia"/>
        </w:rPr>
        <w:t xml:space="preserve"> Trace Reporting Consumer URI for the streaming trace reporting"</w:t>
      </w:r>
    </w:p>
    <w:p w14:paraId="4E01CC55" w14:textId="2576D424" w:rsidR="003325A5" w:rsidRDefault="003325A5" w:rsidP="003325A5">
      <w:pPr>
        <w:pStyle w:val="NoSpacing"/>
        <w:numPr>
          <w:ilvl w:val="0"/>
          <w:numId w:val="26"/>
        </w:numPr>
      </w:pPr>
      <w:r>
        <w:rPr>
          <w:rFonts w:hint="eastAsia"/>
        </w:rPr>
        <w:t xml:space="preserve">4.1.2.16 NG-RAN activation mechanisms "Trace Collection Entity IP Address for the file-based trace reporting </w:t>
      </w:r>
      <w:r w:rsidRPr="003F7893">
        <w:rPr>
          <w:rFonts w:hint="eastAsia"/>
          <w:u w:val="single"/>
        </w:rPr>
        <w:t>or</w:t>
      </w:r>
      <w:r>
        <w:rPr>
          <w:rFonts w:hint="eastAsia"/>
        </w:rPr>
        <w:t xml:space="preserve"> Trace Reporting Consumer URI for the streaming trace reporting"</w:t>
      </w:r>
    </w:p>
    <w:p w14:paraId="3608C560" w14:textId="7396486A" w:rsidR="003325A5" w:rsidRDefault="003325A5" w:rsidP="003325A5">
      <w:pPr>
        <w:pStyle w:val="NoSpacing"/>
        <w:numPr>
          <w:ilvl w:val="0"/>
          <w:numId w:val="26"/>
        </w:numPr>
      </w:pPr>
      <w:r>
        <w:rPr>
          <w:rFonts w:hint="eastAsia"/>
        </w:rPr>
        <w:t xml:space="preserve">4.3.3.1: Trace session activation for RLF reporting in NG-RAN "TCE IP Address for file based reporting </w:t>
      </w:r>
      <w:r w:rsidRPr="003F7893">
        <w:rPr>
          <w:rFonts w:hint="eastAsia"/>
          <w:u w:val="single"/>
        </w:rPr>
        <w:t>or</w:t>
      </w:r>
      <w:r>
        <w:rPr>
          <w:rFonts w:hint="eastAsia"/>
        </w:rPr>
        <w:t xml:space="preserve"> Trace Reporting Consumer URI for streaming reporting"</w:t>
      </w:r>
    </w:p>
    <w:p w14:paraId="22C7B9CC" w14:textId="77777777" w:rsidR="003325A5" w:rsidRDefault="003325A5" w:rsidP="003325A5">
      <w:pPr>
        <w:pStyle w:val="NoSpacing"/>
        <w:numPr>
          <w:ilvl w:val="0"/>
          <w:numId w:val="25"/>
        </w:numPr>
      </w:pPr>
      <w:r>
        <w:t xml:space="preserve">4.8.3 Trace session activation for RCEF reporting in NG-RAN "TCE IP Address for file based reporting </w:t>
      </w:r>
      <w:r w:rsidRPr="003F7893">
        <w:rPr>
          <w:u w:val="single"/>
        </w:rPr>
        <w:t>or</w:t>
      </w:r>
      <w:r>
        <w:t xml:space="preserve"> Trace Reporting Consumer URI for streaming reporting" </w:t>
      </w:r>
    </w:p>
    <w:p w14:paraId="05931999" w14:textId="77777777" w:rsidR="00166E5B" w:rsidRDefault="00166E5B" w:rsidP="003325A5">
      <w:pPr>
        <w:pStyle w:val="NoSpacing"/>
      </w:pPr>
    </w:p>
    <w:p w14:paraId="2337BF81" w14:textId="77777777" w:rsidR="00166E5B" w:rsidRDefault="00166E5B" w:rsidP="003325A5">
      <w:pPr>
        <w:pStyle w:val="NoSpacing"/>
      </w:pPr>
      <w:r>
        <w:t xml:space="preserve">Furthermore, </w:t>
      </w:r>
    </w:p>
    <w:p w14:paraId="2366B7CA" w14:textId="5FED0723" w:rsidR="003325A5" w:rsidRDefault="00166E5B" w:rsidP="00166E5B">
      <w:pPr>
        <w:pStyle w:val="NoSpacing"/>
        <w:numPr>
          <w:ilvl w:val="0"/>
          <w:numId w:val="25"/>
        </w:numPr>
      </w:pPr>
      <w:r>
        <w:t>i</w:t>
      </w:r>
      <w:r w:rsidR="003325A5">
        <w:t xml:space="preserve">n section 5.9 Trace Collection Entity (TCE) IP Address </w:t>
      </w:r>
      <w:r>
        <w:t xml:space="preserve">is specified as </w:t>
      </w:r>
      <w:r w:rsidR="003325A5">
        <w:t xml:space="preserve">"This parameter may be present </w:t>
      </w:r>
      <w:r w:rsidR="003325A5" w:rsidRPr="00166E5B">
        <w:rPr>
          <w:u w:val="single"/>
        </w:rPr>
        <w:t>only if</w:t>
      </w:r>
      <w:r w:rsidR="003325A5">
        <w:t xml:space="preserve"> </w:t>
      </w:r>
      <w:r w:rsidR="003325A5" w:rsidRPr="00F61A8C">
        <w:rPr>
          <w:u w:val="single"/>
        </w:rPr>
        <w:t>the Trace Reporting MnS Consumer URI parameter is not present</w:t>
      </w:r>
      <w:r w:rsidR="003325A5">
        <w:t>."</w:t>
      </w:r>
    </w:p>
    <w:p w14:paraId="36A585EB" w14:textId="7A1BFE64" w:rsidR="003325A5" w:rsidRDefault="00166E5B" w:rsidP="00166E5B">
      <w:pPr>
        <w:pStyle w:val="NoSpacing"/>
        <w:numPr>
          <w:ilvl w:val="0"/>
          <w:numId w:val="25"/>
        </w:numPr>
      </w:pPr>
      <w:r>
        <w:t>i</w:t>
      </w:r>
      <w:r w:rsidR="003325A5">
        <w:t xml:space="preserve">n section 5.9c Trace Reporting Consumer URI "The parameter may be present </w:t>
      </w:r>
      <w:r w:rsidR="003325A5" w:rsidRPr="00F61A8C">
        <w:rPr>
          <w:u w:val="single"/>
        </w:rPr>
        <w:t>only if the IP address of TCE is not present</w:t>
      </w:r>
      <w:r w:rsidR="003325A5">
        <w:t>"</w:t>
      </w:r>
    </w:p>
    <w:p w14:paraId="26EF5BD8" w14:textId="77777777" w:rsidR="00166E5B" w:rsidRDefault="00166E5B" w:rsidP="003325A5">
      <w:pPr>
        <w:pStyle w:val="NoSpacing"/>
      </w:pPr>
    </w:p>
    <w:p w14:paraId="5B053520" w14:textId="2340B7BD" w:rsidR="00166E5B" w:rsidRDefault="00166E5B" w:rsidP="003325A5">
      <w:pPr>
        <w:pStyle w:val="NoSpacing"/>
      </w:pPr>
      <w:r>
        <w:t xml:space="preserve">In 3GPP TS28.622[2], both Trace Collection Entity (TCE) IP Address </w:t>
      </w:r>
      <w:r w:rsidR="00F96BBC">
        <w:t xml:space="preserve">IE </w:t>
      </w:r>
      <w:r>
        <w:t xml:space="preserve">and Trace Reporting Consumer URI IE are specified as conditional mandatory. </w:t>
      </w:r>
    </w:p>
    <w:p w14:paraId="57810223" w14:textId="77777777" w:rsidR="00D3243E" w:rsidRDefault="00D3243E" w:rsidP="003325A5">
      <w:pPr>
        <w:pStyle w:val="NoSpacing"/>
      </w:pPr>
    </w:p>
    <w:p w14:paraId="568CAFBF" w14:textId="77777777" w:rsidR="002D1052" w:rsidRDefault="00D3243E" w:rsidP="00D3243E">
      <w:pPr>
        <w:pStyle w:val="NoSpacing"/>
      </w:pPr>
      <w:r>
        <w:t xml:space="preserve">However, </w:t>
      </w:r>
    </w:p>
    <w:p w14:paraId="7839E8CE" w14:textId="55B9DE29" w:rsidR="00D3243E" w:rsidRDefault="00D3243E" w:rsidP="002D1052">
      <w:pPr>
        <w:pStyle w:val="NoSpacing"/>
        <w:numPr>
          <w:ilvl w:val="0"/>
          <w:numId w:val="28"/>
        </w:numPr>
      </w:pPr>
      <w:r>
        <w:t>in 3GPP TS28.622[2], it is also specified that “The attributes jobType, traceReference, traceRecordingSessionReference, traceCollectionEntityIPAddress, traceTarget and traceReportingFormat are mandatory for all job types.” With this specification, the traceCollectionEntityIPAddress is mandatory which is not aligned with the text in 3GPP TS32.422[1].</w:t>
      </w:r>
    </w:p>
    <w:p w14:paraId="7CF5DD52" w14:textId="77777777" w:rsidR="00D3243E" w:rsidRDefault="00D3243E" w:rsidP="00D3243E">
      <w:pPr>
        <w:pStyle w:val="NoSpacing"/>
      </w:pPr>
    </w:p>
    <w:p w14:paraId="4FA8D284" w14:textId="2B027A73" w:rsidR="00D3243E" w:rsidRDefault="00D3243E" w:rsidP="002D1052">
      <w:pPr>
        <w:pStyle w:val="NoSpacing"/>
        <w:numPr>
          <w:ilvl w:val="0"/>
          <w:numId w:val="28"/>
        </w:numPr>
      </w:pPr>
      <w:r>
        <w:t xml:space="preserve">in RAN3 specification, 3GPP TS38.413[4], it is specified that Trace Collection Entity IP Address shall be included in the Trace Activation message and Trace Reporting Consumer URI may be included in the Trace Activation message. If the Trace Activation IE includes the Trace Reporting Consumer URI IE, the NG-RAN </w:t>
      </w:r>
      <w:r>
        <w:lastRenderedPageBreak/>
        <w:t>node shall use it as described in 3GPP TS 32.422[1] and, if streaming based reporting is supported, ignore the Trace Collection Entity IP Address IE.</w:t>
      </w:r>
    </w:p>
    <w:p w14:paraId="6BC2855F" w14:textId="77777777" w:rsidR="00166E5B" w:rsidRDefault="00166E5B" w:rsidP="003325A5">
      <w:pPr>
        <w:pStyle w:val="NoSpacing"/>
      </w:pPr>
    </w:p>
    <w:p w14:paraId="4754ACCC" w14:textId="3F645657" w:rsidR="00304CD3" w:rsidRDefault="00304CD3" w:rsidP="00304CD3">
      <w:pPr>
        <w:pStyle w:val="Heading2"/>
      </w:pPr>
      <w:r>
        <w:t>3.2</w:t>
      </w:r>
      <w:r>
        <w:tab/>
        <w:t>The problem(s)</w:t>
      </w:r>
    </w:p>
    <w:p w14:paraId="1675E973" w14:textId="0C09307C" w:rsidR="00304CD3" w:rsidRDefault="00304CD3" w:rsidP="00A64560">
      <w:pPr>
        <w:rPr>
          <w:iCs/>
        </w:rPr>
      </w:pPr>
      <w:r>
        <w:rPr>
          <w:iCs/>
        </w:rPr>
        <w:t xml:space="preserve">There are several issues with the current </w:t>
      </w:r>
      <w:r w:rsidR="00166E5B" w:rsidRPr="00166E5B">
        <w:rPr>
          <w:iCs/>
        </w:rPr>
        <w:t>definition</w:t>
      </w:r>
      <w:r>
        <w:rPr>
          <w:iCs/>
        </w:rPr>
        <w:t>:</w:t>
      </w:r>
    </w:p>
    <w:p w14:paraId="24C6FB80" w14:textId="3031A297" w:rsidR="00166E5B" w:rsidRDefault="00166E5B" w:rsidP="00A64560">
      <w:pPr>
        <w:rPr>
          <w:iCs/>
        </w:rPr>
      </w:pPr>
      <w:r>
        <w:rPr>
          <w:iCs/>
        </w:rPr>
        <w:t>Problem 1: misalignment between SA5 specifications</w:t>
      </w:r>
    </w:p>
    <w:p w14:paraId="376C3E3F" w14:textId="6A7DF1F4" w:rsidR="00166E5B" w:rsidRDefault="00166E5B" w:rsidP="00A64560">
      <w:pPr>
        <w:rPr>
          <w:iCs/>
        </w:rPr>
      </w:pPr>
      <w:r>
        <w:rPr>
          <w:iCs/>
        </w:rPr>
        <w:t>Problem 2: misalignment between SA5 specifications and RAN3 specifications</w:t>
      </w:r>
    </w:p>
    <w:p w14:paraId="78F9F2FA" w14:textId="77777777" w:rsidR="00FD676B" w:rsidRDefault="00166E5B" w:rsidP="00FD676B">
      <w:pPr>
        <w:pStyle w:val="NoSpacing"/>
      </w:pPr>
      <w:r>
        <w:t>Problem 3: non-backward compatible</w:t>
      </w:r>
      <w:r w:rsidR="000D5EE8">
        <w:t xml:space="preserve"> changes</w:t>
      </w:r>
      <w:r w:rsidR="00FD676B">
        <w:t xml:space="preserve"> </w:t>
      </w:r>
    </w:p>
    <w:p w14:paraId="6B055DB3" w14:textId="77777777" w:rsidR="00FD676B" w:rsidRDefault="000D5EE8" w:rsidP="00FD676B">
      <w:pPr>
        <w:pStyle w:val="NoSpacing"/>
        <w:numPr>
          <w:ilvl w:val="0"/>
          <w:numId w:val="31"/>
        </w:numPr>
      </w:pPr>
      <w:r>
        <w:t>Trace Collection Entity IP Address is specified as mandatory attribute in pre-5G RAN.</w:t>
      </w:r>
      <w:r w:rsidR="00FD676B">
        <w:t xml:space="preserve"> </w:t>
      </w:r>
    </w:p>
    <w:p w14:paraId="1435D245" w14:textId="2909761F" w:rsidR="00166E5B" w:rsidRDefault="000D5EE8" w:rsidP="00FD676B">
      <w:pPr>
        <w:pStyle w:val="NoSpacing"/>
        <w:numPr>
          <w:ilvl w:val="0"/>
          <w:numId w:val="31"/>
        </w:numPr>
      </w:pPr>
      <w:r>
        <w:t>C</w:t>
      </w:r>
      <w:r w:rsidR="00166E5B">
        <w:t>hanging a mandatory IE into a conditional mandatory in later releases is not considered as backward compatible.</w:t>
      </w:r>
    </w:p>
    <w:p w14:paraId="559762AE" w14:textId="77777777" w:rsidR="00166E5B" w:rsidRDefault="00166E5B" w:rsidP="00A64560">
      <w:pPr>
        <w:rPr>
          <w:iCs/>
        </w:rPr>
      </w:pPr>
    </w:p>
    <w:p w14:paraId="2EB010F0" w14:textId="0BD6874D" w:rsidR="00FD676B" w:rsidRDefault="00166E5B" w:rsidP="00FD676B">
      <w:r>
        <w:rPr>
          <w:iCs/>
        </w:rPr>
        <w:t>Problem 4:</w:t>
      </w:r>
      <w:r w:rsidR="000D5EE8">
        <w:rPr>
          <w:iCs/>
        </w:rPr>
        <w:t xml:space="preserve"> </w:t>
      </w:r>
      <w:r w:rsidR="000D5EE8">
        <w:t xml:space="preserve">trace </w:t>
      </w:r>
      <w:r w:rsidR="000E719F">
        <w:t xml:space="preserve">is </w:t>
      </w:r>
      <w:r w:rsidR="000D5EE8">
        <w:t>discontinued at handover</w:t>
      </w:r>
      <w:r w:rsidR="00FD676B">
        <w:t xml:space="preserve"> </w:t>
      </w:r>
    </w:p>
    <w:p w14:paraId="634FD0D8" w14:textId="31088272" w:rsidR="00A021EF" w:rsidRDefault="00166E5B" w:rsidP="00FD676B">
      <w:pPr>
        <w:numPr>
          <w:ilvl w:val="0"/>
          <w:numId w:val="32"/>
        </w:numPr>
      </w:pPr>
      <w:r>
        <w:t xml:space="preserve">Making both </w:t>
      </w:r>
      <w:r w:rsidR="004421F2">
        <w:t xml:space="preserve">Trace Collection Entity IP Address </w:t>
      </w:r>
      <w:r>
        <w:t xml:space="preserve">and </w:t>
      </w:r>
      <w:r w:rsidR="00D5313A">
        <w:t xml:space="preserve">Trace Reporting Consumer URI </w:t>
      </w:r>
      <w:r>
        <w:t>IE conditional mandatory, may leading Trace failure at handover. If both source gNB and target gNB are supporting only one trace reporting format and it is not same, the trace has to be discontinued after handover.</w:t>
      </w:r>
      <w:r w:rsidR="004D4A40">
        <w:t xml:space="preserve"> </w:t>
      </w:r>
    </w:p>
    <w:p w14:paraId="4DD6C6A7" w14:textId="77777777" w:rsidR="002C2223" w:rsidRDefault="004D4A40" w:rsidP="00FD676B">
      <w:pPr>
        <w:numPr>
          <w:ilvl w:val="0"/>
          <w:numId w:val="32"/>
        </w:numPr>
      </w:pPr>
      <w:r>
        <w:t xml:space="preserve">For example, if the </w:t>
      </w:r>
      <w:r w:rsidR="003416D1">
        <w:t>source gNB has file-based trace report supported</w:t>
      </w:r>
      <w:r w:rsidR="004421F2">
        <w:t>. At handover</w:t>
      </w:r>
      <w:r w:rsidR="00EE370E">
        <w:t>,</w:t>
      </w:r>
      <w:r w:rsidR="004421F2">
        <w:t xml:space="preserve"> </w:t>
      </w:r>
      <w:r w:rsidR="00F34400">
        <w:t xml:space="preserve">only </w:t>
      </w:r>
      <w:r w:rsidR="004421F2">
        <w:t xml:space="preserve">the </w:t>
      </w:r>
      <w:r w:rsidR="004421F2">
        <w:t>Trace Collection Entity IP Address</w:t>
      </w:r>
      <w:r w:rsidR="004421F2">
        <w:t xml:space="preserve"> is forwarded to the target gNB. </w:t>
      </w:r>
      <w:r w:rsidR="00F34400">
        <w:t xml:space="preserve">There is no </w:t>
      </w:r>
      <w:r w:rsidR="00F34400">
        <w:t xml:space="preserve">Trace Reporting Consumer URI </w:t>
      </w:r>
      <w:r w:rsidR="00F34400">
        <w:t xml:space="preserve">in the trace configuration. </w:t>
      </w:r>
      <w:r w:rsidR="00A021EF">
        <w:t>However,</w:t>
      </w:r>
      <w:r w:rsidR="004421F2">
        <w:t xml:space="preserve"> </w:t>
      </w:r>
      <w:r w:rsidR="00540C48">
        <w:t xml:space="preserve">if the target gNB </w:t>
      </w:r>
      <w:r w:rsidR="003A230B">
        <w:t xml:space="preserve">only </w:t>
      </w:r>
      <w:r w:rsidR="00540C48">
        <w:t>has streaming-based trace report supported</w:t>
      </w:r>
      <w:r w:rsidR="00421AD5">
        <w:t xml:space="preserve">, the trace has to be deactivated after handover. </w:t>
      </w:r>
    </w:p>
    <w:p w14:paraId="1FA2B863" w14:textId="0723FF21" w:rsidR="00166E5B" w:rsidRDefault="00A021EF" w:rsidP="00FD676B">
      <w:pPr>
        <w:numPr>
          <w:ilvl w:val="0"/>
          <w:numId w:val="32"/>
        </w:numPr>
      </w:pPr>
      <w:r>
        <w:t xml:space="preserve">If </w:t>
      </w:r>
      <w:r w:rsidR="00E667EE">
        <w:t xml:space="preserve">Trace Collection Entity IP Address </w:t>
      </w:r>
      <w:r w:rsidR="00E667EE">
        <w:t xml:space="preserve">IE </w:t>
      </w:r>
      <w:r w:rsidR="00972AF6">
        <w:t xml:space="preserve">is </w:t>
      </w:r>
      <w:r w:rsidR="00972AF6">
        <w:t>mandatory</w:t>
      </w:r>
      <w:r w:rsidR="003A230B">
        <w:t xml:space="preserve"> in </w:t>
      </w:r>
      <w:r w:rsidR="00E667EE">
        <w:t>Trace Activation</w:t>
      </w:r>
      <w:r w:rsidR="00AD5B6F">
        <w:t xml:space="preserve"> and </w:t>
      </w:r>
      <w:r w:rsidR="00AD5B6F">
        <w:t xml:space="preserve">Trace Reporting Consumer URI IE </w:t>
      </w:r>
      <w:r w:rsidR="00AD5B6F">
        <w:t xml:space="preserve">is </w:t>
      </w:r>
      <w:r w:rsidR="00AD5B6F">
        <w:t>conditional mandatory</w:t>
      </w:r>
      <w:r w:rsidR="00AD5B6F">
        <w:t>,</w:t>
      </w:r>
      <w:r w:rsidR="00972AF6">
        <w:t xml:space="preserve"> </w:t>
      </w:r>
      <w:r w:rsidR="002C2223">
        <w:t>above</w:t>
      </w:r>
      <w:r w:rsidR="00972AF6">
        <w:t xml:space="preserve"> </w:t>
      </w:r>
      <w:r w:rsidR="00EE370E">
        <w:t xml:space="preserve">problem could be avoided. </w:t>
      </w:r>
      <w:r w:rsidR="00AD5B6F">
        <w:t xml:space="preserve">Both IEs will be forwarded at handover. The target </w:t>
      </w:r>
      <w:r w:rsidR="00083AB9">
        <w:t xml:space="preserve">gNB can decide how to report the ongoing Trace based on its capability. </w:t>
      </w:r>
    </w:p>
    <w:p w14:paraId="7B760AA0" w14:textId="48629180" w:rsidR="004806AE" w:rsidRDefault="004806AE" w:rsidP="004806AE">
      <w:pPr>
        <w:pStyle w:val="Heading2"/>
      </w:pPr>
      <w:r>
        <w:t>3.3</w:t>
      </w:r>
      <w:r>
        <w:tab/>
      </w:r>
      <w:r w:rsidR="00166E5B">
        <w:t>Proposal</w:t>
      </w:r>
      <w:r w:rsidR="000D5EE8">
        <w:t>s</w:t>
      </w:r>
    </w:p>
    <w:p w14:paraId="0A7D8F56" w14:textId="519B65DC" w:rsidR="000D5EE8" w:rsidRDefault="000D5EE8" w:rsidP="000D5EE8">
      <w:r>
        <w:t>Proposal 1: Revise the SA5 specifications to make Trace Collection Entity IP Address mandatory (instead of conditional mandatory)</w:t>
      </w:r>
    </w:p>
    <w:p w14:paraId="6DE9F5B6" w14:textId="5993A9D6" w:rsidR="000D5EE8" w:rsidRDefault="000D5EE8" w:rsidP="000D5EE8">
      <w:r>
        <w:t>Proposal 2: Keep Trace Reporting Consumer URI as conditional mandatory.</w:t>
      </w:r>
    </w:p>
    <w:p w14:paraId="79AB3C03" w14:textId="0FC8F1AB" w:rsidR="000D5EE8" w:rsidRPr="000D5EE8" w:rsidRDefault="000D5EE8" w:rsidP="000D5EE8">
      <w:r>
        <w:t>Proposal 3: Adding a clarification that if Trace Reporting Consumer URI is provided in the Trace Activation message, Trace Collection Entity IP Address IE shall be ignored, if streaming based reporting is supported.</w:t>
      </w:r>
    </w:p>
    <w:p w14:paraId="4DCDDB6F" w14:textId="109F3FE3" w:rsidR="00C022E3" w:rsidRDefault="00C022E3">
      <w:pPr>
        <w:pStyle w:val="Heading1"/>
      </w:pPr>
      <w:r>
        <w:t>4</w:t>
      </w:r>
      <w:r>
        <w:tab/>
        <w:t xml:space="preserve">Detailed </w:t>
      </w:r>
      <w:r w:rsidR="000D5EE8">
        <w:t>proposals</w:t>
      </w:r>
    </w:p>
    <w:p w14:paraId="7198D109" w14:textId="77777777" w:rsidR="000D5EE8" w:rsidRDefault="000D5EE8">
      <w:r w:rsidRPr="000D5EE8">
        <w:rPr>
          <w:iCs/>
        </w:rPr>
        <w:t xml:space="preserve">Update </w:t>
      </w:r>
      <w:r>
        <w:rPr>
          <w:iCs/>
        </w:rPr>
        <w:t xml:space="preserve">the following specifications </w:t>
      </w:r>
      <w:r>
        <w:t>based on above proposals.</w:t>
      </w:r>
    </w:p>
    <w:p w14:paraId="592951F7" w14:textId="58581340" w:rsidR="000D5EE8" w:rsidRPr="000D5EE8" w:rsidRDefault="000D5EE8" w:rsidP="000D5EE8">
      <w:pPr>
        <w:numPr>
          <w:ilvl w:val="0"/>
          <w:numId w:val="27"/>
        </w:numPr>
        <w:rPr>
          <w:iCs/>
        </w:rPr>
      </w:pPr>
      <w:r>
        <w:t xml:space="preserve">TS32.422[1]: section </w:t>
      </w:r>
      <w:r w:rsidRPr="000D5EE8">
        <w:t>4.1.1.9.1, 4.1.2.16, 4.3.3.1, 4.8.3, 5.9, 5.9c, 5.10.11</w:t>
      </w:r>
    </w:p>
    <w:p w14:paraId="5639FE77" w14:textId="24F5C209" w:rsidR="000D5EE8" w:rsidRPr="000D5EE8" w:rsidRDefault="000D5EE8" w:rsidP="000D5EE8">
      <w:pPr>
        <w:numPr>
          <w:ilvl w:val="0"/>
          <w:numId w:val="27"/>
        </w:numPr>
        <w:rPr>
          <w:iCs/>
        </w:rPr>
      </w:pPr>
      <w:r>
        <w:t xml:space="preserve">TS28.622[2]: </w:t>
      </w:r>
      <w:r w:rsidR="00D17255">
        <w:t xml:space="preserve">section </w:t>
      </w:r>
      <w:r w:rsidRPr="000D5EE8">
        <w:t>4.3.30.2, 4.3.30.3</w:t>
      </w:r>
    </w:p>
    <w:p w14:paraId="6D67FD86" w14:textId="177CA694" w:rsidR="00C022E3" w:rsidRPr="00EC7BA6" w:rsidRDefault="000D5EE8" w:rsidP="000D5EE8">
      <w:pPr>
        <w:numPr>
          <w:ilvl w:val="0"/>
          <w:numId w:val="27"/>
        </w:numPr>
        <w:rPr>
          <w:iCs/>
        </w:rPr>
      </w:pPr>
      <w:r>
        <w:t>TS28.623[</w:t>
      </w:r>
      <w:r w:rsidR="00EC7BA6">
        <w:t>3</w:t>
      </w:r>
      <w:r>
        <w:t>]</w:t>
      </w:r>
      <w:r w:rsidR="00C917F2">
        <w:t xml:space="preserve">: </w:t>
      </w:r>
      <w:r w:rsidR="00C917F2" w:rsidRPr="006661A4">
        <w:rPr>
          <w:lang w:val="en-US" w:eastAsia="zh-CN"/>
        </w:rPr>
        <w:t>module _3gpp-common</w:t>
      </w:r>
      <w:r w:rsidR="00C917F2" w:rsidRPr="006661A4">
        <w:rPr>
          <w:lang w:val="en-US"/>
        </w:rPr>
        <w:t>-</w:t>
      </w:r>
      <w:r w:rsidR="00C917F2" w:rsidRPr="006661A4">
        <w:rPr>
          <w:lang w:val="en-US" w:eastAsia="zh-CN"/>
        </w:rPr>
        <w:t>trace.yang</w:t>
      </w:r>
      <w:r w:rsidR="00C917F2">
        <w:rPr>
          <w:lang w:val="en-US" w:eastAsia="zh-CN"/>
        </w:rPr>
        <w:t xml:space="preserve">, and </w:t>
      </w:r>
      <w:r w:rsidR="00C917F2" w:rsidRPr="006C03A9">
        <w:rPr>
          <w:lang w:val="en-US" w:eastAsia="zh-CN"/>
        </w:rPr>
        <w:t>TS28623_GenericNrm.yaml</w:t>
      </w:r>
    </w:p>
    <w:p w14:paraId="76324814" w14:textId="3445436F" w:rsidR="00EC7BA6" w:rsidRPr="000D5EE8" w:rsidRDefault="00EC7BA6" w:rsidP="000D5EE8">
      <w:pPr>
        <w:numPr>
          <w:ilvl w:val="0"/>
          <w:numId w:val="27"/>
        </w:numPr>
        <w:rPr>
          <w:iCs/>
        </w:rPr>
      </w:pPr>
      <w:r>
        <w:rPr>
          <w:lang w:val="en-US" w:eastAsia="zh-CN"/>
        </w:rPr>
        <w:t>Send LS to RAN3 about t</w:t>
      </w:r>
      <w:r w:rsidR="00036CB5">
        <w:rPr>
          <w:lang w:val="en-US" w:eastAsia="zh-CN"/>
        </w:rPr>
        <w:t>he agreed changes in SA5.</w:t>
      </w:r>
    </w:p>
    <w:sectPr w:rsidR="00EC7BA6" w:rsidRPr="000D5EE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B44D" w14:textId="77777777" w:rsidR="00F60004" w:rsidRDefault="00F60004">
      <w:r>
        <w:separator/>
      </w:r>
    </w:p>
  </w:endnote>
  <w:endnote w:type="continuationSeparator" w:id="0">
    <w:p w14:paraId="7FC33044" w14:textId="77777777" w:rsidR="00F60004" w:rsidRDefault="00F6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A6C9" w14:textId="77777777" w:rsidR="00F60004" w:rsidRDefault="00F60004">
      <w:r>
        <w:separator/>
      </w:r>
    </w:p>
  </w:footnote>
  <w:footnote w:type="continuationSeparator" w:id="0">
    <w:p w14:paraId="677DFAD9" w14:textId="77777777" w:rsidR="00F60004" w:rsidRDefault="00F60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51B7B9E"/>
    <w:multiLevelType w:val="hybridMultilevel"/>
    <w:tmpl w:val="576EA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03546A"/>
    <w:multiLevelType w:val="hybridMultilevel"/>
    <w:tmpl w:val="5D6EB3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DD534F3"/>
    <w:multiLevelType w:val="hybridMultilevel"/>
    <w:tmpl w:val="3522B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71B444A"/>
    <w:multiLevelType w:val="hybridMultilevel"/>
    <w:tmpl w:val="3E98DE1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9" w15:restartNumberingAfterBreak="0">
    <w:nsid w:val="37283E3D"/>
    <w:multiLevelType w:val="hybridMultilevel"/>
    <w:tmpl w:val="CC8A5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15F726F"/>
    <w:multiLevelType w:val="hybridMultilevel"/>
    <w:tmpl w:val="1F9AD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0171163"/>
    <w:multiLevelType w:val="hybridMultilevel"/>
    <w:tmpl w:val="6E983C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E283A91"/>
    <w:multiLevelType w:val="hybridMultilevel"/>
    <w:tmpl w:val="03DEC2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4D901EA"/>
    <w:multiLevelType w:val="hybridMultilevel"/>
    <w:tmpl w:val="2054B864"/>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9" w15:restartNumberingAfterBreak="0">
    <w:nsid w:val="7D3068ED"/>
    <w:multiLevelType w:val="hybridMultilevel"/>
    <w:tmpl w:val="2EC83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92741952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63141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30049575">
    <w:abstractNumId w:val="15"/>
  </w:num>
  <w:num w:numId="4" w16cid:durableId="194461432">
    <w:abstractNumId w:val="21"/>
  </w:num>
  <w:num w:numId="5" w16cid:durableId="1755202881">
    <w:abstractNumId w:val="20"/>
  </w:num>
  <w:num w:numId="6" w16cid:durableId="173813067">
    <w:abstractNumId w:val="11"/>
  </w:num>
  <w:num w:numId="7" w16cid:durableId="1654288985">
    <w:abstractNumId w:val="13"/>
  </w:num>
  <w:num w:numId="8" w16cid:durableId="22445459">
    <w:abstractNumId w:val="30"/>
  </w:num>
  <w:num w:numId="9" w16cid:durableId="1350642903">
    <w:abstractNumId w:val="24"/>
  </w:num>
  <w:num w:numId="10" w16cid:durableId="1870139264">
    <w:abstractNumId w:val="27"/>
  </w:num>
  <w:num w:numId="11" w16cid:durableId="1402871209">
    <w:abstractNumId w:val="17"/>
  </w:num>
  <w:num w:numId="12" w16cid:durableId="37559990">
    <w:abstractNumId w:val="23"/>
  </w:num>
  <w:num w:numId="13" w16cid:durableId="1516115403">
    <w:abstractNumId w:val="9"/>
  </w:num>
  <w:num w:numId="14" w16cid:durableId="931165949">
    <w:abstractNumId w:val="7"/>
  </w:num>
  <w:num w:numId="15" w16cid:durableId="135412486">
    <w:abstractNumId w:val="6"/>
  </w:num>
  <w:num w:numId="16" w16cid:durableId="564219110">
    <w:abstractNumId w:val="5"/>
  </w:num>
  <w:num w:numId="17" w16cid:durableId="1673216411">
    <w:abstractNumId w:val="4"/>
  </w:num>
  <w:num w:numId="18" w16cid:durableId="143742471">
    <w:abstractNumId w:val="8"/>
  </w:num>
  <w:num w:numId="19" w16cid:durableId="432870043">
    <w:abstractNumId w:val="3"/>
  </w:num>
  <w:num w:numId="20" w16cid:durableId="2029136223">
    <w:abstractNumId w:val="2"/>
  </w:num>
  <w:num w:numId="21" w16cid:durableId="1466966441">
    <w:abstractNumId w:val="1"/>
  </w:num>
  <w:num w:numId="22" w16cid:durableId="2088260971">
    <w:abstractNumId w:val="0"/>
  </w:num>
  <w:num w:numId="23" w16cid:durableId="1009797376">
    <w:abstractNumId w:val="29"/>
  </w:num>
  <w:num w:numId="24" w16cid:durableId="1534223136">
    <w:abstractNumId w:val="14"/>
  </w:num>
  <w:num w:numId="25" w16cid:durableId="2120684187">
    <w:abstractNumId w:val="26"/>
  </w:num>
  <w:num w:numId="26" w16cid:durableId="1805737742">
    <w:abstractNumId w:val="25"/>
  </w:num>
  <w:num w:numId="27" w16cid:durableId="2066100998">
    <w:abstractNumId w:val="18"/>
  </w:num>
  <w:num w:numId="28" w16cid:durableId="541944430">
    <w:abstractNumId w:val="22"/>
  </w:num>
  <w:num w:numId="29" w16cid:durableId="1847162276">
    <w:abstractNumId w:val="28"/>
  </w:num>
  <w:num w:numId="30" w16cid:durableId="1374039330">
    <w:abstractNumId w:val="16"/>
  </w:num>
  <w:num w:numId="31" w16cid:durableId="1761636097">
    <w:abstractNumId w:val="19"/>
  </w:num>
  <w:num w:numId="32" w16cid:durableId="2402131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41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AUA0FtvmCwAAAA="/>
  </w:docVars>
  <w:rsids>
    <w:rsidRoot w:val="00E30155"/>
    <w:rsid w:val="00012515"/>
    <w:rsid w:val="000230A3"/>
    <w:rsid w:val="00036CB5"/>
    <w:rsid w:val="00046389"/>
    <w:rsid w:val="00074722"/>
    <w:rsid w:val="0008083D"/>
    <w:rsid w:val="000819D8"/>
    <w:rsid w:val="00083AB9"/>
    <w:rsid w:val="00085D0B"/>
    <w:rsid w:val="000934A6"/>
    <w:rsid w:val="000A1F80"/>
    <w:rsid w:val="000A2C6C"/>
    <w:rsid w:val="000A4660"/>
    <w:rsid w:val="000D1B5B"/>
    <w:rsid w:val="000D5EE8"/>
    <w:rsid w:val="000E626A"/>
    <w:rsid w:val="000E719F"/>
    <w:rsid w:val="000F060A"/>
    <w:rsid w:val="0010401F"/>
    <w:rsid w:val="00112FC3"/>
    <w:rsid w:val="00166E5B"/>
    <w:rsid w:val="00173FA3"/>
    <w:rsid w:val="00184B6F"/>
    <w:rsid w:val="001861E5"/>
    <w:rsid w:val="001969DA"/>
    <w:rsid w:val="00197930"/>
    <w:rsid w:val="001B1652"/>
    <w:rsid w:val="001C3EC8"/>
    <w:rsid w:val="001D2BD4"/>
    <w:rsid w:val="001D4258"/>
    <w:rsid w:val="001D6911"/>
    <w:rsid w:val="00201947"/>
    <w:rsid w:val="0020395B"/>
    <w:rsid w:val="002046CB"/>
    <w:rsid w:val="00204DC9"/>
    <w:rsid w:val="002062C0"/>
    <w:rsid w:val="00212C47"/>
    <w:rsid w:val="00215130"/>
    <w:rsid w:val="00230002"/>
    <w:rsid w:val="00232AB5"/>
    <w:rsid w:val="00244C9A"/>
    <w:rsid w:val="00247216"/>
    <w:rsid w:val="00266700"/>
    <w:rsid w:val="00274477"/>
    <w:rsid w:val="002A1857"/>
    <w:rsid w:val="002C2223"/>
    <w:rsid w:val="002C7F38"/>
    <w:rsid w:val="002D1052"/>
    <w:rsid w:val="002D344B"/>
    <w:rsid w:val="00304CD3"/>
    <w:rsid w:val="0030628A"/>
    <w:rsid w:val="003325A5"/>
    <w:rsid w:val="003416D1"/>
    <w:rsid w:val="0035122B"/>
    <w:rsid w:val="00353451"/>
    <w:rsid w:val="003612BE"/>
    <w:rsid w:val="00365672"/>
    <w:rsid w:val="00371032"/>
    <w:rsid w:val="00371B44"/>
    <w:rsid w:val="003A230B"/>
    <w:rsid w:val="003C122B"/>
    <w:rsid w:val="003C5A97"/>
    <w:rsid w:val="003C7A04"/>
    <w:rsid w:val="003E30BB"/>
    <w:rsid w:val="003F52B2"/>
    <w:rsid w:val="003F7893"/>
    <w:rsid w:val="00421AD5"/>
    <w:rsid w:val="00440414"/>
    <w:rsid w:val="004421F2"/>
    <w:rsid w:val="004558E9"/>
    <w:rsid w:val="0045777E"/>
    <w:rsid w:val="004806AE"/>
    <w:rsid w:val="004B3753"/>
    <w:rsid w:val="004C31D2"/>
    <w:rsid w:val="004D4A40"/>
    <w:rsid w:val="004D55C2"/>
    <w:rsid w:val="00521131"/>
    <w:rsid w:val="00527C0B"/>
    <w:rsid w:val="00540C48"/>
    <w:rsid w:val="005410F6"/>
    <w:rsid w:val="0055412D"/>
    <w:rsid w:val="005729C4"/>
    <w:rsid w:val="00577BC6"/>
    <w:rsid w:val="0059227B"/>
    <w:rsid w:val="005B0966"/>
    <w:rsid w:val="005B795D"/>
    <w:rsid w:val="005D2554"/>
    <w:rsid w:val="00610508"/>
    <w:rsid w:val="00613820"/>
    <w:rsid w:val="00645C90"/>
    <w:rsid w:val="00652248"/>
    <w:rsid w:val="00657B80"/>
    <w:rsid w:val="00670E82"/>
    <w:rsid w:val="00675B3C"/>
    <w:rsid w:val="0069495C"/>
    <w:rsid w:val="006D340A"/>
    <w:rsid w:val="00715A1D"/>
    <w:rsid w:val="007548DE"/>
    <w:rsid w:val="00760BB0"/>
    <w:rsid w:val="0076157A"/>
    <w:rsid w:val="00784593"/>
    <w:rsid w:val="007A00EF"/>
    <w:rsid w:val="007B01EB"/>
    <w:rsid w:val="007B19EA"/>
    <w:rsid w:val="007C0A2D"/>
    <w:rsid w:val="007C27B0"/>
    <w:rsid w:val="007F300B"/>
    <w:rsid w:val="008014C3"/>
    <w:rsid w:val="00817632"/>
    <w:rsid w:val="00820F11"/>
    <w:rsid w:val="00827E40"/>
    <w:rsid w:val="00831676"/>
    <w:rsid w:val="00850812"/>
    <w:rsid w:val="00876B9A"/>
    <w:rsid w:val="00886CBD"/>
    <w:rsid w:val="008933BF"/>
    <w:rsid w:val="008A10C4"/>
    <w:rsid w:val="008B0248"/>
    <w:rsid w:val="008D191D"/>
    <w:rsid w:val="008F5F33"/>
    <w:rsid w:val="009032BA"/>
    <w:rsid w:val="0091046A"/>
    <w:rsid w:val="00926ABD"/>
    <w:rsid w:val="00947F4E"/>
    <w:rsid w:val="00966D47"/>
    <w:rsid w:val="00972AF6"/>
    <w:rsid w:val="00992312"/>
    <w:rsid w:val="009C0DED"/>
    <w:rsid w:val="00A021EF"/>
    <w:rsid w:val="00A20ED6"/>
    <w:rsid w:val="00A37D7F"/>
    <w:rsid w:val="00A46410"/>
    <w:rsid w:val="00A57688"/>
    <w:rsid w:val="00A64560"/>
    <w:rsid w:val="00A842E9"/>
    <w:rsid w:val="00A84A94"/>
    <w:rsid w:val="00AD1DAA"/>
    <w:rsid w:val="00AD5B6F"/>
    <w:rsid w:val="00AF12E9"/>
    <w:rsid w:val="00AF1E23"/>
    <w:rsid w:val="00AF7F81"/>
    <w:rsid w:val="00B01AFF"/>
    <w:rsid w:val="00B05CC7"/>
    <w:rsid w:val="00B27E39"/>
    <w:rsid w:val="00B350D8"/>
    <w:rsid w:val="00B611C8"/>
    <w:rsid w:val="00B76763"/>
    <w:rsid w:val="00B7732B"/>
    <w:rsid w:val="00B879F0"/>
    <w:rsid w:val="00BB306A"/>
    <w:rsid w:val="00BC25AA"/>
    <w:rsid w:val="00BD7E74"/>
    <w:rsid w:val="00BF682E"/>
    <w:rsid w:val="00C022E3"/>
    <w:rsid w:val="00C22D17"/>
    <w:rsid w:val="00C26BB2"/>
    <w:rsid w:val="00C4712D"/>
    <w:rsid w:val="00C555C9"/>
    <w:rsid w:val="00C917F2"/>
    <w:rsid w:val="00C94F55"/>
    <w:rsid w:val="00CA7D62"/>
    <w:rsid w:val="00CB07A8"/>
    <w:rsid w:val="00CC2FF5"/>
    <w:rsid w:val="00CD4A57"/>
    <w:rsid w:val="00CF2A70"/>
    <w:rsid w:val="00D146F1"/>
    <w:rsid w:val="00D17255"/>
    <w:rsid w:val="00D3243E"/>
    <w:rsid w:val="00D33604"/>
    <w:rsid w:val="00D37B08"/>
    <w:rsid w:val="00D437FF"/>
    <w:rsid w:val="00D5130C"/>
    <w:rsid w:val="00D5313A"/>
    <w:rsid w:val="00D62265"/>
    <w:rsid w:val="00D73770"/>
    <w:rsid w:val="00D8512E"/>
    <w:rsid w:val="00DA1E58"/>
    <w:rsid w:val="00DB75B8"/>
    <w:rsid w:val="00DC1055"/>
    <w:rsid w:val="00DC415E"/>
    <w:rsid w:val="00DC7E86"/>
    <w:rsid w:val="00DE4EF2"/>
    <w:rsid w:val="00DF0F93"/>
    <w:rsid w:val="00DF2C0E"/>
    <w:rsid w:val="00E04DB6"/>
    <w:rsid w:val="00E06FFB"/>
    <w:rsid w:val="00E30155"/>
    <w:rsid w:val="00E667EE"/>
    <w:rsid w:val="00E91FE1"/>
    <w:rsid w:val="00EA5E95"/>
    <w:rsid w:val="00EC7BA6"/>
    <w:rsid w:val="00ED4954"/>
    <w:rsid w:val="00ED5A43"/>
    <w:rsid w:val="00EE0943"/>
    <w:rsid w:val="00EE33A2"/>
    <w:rsid w:val="00EE370E"/>
    <w:rsid w:val="00F34400"/>
    <w:rsid w:val="00F60004"/>
    <w:rsid w:val="00F61A8C"/>
    <w:rsid w:val="00F67A1C"/>
    <w:rsid w:val="00F82C5B"/>
    <w:rsid w:val="00F8555F"/>
    <w:rsid w:val="00F96BBC"/>
    <w:rsid w:val="00FB3E36"/>
    <w:rsid w:val="00FD676B"/>
    <w:rsid w:val="00FE6F7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6DC3"/>
  <w15:chartTrackingRefBased/>
  <w15:docId w15:val="{DD5EEADE-59E9-4FE1-B3B1-AE7EF672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Heading2Char">
    <w:name w:val="Heading 2 Char"/>
    <w:aliases w:val="H2 Char,h2 Char,2nd level Char,†berschrift 2 Char,õberschrift 2 Char,UNDERRUBRIK 1-2 Char"/>
    <w:link w:val="Heading2"/>
    <w:rsid w:val="00304CD3"/>
    <w:rPr>
      <w:rFonts w:ascii="Arial" w:hAnsi="Arial"/>
      <w:sz w:val="32"/>
      <w:lang w:eastAsia="en-US"/>
    </w:rPr>
  </w:style>
  <w:style w:type="table" w:styleId="TableGrid">
    <w:name w:val="Table Grid"/>
    <w:basedOn w:val="TableNormal"/>
    <w:rsid w:val="00DC4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8968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182</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5203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Zu Qiang</cp:lastModifiedBy>
  <cp:revision>33</cp:revision>
  <cp:lastPrinted>1900-01-01T05:00:00Z</cp:lastPrinted>
  <dcterms:created xsi:type="dcterms:W3CDTF">2024-02-27T17:18:00Z</dcterms:created>
  <dcterms:modified xsi:type="dcterms:W3CDTF">2024-03-04T14:07:00Z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