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CBD4" w14:textId="34DF62DA" w:rsidR="00031A40" w:rsidRPr="009019B5" w:rsidRDefault="001511E4" w:rsidP="0054711B">
      <w:pPr>
        <w:pStyle w:val="a3"/>
        <w:rPr>
          <w:rFonts w:ascii="Arial" w:hAnsi="Arial" w:cs="Arial"/>
        </w:rPr>
      </w:pPr>
      <w:r>
        <w:rPr>
          <w:b/>
          <w:bCs/>
          <w:sz w:val="44"/>
          <w:szCs w:val="44"/>
        </w:rPr>
        <w:t>Rapporteurs</w:t>
      </w:r>
      <w:r w:rsidR="002D52BA">
        <w:rPr>
          <w:b/>
          <w:bCs/>
          <w:sz w:val="44"/>
          <w:szCs w:val="44"/>
        </w:rPr>
        <w:t>’</w:t>
      </w:r>
      <w:r>
        <w:rPr>
          <w:b/>
          <w:bCs/>
          <w:sz w:val="44"/>
          <w:szCs w:val="44"/>
        </w:rPr>
        <w:t xml:space="preserve"> </w:t>
      </w:r>
      <w:r w:rsidR="00145811">
        <w:rPr>
          <w:b/>
          <w:bCs/>
          <w:sz w:val="44"/>
          <w:szCs w:val="44"/>
        </w:rPr>
        <w:t xml:space="preserve">Rel-18 topics </w:t>
      </w:r>
      <w:r>
        <w:rPr>
          <w:b/>
          <w:bCs/>
          <w:sz w:val="44"/>
          <w:szCs w:val="44"/>
        </w:rPr>
        <w:t>s</w:t>
      </w:r>
      <w:r w:rsidR="00F711CD" w:rsidRPr="00BD0E6A">
        <w:rPr>
          <w:b/>
          <w:bCs/>
          <w:sz w:val="44"/>
          <w:szCs w:val="44"/>
        </w:rPr>
        <w:t xml:space="preserve">tatus </w:t>
      </w:r>
      <w:r w:rsidR="00145811" w:rsidRPr="00BD0E6A">
        <w:rPr>
          <w:b/>
          <w:bCs/>
          <w:sz w:val="44"/>
          <w:szCs w:val="44"/>
        </w:rPr>
        <w:t>report</w:t>
      </w:r>
      <w:bookmarkStart w:id="0" w:name="_Hlk155731793"/>
      <w:bookmarkStart w:id="1" w:name="_Hlk155801488"/>
    </w:p>
    <w:bookmarkEnd w:id="0"/>
    <w:bookmarkEnd w:id="1"/>
    <w:p w14:paraId="13D8C198" w14:textId="77777777" w:rsidR="00F870EF" w:rsidRDefault="00F870EF"/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1"/>
        <w:gridCol w:w="3512"/>
        <w:gridCol w:w="3487"/>
      </w:tblGrid>
      <w:tr w:rsidR="009019B5" w:rsidRPr="00F711CD" w14:paraId="5A57AEF9" w14:textId="77777777" w:rsidTr="000866B5">
        <w:trPr>
          <w:trHeight w:val="664"/>
          <w:tblCellSpacing w:w="0" w:type="dxa"/>
        </w:trPr>
        <w:tc>
          <w:tcPr>
            <w:tcW w:w="901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CC4EBD2" w14:textId="7642B5F1" w:rsidR="009019B5" w:rsidRPr="001511E4" w:rsidRDefault="001511E4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lang w:eastAsia="en-GB"/>
              </w:rPr>
            </w:pPr>
            <w:r w:rsidRPr="001511E4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Rel-18 </w:t>
            </w:r>
            <w:r w:rsidR="000501E4" w:rsidRPr="000501E4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Study on </w:t>
            </w:r>
            <w:r w:rsidR="00672D15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Fault Supervision </w:t>
            </w:r>
            <w:proofErr w:type="gramStart"/>
            <w:r w:rsidR="00672D15">
              <w:rPr>
                <w:rFonts w:ascii="Arial" w:eastAsia="宋体" w:hAnsi="Arial" w:cs="Arial"/>
                <w:b/>
                <w:color w:val="000000"/>
                <w:lang w:eastAsia="en-GB"/>
              </w:rPr>
              <w:t>Evolution</w:t>
            </w:r>
            <w:r w:rsidR="000501E4"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 </w:t>
            </w:r>
            <w:r w:rsidR="0054711B"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 </w:t>
            </w:r>
            <w:r w:rsid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>(</w:t>
            </w:r>
            <w:proofErr w:type="gramEnd"/>
            <w:r w:rsidR="000501E4">
              <w:rPr>
                <w:rFonts w:ascii="Arial" w:eastAsia="宋体" w:hAnsi="Arial" w:cs="Arial"/>
                <w:b/>
                <w:color w:val="000000"/>
                <w:lang w:eastAsia="en-GB"/>
              </w:rPr>
              <w:t>FS</w:t>
            </w:r>
            <w:r w:rsidR="0054711B"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>_</w:t>
            </w:r>
            <w:r w:rsidR="001C090A">
              <w:rPr>
                <w:rFonts w:ascii="Arial" w:eastAsia="宋体" w:hAnsi="Arial" w:cs="Arial"/>
                <w:b/>
                <w:color w:val="000000"/>
                <w:lang w:eastAsia="en-GB"/>
              </w:rPr>
              <w:t>FSEV</w:t>
            </w:r>
            <w:r w:rsidR="009019B5" w:rsidRPr="009019B5">
              <w:rPr>
                <w:rFonts w:ascii="Arial" w:eastAsia="宋体" w:hAnsi="Arial" w:cs="Arial"/>
                <w:b/>
                <w:color w:val="000000"/>
                <w:lang w:eastAsia="en-GB"/>
              </w:rPr>
              <w:t>) (</w:t>
            </w:r>
            <w:r w:rsidR="000501E4">
              <w:rPr>
                <w:rFonts w:ascii="Arial" w:eastAsia="宋体" w:hAnsi="Arial" w:cs="Arial"/>
                <w:b/>
                <w:color w:val="000000"/>
                <w:lang w:eastAsia="en-GB"/>
              </w:rPr>
              <w:t>Huawei</w:t>
            </w:r>
            <w:r w:rsidR="009019B5" w:rsidRPr="009019B5">
              <w:rPr>
                <w:rFonts w:ascii="Arial" w:eastAsia="宋体" w:hAnsi="Arial" w:cs="Arial" w:hint="eastAsia"/>
                <w:b/>
                <w:color w:val="000000"/>
                <w:lang w:eastAsia="en-GB"/>
              </w:rPr>
              <w:t xml:space="preserve">) </w:t>
            </w:r>
          </w:p>
          <w:p w14:paraId="3A2D7E71" w14:textId="63187D39" w:rsidR="009019B5" w:rsidRPr="009019B5" w:rsidRDefault="009019B5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B814F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 xml:space="preserve">Approved </w:t>
            </w:r>
            <w:r w:rsidR="000501E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SID</w:t>
            </w:r>
            <w:r w:rsidRPr="00B814F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7215AB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(</w:t>
            </w:r>
            <w:r w:rsidR="007215AB" w:rsidRPr="007215AB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SP-2</w:t>
            </w:r>
            <w:r w:rsidR="00B7685F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20513</w:t>
            </w:r>
            <w:r w:rsidRPr="009019B5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)</w:t>
            </w:r>
          </w:p>
          <w:p w14:paraId="6932BBB3" w14:textId="0770FFAE" w:rsidR="009019B5" w:rsidRPr="00F711CD" w:rsidRDefault="009019B5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019B5" w:rsidRPr="00F711CD" w14:paraId="34A69AA4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0E06457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Current completion</w:t>
            </w:r>
          </w:p>
        </w:tc>
        <w:tc>
          <w:tcPr>
            <w:tcW w:w="6999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B764E4C" w14:textId="2163F006" w:rsidR="009019B5" w:rsidRPr="00F711CD" w:rsidRDefault="00E7603D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65</w:t>
            </w:r>
            <w:r w:rsidR="009019B5" w:rsidRPr="00F711CD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 w:rsidR="009019B5" w:rsidRPr="00F711CD" w14:paraId="174D725B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687681B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Completion t</w:t>
            </w:r>
            <w:r w:rsidRPr="00F711CD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arget</w:t>
            </w:r>
          </w:p>
        </w:tc>
        <w:tc>
          <w:tcPr>
            <w:tcW w:w="6999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3B1CE8B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  <w:r w:rsidRPr="00F711CD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  <w:t>SA5#153/SA#103 (Mar 2024)</w:t>
            </w:r>
          </w:p>
        </w:tc>
      </w:tr>
      <w:tr w:rsidR="009019B5" w:rsidRPr="00F870EF" w14:paraId="65D20A59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1128C7F5" w14:textId="77777777" w:rsidR="009019B5" w:rsidRPr="00F870EF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870E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WoP</w:t>
            </w:r>
            <w:proofErr w:type="spellEnd"/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648BACA3" w14:textId="77777777" w:rsidR="009019B5" w:rsidRPr="00F870EF" w:rsidRDefault="009019B5" w:rsidP="00C61984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F870EF"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5D6AD09D" w14:textId="77777777" w:rsidR="009019B5" w:rsidRPr="00F870EF" w:rsidRDefault="009019B5" w:rsidP="00C61984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F870EF"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Status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&amp; plan</w:t>
            </w:r>
          </w:p>
        </w:tc>
      </w:tr>
      <w:tr w:rsidR="00672D15" w:rsidRPr="00BD0E6A" w14:paraId="34C34398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73BBDA6" w14:textId="6378CD77" w:rsidR="00672D15" w:rsidRPr="00BC3CBA" w:rsidRDefault="00672D15" w:rsidP="00672D15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</w:pPr>
            <w:bookmarkStart w:id="2" w:name="_GoBack"/>
            <w:bookmarkEnd w:id="2"/>
            <w:r w:rsidRPr="00FE7011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FS_FSEV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_WoP#1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9E76E28" w14:textId="28C29B64" w:rsidR="00672D15" w:rsidRPr="002F1887" w:rsidRDefault="00672D15" w:rsidP="00672D15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</w:pPr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1. The relationship between fault supervision evolution and other aspect, e.g. performance management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10E4E21" w14:textId="77777777" w:rsidR="005371DB" w:rsidRPr="007138F9" w:rsidRDefault="005371DB" w:rsidP="005371DB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7138F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</w:t>
            </w:r>
            <w:r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:</w:t>
            </w:r>
          </w:p>
          <w:p w14:paraId="024AE630" w14:textId="3C5A2747" w:rsidR="005371DB" w:rsidRDefault="005371DB" w:rsidP="005371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Add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issue and potential solutions for missing definitions, description and potential solutions</w:t>
            </w:r>
          </w:p>
          <w:p w14:paraId="69A1AC60" w14:textId="77777777" w:rsidR="005371DB" w:rsidRDefault="005371DB" w:rsidP="005371DB">
            <w:pPr>
              <w:pStyle w:val="a5"/>
              <w:spacing w:after="0" w:line="240" w:lineRule="auto"/>
              <w:ind w:left="360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</w:p>
          <w:p w14:paraId="66AB365D" w14:textId="77777777" w:rsidR="005371DB" w:rsidRPr="00F56F82" w:rsidRDefault="005371DB" w:rsidP="005371DB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F56F82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Work on-going &amp; to be finalised:</w:t>
            </w:r>
          </w:p>
          <w:p w14:paraId="0CD80FFF" w14:textId="488B7623" w:rsidR="005371DB" w:rsidRDefault="005371DB" w:rsidP="005371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Add description of relation with performance management and solution of performance degradation 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(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 xml:space="preserve">2 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New CR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s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)</w:t>
            </w:r>
          </w:p>
          <w:p w14:paraId="293FF37C" w14:textId="715DF65A" w:rsidR="0096294C" w:rsidRPr="005371DB" w:rsidRDefault="0096294C" w:rsidP="005371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 xml:space="preserve">dd conclusion of missing definitions 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(</w:t>
            </w:r>
            <w:r w:rsidRPr="0096294C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1</w:t>
            </w:r>
            <w:r w:rsidRPr="0096294C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 xml:space="preserve"> New CR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)</w:t>
            </w:r>
          </w:p>
          <w:p w14:paraId="4E79E140" w14:textId="77777777" w:rsidR="00672D15" w:rsidRPr="00F56F82" w:rsidRDefault="00672D15" w:rsidP="00672D15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672D15" w:rsidRPr="00BD0E6A" w14:paraId="4A3EEB39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FE9A361" w14:textId="2C6F2766" w:rsidR="00672D15" w:rsidRPr="00BC3CBA" w:rsidRDefault="00672D15" w:rsidP="00672D15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</w:pPr>
            <w:r w:rsidRPr="00FE7011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FS_FSEV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_WoP#2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12D8672" w14:textId="4CD015BB" w:rsidR="00672D15" w:rsidRPr="002F1887" w:rsidRDefault="00672D15" w:rsidP="00672D15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</w:pPr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2. H</w:t>
            </w:r>
            <w:r w:rsidRPr="00FE7011">
              <w:rPr>
                <w:rFonts w:ascii="Arial" w:eastAsia="等线" w:hAnsi="Arial" w:cs="Arial" w:hint="eastAsia"/>
                <w:color w:val="000000"/>
                <w:kern w:val="24"/>
                <w:sz w:val="18"/>
                <w:szCs w:val="18"/>
              </w:rPr>
              <w:t>o</w:t>
            </w:r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w fault supervision evolution supports 5G use cases, such as 5G SLS deterioration, risk prediction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F67AA8" w14:textId="77777777" w:rsidR="00672D15" w:rsidRPr="007138F9" w:rsidRDefault="00672D15" w:rsidP="00672D15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7138F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</w:t>
            </w:r>
            <w:r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:</w:t>
            </w:r>
          </w:p>
          <w:p w14:paraId="31CC5859" w14:textId="6BF66C32" w:rsidR="00672D15" w:rsidRDefault="00672D15" w:rsidP="00672D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Add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failure prediction enhancement</w:t>
            </w:r>
          </w:p>
          <w:p w14:paraId="2A8BA4D3" w14:textId="77777777" w:rsidR="00672D15" w:rsidRPr="00F56F82" w:rsidRDefault="00672D15" w:rsidP="00672D15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672D15" w:rsidRPr="00BD0E6A" w14:paraId="2A680341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BA18B9A" w14:textId="3F472D60" w:rsidR="00672D15" w:rsidRPr="00BC3CBA" w:rsidRDefault="00672D15" w:rsidP="00672D15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</w:pPr>
            <w:r w:rsidRPr="00FE7011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FS_FSEV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_WoP#3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5DE8EEF" w14:textId="77777777" w:rsidR="00672D15" w:rsidRPr="00FE7011" w:rsidRDefault="00672D15" w:rsidP="00672D15">
            <w:pP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</w:pPr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3. Relation and interaction with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eMDAS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and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eCOSLA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for evolved fault supervision, e.g., how to take advantage of and integrate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eMDAS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capabilities into the solutions and if any, recommended capabilities needed for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eMDAS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enhancements.</w:t>
            </w:r>
          </w:p>
          <w:p w14:paraId="261E4529" w14:textId="77777777" w:rsidR="00672D15" w:rsidRPr="00FE7011" w:rsidRDefault="00672D15" w:rsidP="00672D15">
            <w:pP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</w:pPr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4. Whether there are use cases in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eMDAS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and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eCOSLA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that are not covered by the existing Fault Supervision.</w:t>
            </w:r>
          </w:p>
          <w:p w14:paraId="3F756D16" w14:textId="725003AB" w:rsidR="00672D15" w:rsidRPr="002F1887" w:rsidRDefault="00672D15" w:rsidP="00672D15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</w:pPr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5. Whether new capabilities and additional alarm data are needed to support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eMDAS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and </w:t>
            </w:r>
            <w:proofErr w:type="spellStart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eCOSLA</w:t>
            </w:r>
            <w:proofErr w:type="spellEnd"/>
            <w:r w:rsidRPr="00FE701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.</w:t>
            </w:r>
            <w:r w:rsidRPr="00BB5F1A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034DEB" w14:textId="77777777" w:rsidR="00672D15" w:rsidRPr="007138F9" w:rsidRDefault="00672D15" w:rsidP="00672D15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7138F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</w:t>
            </w:r>
            <w:r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:</w:t>
            </w:r>
          </w:p>
          <w:p w14:paraId="77725A61" w14:textId="77777777" w:rsidR="00672D15" w:rsidRDefault="00672D15" w:rsidP="00672D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Add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fault supervision evolution relation and interaction with MDA and closed loop control</w:t>
            </w:r>
          </w:p>
          <w:p w14:paraId="4C3A4726" w14:textId="77777777" w:rsidR="00672D15" w:rsidRDefault="00672D15" w:rsidP="00672D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Add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 fault </w:t>
            </w:r>
            <w:r w:rsid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impact analysis</w:t>
            </w:r>
          </w:p>
          <w:p w14:paraId="11148464" w14:textId="77777777" w:rsidR="005371DB" w:rsidRDefault="005371DB" w:rsidP="00672D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dd fault cause analysis enhancement</w:t>
            </w:r>
          </w:p>
          <w:p w14:paraId="08F21412" w14:textId="77777777" w:rsidR="005371DB" w:rsidRPr="00F56F82" w:rsidRDefault="005371DB" w:rsidP="005371DB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F56F82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Work on-going &amp; to be finalised:</w:t>
            </w:r>
          </w:p>
          <w:p w14:paraId="49F8AD63" w14:textId="31093037" w:rsidR="005371DB" w:rsidRPr="005371DB" w:rsidRDefault="005371DB" w:rsidP="005371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Add </w:t>
            </w:r>
            <w:r w:rsidR="0096294C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conclusion of potential enhancement for fault related analysis and conclusion and recommendations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(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2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 xml:space="preserve"> New CRs</w:t>
            </w:r>
            <w:r w:rsidRPr="005371D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)</w:t>
            </w:r>
          </w:p>
          <w:p w14:paraId="16E6AC2D" w14:textId="30DC5E25" w:rsidR="005371DB" w:rsidRPr="005371DB" w:rsidRDefault="005371DB" w:rsidP="005371DB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</w:p>
        </w:tc>
      </w:tr>
    </w:tbl>
    <w:p w14:paraId="3A5261E9" w14:textId="77777777" w:rsidR="009019B5" w:rsidRDefault="009019B5"/>
    <w:p w14:paraId="49952986" w14:textId="4D49FEEC" w:rsidR="00C246BD" w:rsidRPr="009019B5" w:rsidRDefault="009019B5" w:rsidP="009019B5">
      <w:pPr>
        <w:rPr>
          <w:rFonts w:ascii="Arial" w:hAnsi="Arial" w:cs="Arial"/>
          <w:b/>
          <w:bCs/>
        </w:rPr>
      </w:pPr>
      <w:r w:rsidRPr="009019B5">
        <w:rPr>
          <w:rFonts w:ascii="Arial" w:hAnsi="Arial" w:cs="Arial"/>
          <w:b/>
          <w:bCs/>
        </w:rPr>
        <w:t xml:space="preserve">Plan for SA5#153: </w:t>
      </w:r>
      <w:r w:rsidR="00C246BD">
        <w:rPr>
          <w:rFonts w:ascii="Arial" w:hAnsi="Arial" w:cs="Arial"/>
          <w:b/>
          <w:bCs/>
        </w:rPr>
        <w:t xml:space="preserve">Submit </w:t>
      </w:r>
      <w:r w:rsidR="0096294C">
        <w:rPr>
          <w:rFonts w:ascii="Arial" w:hAnsi="Arial" w:cs="Arial"/>
          <w:b/>
          <w:bCs/>
        </w:rPr>
        <w:t>7</w:t>
      </w:r>
      <w:r w:rsidR="00C246BD" w:rsidRPr="00C246BD">
        <w:rPr>
          <w:rFonts w:ascii="Arial" w:hAnsi="Arial" w:cs="Arial"/>
          <w:b/>
          <w:bCs/>
        </w:rPr>
        <w:t xml:space="preserve"> CRs for approval to finalize this </w:t>
      </w:r>
      <w:r w:rsidR="00F61952">
        <w:rPr>
          <w:rFonts w:ascii="Arial" w:hAnsi="Arial" w:cs="Arial"/>
          <w:b/>
          <w:bCs/>
        </w:rPr>
        <w:t>SID</w:t>
      </w:r>
    </w:p>
    <w:p w14:paraId="3C8FBF33" w14:textId="5A03BF4A" w:rsidR="00556CC4" w:rsidRPr="009019B5" w:rsidRDefault="00C246BD" w:rsidP="00C246BD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Address contributions</w:t>
      </w:r>
      <w:r w:rsidR="00632B90">
        <w:rPr>
          <w:rFonts w:ascii="Arial" w:hAnsi="Arial" w:cs="Arial"/>
        </w:rPr>
        <w:t xml:space="preserve"> </w:t>
      </w:r>
      <w:r w:rsidR="00545B37">
        <w:rPr>
          <w:rFonts w:ascii="Arial" w:hAnsi="Arial" w:cs="Arial"/>
        </w:rPr>
        <w:t>related</w:t>
      </w:r>
      <w:r w:rsidR="00632B90">
        <w:rPr>
          <w:rFonts w:ascii="Arial" w:hAnsi="Arial" w:cs="Arial"/>
        </w:rPr>
        <w:t xml:space="preserve"> </w:t>
      </w:r>
      <w:r w:rsidR="00545B37">
        <w:rPr>
          <w:rFonts w:ascii="Arial" w:hAnsi="Arial" w:cs="Arial"/>
        </w:rPr>
        <w:t xml:space="preserve">to </w:t>
      </w:r>
      <w:r w:rsidR="00632B90">
        <w:rPr>
          <w:rFonts w:ascii="Arial" w:hAnsi="Arial" w:cs="Arial"/>
        </w:rPr>
        <w:t>the item</w:t>
      </w:r>
      <w:r w:rsidR="0096294C">
        <w:rPr>
          <w:rFonts w:ascii="Arial" w:hAnsi="Arial" w:cs="Arial"/>
        </w:rPr>
        <w:t>s</w:t>
      </w:r>
      <w:r w:rsidR="00632B90">
        <w:rPr>
          <w:rFonts w:ascii="Arial" w:hAnsi="Arial" w:cs="Arial"/>
        </w:rPr>
        <w:t xml:space="preserve"> </w:t>
      </w:r>
      <w:r w:rsidR="00545B37">
        <w:rPr>
          <w:rFonts w:ascii="Arial" w:hAnsi="Arial" w:cs="Arial"/>
        </w:rPr>
        <w:t>mentioned</w:t>
      </w:r>
      <w:r w:rsidR="00632B90">
        <w:rPr>
          <w:rFonts w:ascii="Arial" w:hAnsi="Arial" w:cs="Arial"/>
        </w:rPr>
        <w:t xml:space="preserve"> above,</w:t>
      </w:r>
      <w:r>
        <w:rPr>
          <w:rFonts w:ascii="Arial" w:hAnsi="Arial" w:cs="Arial"/>
        </w:rPr>
        <w:t xml:space="preserve"> </w:t>
      </w:r>
      <w:r w:rsidR="006E2AFE">
        <w:rPr>
          <w:rFonts w:ascii="Arial" w:hAnsi="Arial" w:cs="Arial"/>
        </w:rPr>
        <w:t xml:space="preserve">and </w:t>
      </w:r>
      <w:r w:rsidR="00150618">
        <w:rPr>
          <w:rFonts w:ascii="Arial" w:hAnsi="Arial" w:cs="Arial"/>
        </w:rPr>
        <w:t>additional items such as</w:t>
      </w:r>
      <w:r w:rsidR="006E2AFE">
        <w:rPr>
          <w:rFonts w:ascii="Arial" w:hAnsi="Arial" w:cs="Arial"/>
        </w:rPr>
        <w:t xml:space="preserve"> </w:t>
      </w:r>
      <w:r w:rsidR="0096294C">
        <w:rPr>
          <w:rFonts w:ascii="Arial" w:hAnsi="Arial" w:cs="Arial"/>
        </w:rPr>
        <w:t>presentation</w:t>
      </w:r>
      <w:r w:rsidR="006E2AFE">
        <w:rPr>
          <w:rFonts w:ascii="Arial" w:hAnsi="Arial" w:cs="Arial"/>
        </w:rPr>
        <w:t xml:space="preserve"> </w:t>
      </w:r>
      <w:r w:rsidR="0096294C">
        <w:rPr>
          <w:rFonts w:ascii="Arial" w:hAnsi="Arial" w:cs="Arial"/>
        </w:rPr>
        <w:t xml:space="preserve">sheet </w:t>
      </w:r>
      <w:r w:rsidR="006E2AFE">
        <w:rPr>
          <w:rFonts w:ascii="Arial" w:hAnsi="Arial" w:cs="Arial"/>
        </w:rPr>
        <w:t>and rapporteur clean up</w:t>
      </w:r>
      <w:r w:rsidR="00150618">
        <w:rPr>
          <w:rFonts w:ascii="Arial" w:hAnsi="Arial" w:cs="Arial"/>
        </w:rPr>
        <w:t>.</w:t>
      </w:r>
    </w:p>
    <w:p w14:paraId="7313FAC8" w14:textId="662EFECD" w:rsidR="00632B90" w:rsidRPr="009019B5" w:rsidRDefault="00545B37" w:rsidP="00C246BD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32B90">
        <w:rPr>
          <w:rFonts w:ascii="Arial" w:hAnsi="Arial" w:cs="Arial"/>
        </w:rPr>
        <w:t>repare the</w:t>
      </w:r>
      <w:r w:rsidR="00C246BD" w:rsidRPr="00C246BD">
        <w:t xml:space="preserve"> </w:t>
      </w:r>
      <w:r w:rsidR="006E2AFE">
        <w:rPr>
          <w:rFonts w:ascii="Arial" w:hAnsi="Arial" w:cs="Arial"/>
        </w:rPr>
        <w:t>Study</w:t>
      </w:r>
      <w:r w:rsidR="00C246BD" w:rsidRPr="00C246BD">
        <w:rPr>
          <w:rFonts w:ascii="Arial" w:hAnsi="Arial" w:cs="Arial"/>
        </w:rPr>
        <w:t xml:space="preserve"> Item Summary</w:t>
      </w:r>
      <w:r>
        <w:rPr>
          <w:rFonts w:ascii="Arial" w:hAnsi="Arial" w:cs="Arial"/>
        </w:rPr>
        <w:t xml:space="preserve"> for</w:t>
      </w:r>
      <w:r w:rsidR="00632B90">
        <w:rPr>
          <w:rFonts w:ascii="Arial" w:hAnsi="Arial" w:cs="Arial"/>
        </w:rPr>
        <w:t xml:space="preserve"> </w:t>
      </w:r>
      <w:r w:rsidR="00632B90" w:rsidRPr="009019B5">
        <w:rPr>
          <w:rFonts w:ascii="Arial" w:hAnsi="Arial" w:cs="Arial"/>
        </w:rPr>
        <w:t>submission to SA.</w:t>
      </w:r>
    </w:p>
    <w:sectPr w:rsidR="00632B90" w:rsidRPr="0090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23EC" w14:textId="77777777" w:rsidR="00C60AA2" w:rsidRDefault="00C60AA2" w:rsidP="0054711B">
      <w:pPr>
        <w:spacing w:after="0" w:line="240" w:lineRule="auto"/>
      </w:pPr>
      <w:r>
        <w:separator/>
      </w:r>
    </w:p>
  </w:endnote>
  <w:endnote w:type="continuationSeparator" w:id="0">
    <w:p w14:paraId="73188F46" w14:textId="77777777" w:rsidR="00C60AA2" w:rsidRDefault="00C60AA2" w:rsidP="0054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6EC3" w14:textId="77777777" w:rsidR="00C60AA2" w:rsidRDefault="00C60AA2" w:rsidP="0054711B">
      <w:pPr>
        <w:spacing w:after="0" w:line="240" w:lineRule="auto"/>
      </w:pPr>
      <w:r>
        <w:separator/>
      </w:r>
    </w:p>
  </w:footnote>
  <w:footnote w:type="continuationSeparator" w:id="0">
    <w:p w14:paraId="76D48341" w14:textId="77777777" w:rsidR="00C60AA2" w:rsidRDefault="00C60AA2" w:rsidP="0054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D87"/>
    <w:multiLevelType w:val="hybridMultilevel"/>
    <w:tmpl w:val="613CCA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0F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E84301"/>
    <w:multiLevelType w:val="hybridMultilevel"/>
    <w:tmpl w:val="7898C92E"/>
    <w:lvl w:ilvl="0" w:tplc="B73620A4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55C22949"/>
    <w:multiLevelType w:val="hybridMultilevel"/>
    <w:tmpl w:val="242E3B3A"/>
    <w:lvl w:ilvl="0" w:tplc="B9D494E2">
      <w:start w:val="6"/>
      <w:numFmt w:val="bullet"/>
      <w:lvlText w:val="-"/>
      <w:lvlJc w:val="left"/>
      <w:pPr>
        <w:ind w:left="502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A6131"/>
    <w:multiLevelType w:val="hybridMultilevel"/>
    <w:tmpl w:val="0ABC3B22"/>
    <w:lvl w:ilvl="0" w:tplc="B9D494E2">
      <w:start w:val="6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64715C"/>
    <w:multiLevelType w:val="hybridMultilevel"/>
    <w:tmpl w:val="33082C04"/>
    <w:lvl w:ilvl="0" w:tplc="B9D494E2">
      <w:start w:val="6"/>
      <w:numFmt w:val="bullet"/>
      <w:lvlText w:val="-"/>
      <w:lvlJc w:val="left"/>
      <w:pPr>
        <w:ind w:left="502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CD"/>
    <w:rsid w:val="000140D8"/>
    <w:rsid w:val="000261AC"/>
    <w:rsid w:val="00031A40"/>
    <w:rsid w:val="0003365E"/>
    <w:rsid w:val="000350B0"/>
    <w:rsid w:val="000501E4"/>
    <w:rsid w:val="00053F8B"/>
    <w:rsid w:val="000866B5"/>
    <w:rsid w:val="001119B4"/>
    <w:rsid w:val="00122BB6"/>
    <w:rsid w:val="001406FD"/>
    <w:rsid w:val="00145811"/>
    <w:rsid w:val="00150618"/>
    <w:rsid w:val="001511E4"/>
    <w:rsid w:val="00174FE4"/>
    <w:rsid w:val="00197BF0"/>
    <w:rsid w:val="001C090A"/>
    <w:rsid w:val="00203F06"/>
    <w:rsid w:val="00216A23"/>
    <w:rsid w:val="00247383"/>
    <w:rsid w:val="002526FB"/>
    <w:rsid w:val="00290C5F"/>
    <w:rsid w:val="002A7F69"/>
    <w:rsid w:val="002D52BA"/>
    <w:rsid w:val="003070BD"/>
    <w:rsid w:val="00337785"/>
    <w:rsid w:val="003639A0"/>
    <w:rsid w:val="003F7E40"/>
    <w:rsid w:val="00414EC5"/>
    <w:rsid w:val="00416D5C"/>
    <w:rsid w:val="004679A5"/>
    <w:rsid w:val="004A6921"/>
    <w:rsid w:val="004B06B8"/>
    <w:rsid w:val="004B65F5"/>
    <w:rsid w:val="004C78BC"/>
    <w:rsid w:val="004D68B2"/>
    <w:rsid w:val="00505822"/>
    <w:rsid w:val="005201A3"/>
    <w:rsid w:val="005371DB"/>
    <w:rsid w:val="00545B37"/>
    <w:rsid w:val="0054711B"/>
    <w:rsid w:val="00556CC4"/>
    <w:rsid w:val="00590B3E"/>
    <w:rsid w:val="00615811"/>
    <w:rsid w:val="00632B90"/>
    <w:rsid w:val="006442B4"/>
    <w:rsid w:val="00664733"/>
    <w:rsid w:val="00672D15"/>
    <w:rsid w:val="006E2AFE"/>
    <w:rsid w:val="006E37AD"/>
    <w:rsid w:val="007138F9"/>
    <w:rsid w:val="007215AB"/>
    <w:rsid w:val="00763DFF"/>
    <w:rsid w:val="00795373"/>
    <w:rsid w:val="007C6C20"/>
    <w:rsid w:val="007D703A"/>
    <w:rsid w:val="007E54DE"/>
    <w:rsid w:val="007E6EF4"/>
    <w:rsid w:val="0080059A"/>
    <w:rsid w:val="008D212B"/>
    <w:rsid w:val="009019B5"/>
    <w:rsid w:val="00901C40"/>
    <w:rsid w:val="00904C7B"/>
    <w:rsid w:val="0096294C"/>
    <w:rsid w:val="009C7D7E"/>
    <w:rsid w:val="00A54436"/>
    <w:rsid w:val="00AA7750"/>
    <w:rsid w:val="00AC02DA"/>
    <w:rsid w:val="00AC5A30"/>
    <w:rsid w:val="00AF74C0"/>
    <w:rsid w:val="00B12AEB"/>
    <w:rsid w:val="00B34549"/>
    <w:rsid w:val="00B7685F"/>
    <w:rsid w:val="00B814F4"/>
    <w:rsid w:val="00BB681C"/>
    <w:rsid w:val="00BD0E6A"/>
    <w:rsid w:val="00BD30E9"/>
    <w:rsid w:val="00BE0395"/>
    <w:rsid w:val="00C11981"/>
    <w:rsid w:val="00C246BD"/>
    <w:rsid w:val="00C60AA2"/>
    <w:rsid w:val="00C92E25"/>
    <w:rsid w:val="00CA03F2"/>
    <w:rsid w:val="00CA1A57"/>
    <w:rsid w:val="00CC3BFC"/>
    <w:rsid w:val="00CE2E11"/>
    <w:rsid w:val="00D45AE9"/>
    <w:rsid w:val="00D5006A"/>
    <w:rsid w:val="00D7256C"/>
    <w:rsid w:val="00D93F76"/>
    <w:rsid w:val="00D97B43"/>
    <w:rsid w:val="00DF707C"/>
    <w:rsid w:val="00E02BAF"/>
    <w:rsid w:val="00E66088"/>
    <w:rsid w:val="00E67D58"/>
    <w:rsid w:val="00E7603D"/>
    <w:rsid w:val="00EF1C45"/>
    <w:rsid w:val="00F002E1"/>
    <w:rsid w:val="00F56F82"/>
    <w:rsid w:val="00F61952"/>
    <w:rsid w:val="00F711CD"/>
    <w:rsid w:val="00F870EF"/>
    <w:rsid w:val="00F93D01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08D03"/>
  <w15:chartTrackingRefBased/>
  <w15:docId w15:val="{278A0E16-FFE5-4166-8C66-2105DFB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7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D0E6A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semiHidden/>
    <w:rsid w:val="00E67D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119B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119B4"/>
    <w:pPr>
      <w:spacing w:line="240" w:lineRule="auto"/>
    </w:pPr>
    <w:rPr>
      <w:sz w:val="20"/>
      <w:szCs w:val="20"/>
    </w:rPr>
  </w:style>
  <w:style w:type="character" w:customStyle="1" w:styleId="a8">
    <w:name w:val="批注文字 字符"/>
    <w:basedOn w:val="a0"/>
    <w:link w:val="a7"/>
    <w:uiPriority w:val="99"/>
    <w:rsid w:val="00111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9B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1119B4"/>
    <w:rPr>
      <w:b/>
      <w:bCs/>
      <w:sz w:val="20"/>
      <w:szCs w:val="20"/>
    </w:rPr>
  </w:style>
  <w:style w:type="table" w:styleId="ab">
    <w:name w:val="Table Grid"/>
    <w:basedOn w:val="a1"/>
    <w:uiPriority w:val="39"/>
    <w:rsid w:val="0052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8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Revision"/>
    <w:hidden/>
    <w:uiPriority w:val="99"/>
    <w:semiHidden/>
    <w:rsid w:val="001406F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4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4711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4711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47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D1CD-1B9B-43D9-84D6-762E770D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EUROPE LTD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NEC_Hassan Al-Kanani</dc:creator>
  <cp:keywords/>
  <dc:description/>
  <cp:lastModifiedBy>Huawei</cp:lastModifiedBy>
  <cp:revision>7</cp:revision>
  <dcterms:created xsi:type="dcterms:W3CDTF">2024-01-12T04:24:00Z</dcterms:created>
  <dcterms:modified xsi:type="dcterms:W3CDTF">2024-01-12T10:38:00Z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8005ce-31f4-4f90-bc26-ec23758efcb0_Enabled">
    <vt:lpwstr>true</vt:lpwstr>
  </property>
  <property fmtid="{D5CDD505-2E9C-101B-9397-08002B2CF9AE}" pid="3" name="MSIP_Label_278005ce-31f4-4f90-bc26-ec23758efcb0_SetDate">
    <vt:lpwstr>2024-01-09T16:35:55Z</vt:lpwstr>
  </property>
  <property fmtid="{D5CDD505-2E9C-101B-9397-08002B2CF9AE}" pid="4" name="MSIP_Label_278005ce-31f4-4f90-bc26-ec23758efcb0_Method">
    <vt:lpwstr>Standard</vt:lpwstr>
  </property>
  <property fmtid="{D5CDD505-2E9C-101B-9397-08002B2CF9AE}" pid="5" name="MSIP_Label_278005ce-31f4-4f90-bc26-ec23758efcb0_Name">
    <vt:lpwstr>General</vt:lpwstr>
  </property>
  <property fmtid="{D5CDD505-2E9C-101B-9397-08002B2CF9AE}" pid="6" name="MSIP_Label_278005ce-31f4-4f90-bc26-ec23758efcb0_SiteId">
    <vt:lpwstr>6d49d47f-3280-4627-8c09-4450bafd1a23</vt:lpwstr>
  </property>
  <property fmtid="{D5CDD505-2E9C-101B-9397-08002B2CF9AE}" pid="7" name="MSIP_Label_278005ce-31f4-4f90-bc26-ec23758efcb0_ActionId">
    <vt:lpwstr>408809fd-8b3d-4dd3-b4ea-b92038291284</vt:lpwstr>
  </property>
  <property fmtid="{D5CDD505-2E9C-101B-9397-08002B2CF9AE}" pid="8" name="MSIP_Label_278005ce-31f4-4f90-bc26-ec23758efcb0_ContentBits">
    <vt:lpwstr>0</vt:lpwstr>
  </property>
  <property fmtid="{D5CDD505-2E9C-101B-9397-08002B2CF9AE}" pid="9" name="_2015_ms_pID_725343">
    <vt:lpwstr>(2)pLLtaiXoJXu+yilcKmkaZ1vponrcMB9Re/kRvrbJv3lwqxcX43AV4N6kRkMQX5vVadi3GBE/
huecE7rF/AzgT7dsK/SxYJ3BJIDPuZ6VC+cf7oMT5HWXQZ1GeAZqb9dAvzgJWB6Q5CtiTrQ6
thtwv9/Y+2C8V5NDgjMZxRStIXLyAj6rAZcwU+U5w3cROYVsjcF7KXBZ9xOtUsJ3aG5k8a9w
RF7b1dVi4Oq9CxvDJb</vt:lpwstr>
  </property>
  <property fmtid="{D5CDD505-2E9C-101B-9397-08002B2CF9AE}" pid="10" name="_2015_ms_pID_7253431">
    <vt:lpwstr>jAfKuLMtIvDxUBC7bBFRCbUW9u7i+KUllNHQIOpknwDW6qL0NP9a9w
s/FYBG4EvX8ljq6AUzn+zrAwiFj0E/DQyzosMmPGYsjaXgsTARd2cEccR3sdTPJDbVtMzWlQ
sUxwPacIVIiT5+FDJAIPpOYpTljpcBIK5XpgPlAxusZZAjZRuYpyA6UVl3v454azKpyKIw5T
/a/XljJwFDpJpdO/</vt:lpwstr>
  </property>
</Properties>
</file>