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B8F" w:rsidRDefault="00E945D5" w:rsidP="00775BB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Time: </w:t>
      </w:r>
      <w:r w:rsidR="007F16A0" w:rsidRPr="007F16A0">
        <w:rPr>
          <w:rFonts w:ascii="Arial" w:hAnsi="Arial" w:cs="Arial"/>
        </w:rPr>
        <w:t>31</w:t>
      </w:r>
      <w:r w:rsidR="007F16A0" w:rsidRPr="007F16A0">
        <w:rPr>
          <w:rFonts w:ascii="Arial" w:hAnsi="Arial" w:cs="Arial"/>
          <w:vertAlign w:val="superscript"/>
        </w:rPr>
        <w:t>st</w:t>
      </w:r>
      <w:r w:rsidR="007F16A0" w:rsidRPr="007F16A0">
        <w:rPr>
          <w:rFonts w:ascii="Arial" w:hAnsi="Arial" w:cs="Arial"/>
        </w:rPr>
        <w:t>, July, 2024</w:t>
      </w:r>
    </w:p>
    <w:p w:rsidR="007F16A0" w:rsidRDefault="007F16A0" w:rsidP="00775BB5">
      <w:pPr>
        <w:spacing w:line="240" w:lineRule="auto"/>
        <w:rPr>
          <w:rFonts w:ascii="Arial" w:hAnsi="Arial" w:cs="Arial"/>
        </w:rPr>
      </w:pPr>
    </w:p>
    <w:p w:rsidR="007F16A0" w:rsidRDefault="007F16A0" w:rsidP="007F16A0">
      <w:pPr>
        <w:spacing w:line="240" w:lineRule="auto"/>
        <w:rPr>
          <w:rFonts w:ascii="Arial" w:hAnsi="Arial" w:cs="Arial"/>
        </w:rPr>
      </w:pPr>
      <w:r w:rsidRPr="007F16A0">
        <w:rPr>
          <w:rFonts w:ascii="Arial" w:hAnsi="Arial" w:cs="Arial" w:hint="eastAsia"/>
        </w:rPr>
        <w:t>1.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 xml:space="preserve">Discuss the contributions on certificate check test cases which have been delayed for several times. </w:t>
      </w:r>
    </w:p>
    <w:p w:rsidR="007F16A0" w:rsidRPr="009704E4" w:rsidRDefault="007F16A0" w:rsidP="007F16A0">
      <w:pPr>
        <w:spacing w:line="240" w:lineRule="auto"/>
        <w:rPr>
          <w:rFonts w:ascii="Arial" w:hAnsi="Arial" w:cs="Arial"/>
          <w:b/>
        </w:rPr>
      </w:pPr>
      <w:r w:rsidRPr="009704E4">
        <w:rPr>
          <w:rFonts w:ascii="Arial" w:hAnsi="Arial" w:cs="Arial"/>
          <w:b/>
        </w:rPr>
        <w:t>- S3-24xxxx: Vend</w:t>
      </w:r>
      <w:r w:rsidR="000F5E0C" w:rsidRPr="009704E4">
        <w:rPr>
          <w:rFonts w:ascii="Arial" w:hAnsi="Arial" w:cs="Arial"/>
          <w:b/>
        </w:rPr>
        <w:t xml:space="preserve">or </w:t>
      </w:r>
      <w:r w:rsidRPr="009704E4">
        <w:rPr>
          <w:rFonts w:ascii="Arial" w:hAnsi="Arial" w:cs="Arial"/>
          <w:b/>
        </w:rPr>
        <w:t xml:space="preserve">certificate checking at </w:t>
      </w:r>
      <w:proofErr w:type="spellStart"/>
      <w:r w:rsidR="000F5E0C" w:rsidRPr="009704E4">
        <w:rPr>
          <w:rFonts w:ascii="Arial" w:hAnsi="Arial" w:cs="Arial"/>
          <w:b/>
        </w:rPr>
        <w:t>gNB</w:t>
      </w:r>
      <w:proofErr w:type="spellEnd"/>
      <w:r w:rsidR="000F5E0C" w:rsidRPr="009704E4">
        <w:rPr>
          <w:rFonts w:ascii="Arial" w:hAnsi="Arial" w:cs="Arial"/>
          <w:b/>
        </w:rPr>
        <w:t xml:space="preserve">/S3-24xxxx: Peer certificate checking at </w:t>
      </w:r>
      <w:proofErr w:type="spellStart"/>
      <w:r w:rsidR="000F5E0C" w:rsidRPr="009704E4">
        <w:rPr>
          <w:rFonts w:ascii="Arial" w:hAnsi="Arial" w:cs="Arial"/>
          <w:b/>
        </w:rPr>
        <w:t>gNB</w:t>
      </w:r>
      <w:proofErr w:type="spellEnd"/>
    </w:p>
    <w:p w:rsidR="00C1533E" w:rsidRDefault="00C1533E" w:rsidP="007F16A0">
      <w:pPr>
        <w:spacing w:line="24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N</w:t>
      </w:r>
      <w:r>
        <w:rPr>
          <w:rFonts w:ascii="Arial" w:hAnsi="Arial" w:cs="Arial"/>
        </w:rPr>
        <w:t xml:space="preserve">okia: </w:t>
      </w:r>
      <w:r w:rsidR="000F5E0C">
        <w:rPr>
          <w:rFonts w:ascii="Arial" w:hAnsi="Arial" w:cs="Arial"/>
        </w:rPr>
        <w:t xml:space="preserve">Requirements could be reformulated a little bit. </w:t>
      </w:r>
      <w:r w:rsidR="009E5DA2">
        <w:rPr>
          <w:rFonts w:ascii="Arial" w:hAnsi="Arial" w:cs="Arial"/>
        </w:rPr>
        <w:t>For example, b</w:t>
      </w:r>
      <w:r w:rsidR="009E5DA2" w:rsidRPr="009E5DA2">
        <w:rPr>
          <w:rFonts w:ascii="Arial" w:hAnsi="Arial" w:cs="Arial"/>
        </w:rPr>
        <w:t xml:space="preserve">uilding these “requirements” for the test case </w:t>
      </w:r>
      <w:r w:rsidR="009E5DA2">
        <w:rPr>
          <w:rFonts w:ascii="Arial" w:hAnsi="Arial" w:cs="Arial"/>
        </w:rPr>
        <w:t xml:space="preserve">according to </w:t>
      </w:r>
      <w:r w:rsidR="009E5DA2" w:rsidRPr="009E5DA2">
        <w:rPr>
          <w:rFonts w:ascii="Arial" w:hAnsi="Arial" w:cs="Arial"/>
        </w:rPr>
        <w:t>what is currently available in 33.310.</w:t>
      </w:r>
    </w:p>
    <w:p w:rsidR="00793EED" w:rsidRPr="009E5DA2" w:rsidRDefault="00793EED" w:rsidP="007F16A0">
      <w:pPr>
        <w:spacing w:line="240" w:lineRule="auto"/>
        <w:rPr>
          <w:rFonts w:ascii="Arial" w:hAnsi="Arial" w:cs="Arial" w:hint="eastAsia"/>
        </w:rPr>
      </w:pPr>
    </w:p>
    <w:p w:rsidR="000F5E0C" w:rsidRDefault="000F5E0C" w:rsidP="007F16A0">
      <w:pPr>
        <w:spacing w:line="24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H</w:t>
      </w:r>
      <w:r>
        <w:rPr>
          <w:rFonts w:ascii="Arial" w:hAnsi="Arial" w:cs="Arial"/>
        </w:rPr>
        <w:t xml:space="preserve">uawei: can work offline to improve this requirement description. </w:t>
      </w:r>
    </w:p>
    <w:p w:rsidR="00793EED" w:rsidRDefault="00793EED" w:rsidP="007F16A0">
      <w:pPr>
        <w:spacing w:line="240" w:lineRule="auto"/>
        <w:rPr>
          <w:rFonts w:ascii="Arial" w:hAnsi="Arial" w:cs="Arial" w:hint="eastAsia"/>
        </w:rPr>
      </w:pPr>
    </w:p>
    <w:p w:rsidR="00C1533E" w:rsidRDefault="00C1533E" w:rsidP="007F16A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Ericsson</w:t>
      </w:r>
      <w:r>
        <w:rPr>
          <w:rFonts w:ascii="Arial" w:hAnsi="Arial" w:cs="Arial" w:hint="eastAsia"/>
        </w:rPr>
        <w:t>:</w:t>
      </w:r>
      <w:r>
        <w:rPr>
          <w:rFonts w:ascii="Arial" w:hAnsi="Arial" w:cs="Arial"/>
        </w:rPr>
        <w:t xml:space="preserve"> </w:t>
      </w:r>
      <w:r w:rsidR="007150FE">
        <w:rPr>
          <w:rFonts w:ascii="Arial" w:hAnsi="Arial" w:cs="Arial"/>
        </w:rPr>
        <w:t xml:space="preserve">Test name should be updated as well, the original name is local certificate, if it’s now vendor certificate, this should be modified accordingly. </w:t>
      </w:r>
      <w:r w:rsidR="007150FE">
        <w:rPr>
          <w:rFonts w:ascii="Arial" w:hAnsi="Arial" w:cs="Arial"/>
        </w:rPr>
        <w:t>E</w:t>
      </w:r>
      <w:r>
        <w:rPr>
          <w:rFonts w:ascii="Arial" w:hAnsi="Arial" w:cs="Arial"/>
        </w:rPr>
        <w:t>xpected results, e.g. document is not clear</w:t>
      </w:r>
      <w:r w:rsidR="006219F4">
        <w:rPr>
          <w:rFonts w:ascii="Arial" w:hAnsi="Arial" w:cs="Arial"/>
        </w:rPr>
        <w:t xml:space="preserve">. </w:t>
      </w:r>
      <w:r w:rsidR="006219F4" w:rsidRPr="006219F4">
        <w:rPr>
          <w:rFonts w:ascii="Arial" w:hAnsi="Arial" w:cs="Arial"/>
        </w:rPr>
        <w:t xml:space="preserve">Local certificate checking overlaps with the expired checking, seems local certificate is </w:t>
      </w:r>
      <w:r w:rsidR="00C35945">
        <w:rPr>
          <w:rFonts w:ascii="Arial" w:hAnsi="Arial" w:cs="Arial" w:hint="eastAsia"/>
        </w:rPr>
        <w:t>un</w:t>
      </w:r>
      <w:r w:rsidR="006219F4" w:rsidRPr="006219F4">
        <w:rPr>
          <w:rFonts w:ascii="Arial" w:hAnsi="Arial" w:cs="Arial"/>
        </w:rPr>
        <w:t>necessary.</w:t>
      </w:r>
      <w:r w:rsidR="006219F4">
        <w:rPr>
          <w:rFonts w:ascii="Arial" w:hAnsi="Arial" w:cs="Arial"/>
        </w:rPr>
        <w:t xml:space="preserve"> Pr</w:t>
      </w:r>
      <w:r w:rsidR="000F5E0C">
        <w:rPr>
          <w:rFonts w:ascii="Arial" w:hAnsi="Arial" w:cs="Arial"/>
        </w:rPr>
        <w:t xml:space="preserve">efer the test cases on expired certificate checking and think it makes sense. </w:t>
      </w:r>
    </w:p>
    <w:p w:rsidR="00793EED" w:rsidRDefault="00793EED" w:rsidP="007F16A0">
      <w:pPr>
        <w:spacing w:line="240" w:lineRule="auto"/>
        <w:rPr>
          <w:rFonts w:ascii="Arial" w:hAnsi="Arial" w:cs="Arial" w:hint="eastAsia"/>
        </w:rPr>
      </w:pPr>
    </w:p>
    <w:p w:rsidR="004B0083" w:rsidRDefault="00E72BB5" w:rsidP="007F16A0">
      <w:pPr>
        <w:spacing w:line="24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M</w:t>
      </w:r>
      <w:r>
        <w:rPr>
          <w:rFonts w:ascii="Arial" w:hAnsi="Arial" w:cs="Arial"/>
        </w:rPr>
        <w:t>ITRE</w:t>
      </w:r>
      <w:r>
        <w:rPr>
          <w:rFonts w:ascii="Arial" w:hAnsi="Arial" w:cs="Arial" w:hint="eastAsia"/>
        </w:rPr>
        <w:t>:</w:t>
      </w:r>
      <w:r>
        <w:rPr>
          <w:rFonts w:ascii="Arial" w:hAnsi="Arial" w:cs="Arial"/>
        </w:rPr>
        <w:t xml:space="preserve"> P</w:t>
      </w:r>
      <w:r>
        <w:rPr>
          <w:rFonts w:ascii="Arial" w:hAnsi="Arial" w:cs="Arial" w:hint="eastAsia"/>
        </w:rPr>
        <w:t>eer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certificate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check</w:t>
      </w:r>
      <w:r>
        <w:rPr>
          <w:rFonts w:ascii="Arial" w:hAnsi="Arial" w:cs="Arial"/>
        </w:rPr>
        <w:t xml:space="preserve"> </w:t>
      </w:r>
      <w:r w:rsidR="00793EED">
        <w:rPr>
          <w:rFonts w:ascii="Arial" w:hAnsi="Arial" w:cs="Arial"/>
        </w:rPr>
        <w:t xml:space="preserve">test </w:t>
      </w:r>
      <w:r>
        <w:rPr>
          <w:rFonts w:ascii="Arial" w:hAnsi="Arial" w:cs="Arial"/>
        </w:rPr>
        <w:t>is reasonable</w:t>
      </w:r>
      <w:r w:rsidR="00F229E9">
        <w:rPr>
          <w:rFonts w:ascii="Arial" w:hAnsi="Arial" w:cs="Arial"/>
        </w:rPr>
        <w:t>.</w:t>
      </w:r>
      <w:r w:rsidR="00793EED">
        <w:rPr>
          <w:rFonts w:ascii="Arial" w:hAnsi="Arial" w:cs="Arial"/>
        </w:rPr>
        <w:t xml:space="preserve"> </w:t>
      </w:r>
      <w:proofErr w:type="gramStart"/>
      <w:r w:rsidR="00F229E9">
        <w:rPr>
          <w:rFonts w:ascii="Arial" w:hAnsi="Arial" w:cs="Arial"/>
        </w:rPr>
        <w:t>T</w:t>
      </w:r>
      <w:r>
        <w:rPr>
          <w:rFonts w:ascii="Arial" w:hAnsi="Arial" w:cs="Arial"/>
        </w:rPr>
        <w:t>he</w:t>
      </w:r>
      <w:proofErr w:type="gramEnd"/>
      <w:r>
        <w:rPr>
          <w:rFonts w:ascii="Arial" w:hAnsi="Arial" w:cs="Arial"/>
        </w:rPr>
        <w:t xml:space="preserve"> intention is good</w:t>
      </w:r>
      <w:r w:rsidR="00DF4F92">
        <w:rPr>
          <w:rFonts w:ascii="Arial" w:hAnsi="Arial" w:cs="Arial"/>
        </w:rPr>
        <w:t>. The result needs to be concrete.</w:t>
      </w:r>
    </w:p>
    <w:p w:rsidR="00793EED" w:rsidRDefault="00793EED" w:rsidP="007F16A0">
      <w:pPr>
        <w:spacing w:line="240" w:lineRule="auto"/>
        <w:rPr>
          <w:rFonts w:ascii="Arial" w:hAnsi="Arial" w:cs="Arial" w:hint="eastAsia"/>
        </w:rPr>
      </w:pPr>
    </w:p>
    <w:p w:rsidR="00E72BB5" w:rsidRDefault="004B0083" w:rsidP="007F16A0">
      <w:pPr>
        <w:spacing w:line="240" w:lineRule="auto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B</w:t>
      </w:r>
      <w:r>
        <w:rPr>
          <w:rFonts w:ascii="Arial" w:hAnsi="Arial" w:cs="Arial"/>
        </w:rPr>
        <w:t>SI</w:t>
      </w:r>
      <w:r>
        <w:rPr>
          <w:rFonts w:ascii="Arial" w:hAnsi="Arial" w:cs="Arial" w:hint="eastAsia"/>
        </w:rPr>
        <w:t>:</w:t>
      </w:r>
      <w:r>
        <w:rPr>
          <w:rFonts w:ascii="Arial" w:hAnsi="Arial" w:cs="Arial"/>
        </w:rPr>
        <w:t xml:space="preserve"> These test cases are very important, support. The meaning of “valid” should be clarified</w:t>
      </w:r>
      <w:r>
        <w:rPr>
          <w:rFonts w:ascii="Arial" w:hAnsi="Arial" w:cs="Arial"/>
        </w:rPr>
        <w:t xml:space="preserve"> for r</w:t>
      </w:r>
      <w:r>
        <w:rPr>
          <w:rFonts w:ascii="Arial" w:hAnsi="Arial" w:cs="Arial"/>
        </w:rPr>
        <w:t>epeatability</w:t>
      </w:r>
      <w:r>
        <w:rPr>
          <w:rFonts w:ascii="Arial" w:hAnsi="Arial" w:cs="Arial"/>
        </w:rPr>
        <w:t xml:space="preserve"> of test cases. </w:t>
      </w:r>
    </w:p>
    <w:p w:rsidR="003217A9" w:rsidRDefault="003217A9" w:rsidP="007F16A0">
      <w:pPr>
        <w:spacing w:line="240" w:lineRule="auto"/>
        <w:rPr>
          <w:rFonts w:ascii="Arial" w:hAnsi="Arial" w:cs="Arial" w:hint="eastAsia"/>
        </w:rPr>
      </w:pPr>
    </w:p>
    <w:p w:rsidR="003D68BB" w:rsidRPr="009704E4" w:rsidRDefault="000F5E0C" w:rsidP="007F16A0">
      <w:pPr>
        <w:spacing w:line="240" w:lineRule="auto"/>
        <w:rPr>
          <w:rFonts w:ascii="Arial" w:hAnsi="Arial" w:cs="Arial"/>
          <w:b/>
        </w:rPr>
      </w:pPr>
      <w:r w:rsidRPr="009704E4">
        <w:rPr>
          <w:rFonts w:ascii="Arial" w:hAnsi="Arial" w:cs="Arial" w:hint="eastAsia"/>
          <w:b/>
        </w:rPr>
        <w:t>-</w:t>
      </w:r>
      <w:r w:rsidR="004B0083" w:rsidRPr="009704E4">
        <w:rPr>
          <w:rFonts w:ascii="Arial" w:hAnsi="Arial" w:cs="Arial"/>
          <w:b/>
        </w:rPr>
        <w:t xml:space="preserve">S3-24xxxx: </w:t>
      </w:r>
      <w:r w:rsidRPr="009704E4">
        <w:rPr>
          <w:rFonts w:ascii="Arial" w:hAnsi="Arial" w:cs="Arial"/>
          <w:b/>
        </w:rPr>
        <w:t xml:space="preserve">Expired certificate checking at </w:t>
      </w:r>
      <w:proofErr w:type="spellStart"/>
      <w:r w:rsidRPr="009704E4">
        <w:rPr>
          <w:rFonts w:ascii="Arial" w:hAnsi="Arial" w:cs="Arial"/>
          <w:b/>
        </w:rPr>
        <w:t>gNB</w:t>
      </w:r>
      <w:proofErr w:type="spellEnd"/>
    </w:p>
    <w:p w:rsidR="000F5E0C" w:rsidRDefault="000F5E0C" w:rsidP="007F16A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Ericsson: raising alarm or request a new certificate from the CA is depending on different implementations, and the expected result should be clarified. </w:t>
      </w:r>
      <w:r w:rsidR="00793EED">
        <w:rPr>
          <w:rFonts w:ascii="Arial" w:hAnsi="Arial" w:cs="Arial"/>
        </w:rPr>
        <w:t>Expected results, e.g. document is not clear</w:t>
      </w:r>
      <w:r w:rsidR="00793EED">
        <w:rPr>
          <w:rFonts w:ascii="Arial" w:hAnsi="Arial" w:cs="Arial"/>
        </w:rPr>
        <w:t>.</w:t>
      </w:r>
    </w:p>
    <w:p w:rsidR="00793EED" w:rsidRDefault="00793EED" w:rsidP="007F16A0">
      <w:pPr>
        <w:spacing w:line="240" w:lineRule="auto"/>
        <w:rPr>
          <w:rFonts w:ascii="Arial" w:hAnsi="Arial" w:cs="Arial" w:hint="eastAsia"/>
        </w:rPr>
      </w:pPr>
    </w:p>
    <w:p w:rsidR="003217A9" w:rsidRDefault="000F5E0C" w:rsidP="007F16A0">
      <w:pPr>
        <w:spacing w:line="24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H</w:t>
      </w:r>
      <w:r>
        <w:rPr>
          <w:rFonts w:ascii="Arial" w:hAnsi="Arial" w:cs="Arial"/>
        </w:rPr>
        <w:t xml:space="preserve">uawei: this could leave more space to vendors and testers. They can negotiate during test phase. </w:t>
      </w:r>
    </w:p>
    <w:p w:rsidR="006219F4" w:rsidRDefault="006219F4" w:rsidP="007F16A0">
      <w:pPr>
        <w:spacing w:line="240" w:lineRule="auto"/>
        <w:rPr>
          <w:rFonts w:ascii="Arial" w:hAnsi="Arial" w:cs="Arial" w:hint="eastAsia"/>
        </w:rPr>
      </w:pPr>
    </w:p>
    <w:p w:rsidR="000F5E0C" w:rsidRDefault="000F5E0C" w:rsidP="007F16A0">
      <w:pPr>
        <w:spacing w:line="24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2</w:t>
      </w:r>
      <w:r>
        <w:rPr>
          <w:rFonts w:ascii="Arial" w:hAnsi="Arial" w:cs="Arial"/>
        </w:rPr>
        <w:t>. SMSF SCAS documents</w:t>
      </w:r>
    </w:p>
    <w:p w:rsidR="000F5E0C" w:rsidRDefault="000F5E0C" w:rsidP="007F16A0">
      <w:pPr>
        <w:spacing w:line="24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T</w:t>
      </w:r>
      <w:r>
        <w:rPr>
          <w:rFonts w:ascii="Arial" w:hAnsi="Arial" w:cs="Arial"/>
        </w:rPr>
        <w:t xml:space="preserve">his is not under the agenda of R19 SCAS. It should be discussed in agenda SMSF SCAS specifically. </w:t>
      </w:r>
    </w:p>
    <w:p w:rsidR="000F5E0C" w:rsidRDefault="000F5E0C" w:rsidP="007F16A0">
      <w:pPr>
        <w:spacing w:line="240" w:lineRule="auto"/>
        <w:rPr>
          <w:rFonts w:ascii="Arial" w:hAnsi="Arial" w:cs="Arial"/>
        </w:rPr>
      </w:pPr>
    </w:p>
    <w:p w:rsidR="000F5E0C" w:rsidRDefault="000F5E0C" w:rsidP="007F16A0">
      <w:pPr>
        <w:spacing w:line="24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3</w:t>
      </w:r>
      <w:r>
        <w:rPr>
          <w:rFonts w:ascii="Arial" w:hAnsi="Arial" w:cs="Arial"/>
        </w:rPr>
        <w:t>. Actions after the conference call</w:t>
      </w:r>
    </w:p>
    <w:p w:rsidR="000F5E0C" w:rsidRDefault="009704E4" w:rsidP="007F16A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F5E0C">
        <w:rPr>
          <w:rFonts w:ascii="Arial" w:hAnsi="Arial" w:cs="Arial"/>
        </w:rPr>
        <w:t xml:space="preserve">ocuments </w:t>
      </w:r>
      <w:r>
        <w:rPr>
          <w:rFonts w:ascii="Arial" w:hAnsi="Arial" w:cs="Arial"/>
        </w:rPr>
        <w:t>have to be improved before</w:t>
      </w:r>
      <w:r w:rsidR="000F5E0C">
        <w:rPr>
          <w:rFonts w:ascii="Arial" w:hAnsi="Arial" w:cs="Arial"/>
        </w:rPr>
        <w:t xml:space="preserve"> August SA3 meeting. </w:t>
      </w:r>
    </w:p>
    <w:p w:rsidR="000F5E0C" w:rsidRDefault="00827D5F" w:rsidP="007F16A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There might be</w:t>
      </w:r>
      <w:r w:rsidR="000F5E0C">
        <w:rPr>
          <w:rFonts w:ascii="Arial" w:hAnsi="Arial" w:cs="Arial"/>
        </w:rPr>
        <w:t xml:space="preserve"> </w:t>
      </w:r>
      <w:r w:rsidR="00561F03">
        <w:rPr>
          <w:rFonts w:ascii="Arial" w:hAnsi="Arial" w:cs="Arial"/>
        </w:rPr>
        <w:t>some</w:t>
      </w:r>
      <w:bookmarkStart w:id="0" w:name="_GoBack"/>
      <w:bookmarkEnd w:id="0"/>
      <w:r w:rsidR="000F5E0C">
        <w:rPr>
          <w:rFonts w:ascii="Arial" w:hAnsi="Arial" w:cs="Arial"/>
        </w:rPr>
        <w:t xml:space="preserve"> documents </w:t>
      </w:r>
      <w:r>
        <w:rPr>
          <w:rFonts w:ascii="Arial" w:hAnsi="Arial" w:cs="Arial"/>
        </w:rPr>
        <w:t xml:space="preserve">also provided for R19 WID SCAS </w:t>
      </w:r>
      <w:r w:rsidR="000F5E0C">
        <w:rPr>
          <w:rFonts w:ascii="Arial" w:hAnsi="Arial" w:cs="Arial"/>
        </w:rPr>
        <w:t>on Web server testing based on GSMA feedback</w:t>
      </w:r>
      <w:r>
        <w:rPr>
          <w:rFonts w:ascii="Arial" w:hAnsi="Arial" w:cs="Arial"/>
        </w:rPr>
        <w:t>.</w:t>
      </w:r>
      <w:r w:rsidR="000F5E0C">
        <w:rPr>
          <w:rFonts w:ascii="Arial" w:hAnsi="Arial" w:cs="Arial"/>
        </w:rPr>
        <w:t xml:space="preserve"> </w:t>
      </w:r>
    </w:p>
    <w:p w:rsidR="000F5E0C" w:rsidRDefault="000F5E0C" w:rsidP="007F16A0">
      <w:pPr>
        <w:spacing w:line="240" w:lineRule="auto"/>
        <w:rPr>
          <w:rFonts w:ascii="Arial" w:hAnsi="Arial" w:cs="Arial"/>
        </w:rPr>
      </w:pPr>
    </w:p>
    <w:p w:rsidR="000F5E0C" w:rsidRPr="000F5E0C" w:rsidRDefault="000F5E0C" w:rsidP="007F16A0">
      <w:pPr>
        <w:spacing w:line="240" w:lineRule="auto"/>
        <w:rPr>
          <w:rFonts w:ascii="Arial" w:hAnsi="Arial" w:cs="Arial" w:hint="eastAsia"/>
        </w:rPr>
      </w:pPr>
    </w:p>
    <w:sectPr w:rsidR="000F5E0C" w:rsidRPr="000F5E0C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9C5" w:rsidRDefault="00C649C5">
      <w:r>
        <w:separator/>
      </w:r>
    </w:p>
  </w:endnote>
  <w:endnote w:type="continuationSeparator" w:id="0">
    <w:p w:rsidR="00C649C5" w:rsidRDefault="00C6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Dotu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9C5" w:rsidRDefault="00C649C5">
      <w:r>
        <w:separator/>
      </w:r>
    </w:p>
  </w:footnote>
  <w:footnote w:type="continuationSeparator" w:id="0">
    <w:p w:rsidR="00C649C5" w:rsidRDefault="00C6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31"/>
      <w:gridCol w:w="5814"/>
      <w:gridCol w:w="1661"/>
    </w:tblGrid>
    <w:tr w:rsidR="00152B8F">
      <w:trPr>
        <w:cantSplit/>
        <w:trHeight w:hRule="exact" w:val="782"/>
      </w:trPr>
      <w:tc>
        <w:tcPr>
          <w:tcW w:w="500" w:type="pct"/>
        </w:tcPr>
        <w:p w:rsidR="00152B8F" w:rsidRDefault="00152B8F">
          <w:pPr>
            <w:rPr>
              <w:rFonts w:ascii="Dotum" w:eastAsia="Dotum" w:hAnsi="Dotum"/>
            </w:rPr>
          </w:pPr>
        </w:p>
      </w:tc>
      <w:tc>
        <w:tcPr>
          <w:tcW w:w="3500" w:type="pct"/>
          <w:vAlign w:val="bottom"/>
        </w:tcPr>
        <w:p w:rsidR="00152B8F" w:rsidRPr="00780144" w:rsidRDefault="00152B8F" w:rsidP="00D87114">
          <w:pPr>
            <w:pStyle w:val="ab"/>
            <w:ind w:firstLineChars="300" w:firstLine="540"/>
            <w:rPr>
              <w:rFonts w:ascii="宋体" w:hAnsi="宋体"/>
            </w:rPr>
          </w:pPr>
        </w:p>
      </w:tc>
      <w:tc>
        <w:tcPr>
          <w:tcW w:w="1000" w:type="pct"/>
          <w:vAlign w:val="bottom"/>
        </w:tcPr>
        <w:p w:rsidR="00152B8F" w:rsidRPr="00780144" w:rsidRDefault="00152B8F" w:rsidP="00775BB5">
          <w:pPr>
            <w:pStyle w:val="ab"/>
            <w:ind w:firstLineChars="350" w:firstLine="630"/>
            <w:rPr>
              <w:rFonts w:ascii="宋体" w:hAnsi="宋体"/>
            </w:rPr>
          </w:pPr>
        </w:p>
      </w:tc>
    </w:tr>
  </w:tbl>
  <w:p w:rsidR="00152B8F" w:rsidRDefault="00152B8F">
    <w:pPr>
      <w:pStyle w:val="ab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5A5"/>
    <w:multiLevelType w:val="hybridMultilevel"/>
    <w:tmpl w:val="81EC9FC8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24AE5"/>
    <w:multiLevelType w:val="hybridMultilevel"/>
    <w:tmpl w:val="34EE0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6DC1"/>
    <w:multiLevelType w:val="hybridMultilevel"/>
    <w:tmpl w:val="5F70D8EA"/>
    <w:lvl w:ilvl="0" w:tplc="884E9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7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8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9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0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3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4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5"/>
  </w:num>
  <w:num w:numId="11">
    <w:abstractNumId w:val="5"/>
  </w:num>
  <w:num w:numId="12">
    <w:abstractNumId w:val="5"/>
  </w:num>
  <w:num w:numId="13">
    <w:abstractNumId w:val="7"/>
  </w:num>
  <w:num w:numId="14">
    <w:abstractNumId w:val="8"/>
  </w:num>
  <w:num w:numId="15">
    <w:abstractNumId w:val="3"/>
  </w:num>
  <w:num w:numId="16">
    <w:abstractNumId w:val="6"/>
  </w:num>
  <w:num w:numId="17">
    <w:abstractNumId w:val="10"/>
  </w:num>
  <w:num w:numId="18">
    <w:abstractNumId w:val="10"/>
  </w:num>
  <w:num w:numId="19">
    <w:abstractNumId w:val="10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0"/>
  </w:num>
  <w:num w:numId="25">
    <w:abstractNumId w:val="10"/>
  </w:num>
  <w:num w:numId="26">
    <w:abstractNumId w:val="14"/>
  </w:num>
  <w:num w:numId="27">
    <w:abstractNumId w:val="14"/>
  </w:num>
  <w:num w:numId="28">
    <w:abstractNumId w:val="14"/>
  </w:num>
  <w:num w:numId="29">
    <w:abstractNumId w:val="4"/>
  </w:num>
  <w:num w:numId="30">
    <w:abstractNumId w:val="10"/>
  </w:num>
  <w:num w:numId="31">
    <w:abstractNumId w:val="10"/>
  </w:num>
  <w:num w:numId="32">
    <w:abstractNumId w:val="14"/>
  </w:num>
  <w:num w:numId="33">
    <w:abstractNumId w:val="12"/>
  </w:num>
  <w:num w:numId="34">
    <w:abstractNumId w:val="12"/>
  </w:num>
  <w:num w:numId="35">
    <w:abstractNumId w:val="12"/>
  </w:num>
  <w:num w:numId="36">
    <w:abstractNumId w:val="11"/>
  </w:num>
  <w:num w:numId="37">
    <w:abstractNumId w:val="2"/>
  </w:num>
  <w:num w:numId="38">
    <w:abstractNumId w:val="0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BA"/>
    <w:rsid w:val="00035469"/>
    <w:rsid w:val="00036D8C"/>
    <w:rsid w:val="000F5E0C"/>
    <w:rsid w:val="0012175A"/>
    <w:rsid w:val="00127B80"/>
    <w:rsid w:val="00152B8F"/>
    <w:rsid w:val="002530B0"/>
    <w:rsid w:val="002E436D"/>
    <w:rsid w:val="003055E4"/>
    <w:rsid w:val="00307760"/>
    <w:rsid w:val="003217A9"/>
    <w:rsid w:val="00322719"/>
    <w:rsid w:val="003D68BB"/>
    <w:rsid w:val="00425F62"/>
    <w:rsid w:val="004B0083"/>
    <w:rsid w:val="0052233A"/>
    <w:rsid w:val="00561F03"/>
    <w:rsid w:val="005A6B2B"/>
    <w:rsid w:val="005D6A53"/>
    <w:rsid w:val="006219F4"/>
    <w:rsid w:val="00634265"/>
    <w:rsid w:val="006A44E0"/>
    <w:rsid w:val="007150FE"/>
    <w:rsid w:val="007162BA"/>
    <w:rsid w:val="0075012D"/>
    <w:rsid w:val="00775BB5"/>
    <w:rsid w:val="00780144"/>
    <w:rsid w:val="00793EED"/>
    <w:rsid w:val="007B57FB"/>
    <w:rsid w:val="007F16A0"/>
    <w:rsid w:val="00827D5F"/>
    <w:rsid w:val="00884B5E"/>
    <w:rsid w:val="009704E4"/>
    <w:rsid w:val="009853C2"/>
    <w:rsid w:val="009C1B4B"/>
    <w:rsid w:val="009E5DA2"/>
    <w:rsid w:val="00AA2E81"/>
    <w:rsid w:val="00AC2688"/>
    <w:rsid w:val="00BF2898"/>
    <w:rsid w:val="00C1533E"/>
    <w:rsid w:val="00C35945"/>
    <w:rsid w:val="00C53AFA"/>
    <w:rsid w:val="00C649C5"/>
    <w:rsid w:val="00CD3BBA"/>
    <w:rsid w:val="00D16C4C"/>
    <w:rsid w:val="00D81F7F"/>
    <w:rsid w:val="00D87114"/>
    <w:rsid w:val="00DF4F92"/>
    <w:rsid w:val="00E72BB5"/>
    <w:rsid w:val="00E945D5"/>
    <w:rsid w:val="00EC2F98"/>
    <w:rsid w:val="00EC5723"/>
    <w:rsid w:val="00EE2438"/>
    <w:rsid w:val="00EE58DB"/>
    <w:rsid w:val="00F229E9"/>
    <w:rsid w:val="00F92B9B"/>
    <w:rsid w:val="00FA79E0"/>
    <w:rsid w:val="00FD52B5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F05ED1"/>
  <w15:docId w15:val="{A28F9016-7551-434D-AE2B-DC57D693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9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x690449\Desktop\OFFICE\Templet\office\office\Office%20&#27169;&#26495;&#65288;&#20013;&#25991;&#65289;\DOC\Word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3FEB2-2D95-4259-B043-8B88AD15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模板.dotx</Template>
  <TotalTime>185</TotalTime>
  <Pages>1</Pages>
  <Words>262</Words>
  <Characters>1497</Characters>
  <Application>Microsoft Office Word</Application>
  <DocSecurity>0</DocSecurity>
  <Lines>12</Lines>
  <Paragraphs>3</Paragraphs>
  <ScaleCrop>false</ScaleCrop>
  <Company>Huawei Technologies Co., Ltd.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Wurong (raina)</dc:creator>
  <cp:keywords/>
  <dc:description/>
  <cp:lastModifiedBy>Huawei-Wurong</cp:lastModifiedBy>
  <cp:revision>35</cp:revision>
  <dcterms:created xsi:type="dcterms:W3CDTF">2019-07-19T03:06:00Z</dcterms:created>
  <dcterms:modified xsi:type="dcterms:W3CDTF">2024-08-05T08:08:00Z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
t001mFnCvLMaA7NtV7uI2VC2fwALyxkAC4/wcWz8V8s9ISVz/CfAoSvyQ6nyxiczypx3WN6k
iUnWGkbT1bSwB2DSRd3f7wzNpVKyHhElmeFgXpfDEloNrXj6fpuVTbsm6RDJMi1f464iyj1z
614PzAImBcWE/WjDWN/y5</vt:lpwstr>
  </property>
  <property fmtid="{D5CDD505-2E9C-101B-9397-08002B2CF9AE}" pid="3" name="_ms_pID_7253431">
    <vt:lpwstr>TFYekd/MoOcdAUKhpiH6kdybFPk4me52k75asY0n+2Om+X60aHu
K7gzsUkkPd9EvzrGt8Nhbs+5OzH324OV3/Zv0Wk1s77ymyBS/g1FukTABfllXSMe4+HG/L89
tp8NHHTwaIzm28DBBkVmVmdL09ekEMV+QrS/Rie/ICaA+cc5fNaNjUKJZ6+1wXS2SQEOKjC6
b8HqMKW55JFIbIK2N1piaa3K9ae25MbT1AEQED9QlN</vt:lpwstr>
  </property>
  <property fmtid="{D5CDD505-2E9C-101B-9397-08002B2CF9AE}" pid="4" name="_ms_pID_7253432">
    <vt:lpwstr>E7FqxOADAUq80etHyPBA3ELTZhFDR2
wVj3LzUVhy7LOuwI9uxMSkbk8k5daWHKRVM2jPOoZ88TOOJpho94OU041q2lK6RN9bR9XAb5
mvsbzvyK7y9aTwrRm9Y9jeP/2MGeGsd46jyP7DuLztgB1VmvC8i6MYko5SiXTLeJvJ8l6Chj
pwgTqVKI/iPWcTv5Z3EUyitJA9voTAle06Fnasq695DEfPit2GNQApOppq1hRmF</vt:lpwstr>
  </property>
  <property fmtid="{D5CDD505-2E9C-101B-9397-08002B2CF9AE}" pid="5" name="_ms_pID_7253433">
    <vt:lpwstr>XOJNPY2kx
4xqimhk3tS32I2ubWObO207x2MvGmI15qfOjJqw4zxHSDgtN</vt:lpwstr>
  </property>
  <property fmtid="{D5CDD505-2E9C-101B-9397-08002B2CF9AE}" pid="6" name="_2015_ms_pID_725343">
    <vt:lpwstr>(3)Z6OWDKsP0/4zkWU8zYUStb/2VFDqcdNHh4ArW2iFkMgJhVQ5Gghf8Ic125bfsmY7semlTyzx
yGQhhyu9X4isODqfgg2f34D/Fq1Ze+ClUd+DpFPAmM8lub80tcgvoXXYdwl2Llfrxp3Y/NhF
aUvvhO2IWk+Cdv0dLVRHEE2Y6EnsRrm+awb6L00Wf5lfNzqIR3xrOZJqXOMzxLh3LPJXBkS+
F2QwVl5v4TNy+K0XW2</vt:lpwstr>
  </property>
  <property fmtid="{D5CDD505-2E9C-101B-9397-08002B2CF9AE}" pid="7" name="_2015_ms_pID_7253431">
    <vt:lpwstr>Iu5K94AH/gB6PoAvy1dpjiRbgfZGbk9DcgElV4igP616PCgA0ZkFAn
DN9R2W7PcPpMdzhqdYeOYa0yqQ8NLPYDKwT6+gFerRNpjxxyOBqywdHXYQ1tX6y8UVlYCTUx
JiYHygwarktXx75+2vvn5A51dYzw8KEjv2Y70A6uCIaIqkwfebzWDnoI3xfeGvrvZDU9toT0
y7keFj4krcDHPpQ8r6QVXCEPfS2a/wcTYl/O</vt:lpwstr>
  </property>
  <property fmtid="{D5CDD505-2E9C-101B-9397-08002B2CF9AE}" pid="8" name="_2015_ms_pID_7253432">
    <vt:lpwstr>kw==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1722829381</vt:lpwstr>
  </property>
</Properties>
</file>