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95BF7D7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 xml:space="preserve">Prague, Czech Republic, </w:t>
      </w:r>
      <w:r w:rsidR="0024443C">
        <w:rPr>
          <w:b/>
          <w:bCs/>
          <w:sz w:val="24"/>
          <w:lang w:val="en-US"/>
        </w:rPr>
        <w:t xml:space="preserve">October </w:t>
      </w:r>
      <w:r w:rsidR="007D6161" w:rsidRPr="007D6161">
        <w:rPr>
          <w:b/>
          <w:bCs/>
          <w:sz w:val="24"/>
          <w:lang w:val="en-US"/>
        </w:rPr>
        <w:t>13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7D6161" w:rsidRPr="007D6161">
        <w:rPr>
          <w:b/>
          <w:bCs/>
          <w:sz w:val="24"/>
          <w:lang w:val="en-US"/>
        </w:rPr>
        <w:t xml:space="preserve"> – 17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24443C">
        <w:rPr>
          <w:b/>
          <w:bCs/>
          <w:sz w:val="24"/>
          <w:lang w:val="en-US"/>
        </w:rPr>
        <w:t xml:space="preserve">, </w:t>
      </w:r>
      <w:r w:rsidR="007D6161" w:rsidRPr="007D6161">
        <w:rPr>
          <w:b/>
          <w:bCs/>
          <w:sz w:val="24"/>
          <w:lang w:val="en-US"/>
        </w:rPr>
        <w:t>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417F7160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24443C">
        <w:rPr>
          <w:rFonts w:ascii="Arial" w:eastAsia="MS Mincho" w:hAnsi="Arial" w:cs="Arial"/>
          <w:b/>
          <w:bCs/>
          <w:sz w:val="24"/>
          <w:lang w:eastAsia="en-US"/>
        </w:rPr>
        <w:t>17</w:t>
      </w:r>
    </w:p>
    <w:p w14:paraId="5BC79BF3" w14:textId="75955303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43C">
        <w:rPr>
          <w:rFonts w:ascii="Arial" w:hAnsi="Arial" w:cs="Arial"/>
          <w:b/>
          <w:bCs/>
          <w:sz w:val="24"/>
          <w:lang w:eastAsia="en-US"/>
        </w:rPr>
        <w:t>Xiaomi</w:t>
      </w:r>
    </w:p>
    <w:p w14:paraId="13B6A614" w14:textId="2071C3D4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</w:t>
      </w:r>
      <w:r w:rsidR="0024443C">
        <w:rPr>
          <w:rFonts w:ascii="Arial" w:hAnsi="Arial" w:cs="Arial"/>
          <w:b/>
          <w:bCs/>
          <w:sz w:val="24"/>
          <w:lang w:eastAsia="en-US"/>
        </w:rPr>
        <w:t xml:space="preserve"> IoT NTN TDD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</w:t>
      </w:r>
      <w:r w:rsidR="0024443C">
        <w:rPr>
          <w:rFonts w:ascii="Arial" w:hAnsi="Arial" w:cs="Arial"/>
          <w:b/>
          <w:bCs/>
          <w:sz w:val="24"/>
          <w:lang w:eastAsia="en-US"/>
        </w:rPr>
        <w:t>6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.3</w:t>
      </w:r>
      <w:r w:rsidR="0024443C">
        <w:rPr>
          <w:rFonts w:ascii="Arial" w:hAnsi="Arial" w:cs="Arial"/>
          <w:b/>
          <w:bCs/>
          <w:sz w:val="24"/>
          <w:lang w:eastAsia="en-US"/>
        </w:rPr>
        <w:t>04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3D9B0F8A" w14:textId="3E368B5C" w:rsidR="0024443C" w:rsidRDefault="0024443C" w:rsidP="00F05ACE">
      <w:pPr>
        <w:jc w:val="both"/>
        <w:rPr>
          <w:lang w:val="en-US"/>
        </w:rPr>
      </w:pPr>
      <w:bookmarkStart w:id="0" w:name="_Ref178064866"/>
      <w:r>
        <w:rPr>
          <w:lang w:val="en-US"/>
        </w:rPr>
        <w:t>This paper is to discuss the identified open issues for the agreed 36.304 CR (</w:t>
      </w:r>
      <w:r w:rsidRPr="0024443C">
        <w:rPr>
          <w:lang w:val="en-US"/>
        </w:rPr>
        <w:t>R2-2506542</w:t>
      </w:r>
      <w:r>
        <w:rPr>
          <w:lang w:val="en-US"/>
        </w:rPr>
        <w:t>) for Rel-19 IoT NTN TDD.</w:t>
      </w:r>
    </w:p>
    <w:p w14:paraId="60737384" w14:textId="0ABADC1E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BDD4EDC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>Rapporteur has</w:t>
      </w:r>
      <w:r w:rsidR="0024443C">
        <w:rPr>
          <w:lang w:eastAsia="sv-SE"/>
        </w:rPr>
        <w:t xml:space="preserve"> so far</w:t>
      </w:r>
      <w:r w:rsidRPr="00681B4A">
        <w:rPr>
          <w:lang w:eastAsia="sv-SE"/>
        </w:rPr>
        <w:t xml:space="preserve"> not identified open issues related </w:t>
      </w:r>
      <w:r>
        <w:rPr>
          <w:lang w:eastAsia="sv-SE"/>
        </w:rPr>
        <w:t xml:space="preserve">to Rel-19 </w:t>
      </w:r>
      <w:r w:rsidR="0024443C">
        <w:rPr>
          <w:lang w:eastAsia="sv-SE"/>
        </w:rPr>
        <w:t>IoT NTN TDD</w:t>
      </w:r>
      <w:r w:rsidR="00BC7DFA">
        <w:rPr>
          <w:lang w:eastAsia="sv-SE"/>
        </w:rPr>
        <w:t xml:space="preserve"> 3</w:t>
      </w:r>
      <w:r w:rsidR="0024443C">
        <w:rPr>
          <w:lang w:eastAsia="sv-SE"/>
        </w:rPr>
        <w:t>6</w:t>
      </w:r>
      <w:r w:rsidR="00BC7DFA">
        <w:rPr>
          <w:lang w:eastAsia="sv-SE"/>
        </w:rPr>
        <w:t>.3</w:t>
      </w:r>
      <w:r w:rsidR="0024443C">
        <w:rPr>
          <w:lang w:eastAsia="sv-SE"/>
        </w:rPr>
        <w:t>04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4DA08D49" w:rsidR="00AC7CCB" w:rsidRDefault="00AC7CCB" w:rsidP="0024443C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04BE61C" w:rsidR="00AC7CCB" w:rsidRDefault="004601CB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4984" w:type="dxa"/>
          </w:tcPr>
          <w:p w14:paraId="7FA5AC43" w14:textId="77777777" w:rsidR="00E40819" w:rsidRDefault="00E40819" w:rsidP="00E40819">
            <w:pPr>
              <w:rPr>
                <w:rFonts w:eastAsia="Malgun Gothic"/>
                <w:lang w:eastAsia="x-none"/>
              </w:rPr>
            </w:pPr>
            <w:r>
              <w:rPr>
                <w:rFonts w:eastAsia="Malgun Gothic"/>
                <w:lang w:eastAsia="x-none"/>
              </w:rPr>
              <w:t xml:space="preserve">A NB-IoT NTN cell operating in TDD mode may need to be deprioritized as there may be NB-IoT cells operating in normal FDD mode. As NB-IoT does not support frequency priority, the UE may select TDD mode cell over FDD cell. </w:t>
            </w:r>
          </w:p>
          <w:p w14:paraId="6877E863" w14:textId="77777777" w:rsidR="00DF6434" w:rsidRDefault="00DF6434" w:rsidP="00DF6434">
            <w:pPr>
              <w:rPr>
                <w:rFonts w:eastAsia="Malgun Gothic"/>
                <w:lang w:eastAsia="x-none"/>
              </w:rPr>
            </w:pPr>
            <w:r>
              <w:rPr>
                <w:rFonts w:eastAsia="Malgun Gothic"/>
                <w:lang w:eastAsia="x-none"/>
              </w:rPr>
              <w:t xml:space="preserve">As we see there is a chance that UE capable of both normal mode and TDD mode is camping on normal TN cell and the </w:t>
            </w:r>
            <w:proofErr w:type="spellStart"/>
            <w:r>
              <w:rPr>
                <w:rFonts w:eastAsia="Malgun Gothic"/>
                <w:lang w:eastAsia="x-none"/>
              </w:rPr>
              <w:t>neighbor</w:t>
            </w:r>
            <w:proofErr w:type="spellEnd"/>
            <w:r>
              <w:rPr>
                <w:rFonts w:eastAsia="Malgun Gothic"/>
                <w:lang w:eastAsia="x-none"/>
              </w:rPr>
              <w:t xml:space="preserve"> cell list includes both normal TN </w:t>
            </w:r>
            <w:proofErr w:type="spellStart"/>
            <w:r>
              <w:rPr>
                <w:rFonts w:eastAsia="Malgun Gothic"/>
                <w:lang w:eastAsia="x-none"/>
              </w:rPr>
              <w:t>neighbor</w:t>
            </w:r>
            <w:proofErr w:type="spellEnd"/>
            <w:r>
              <w:rPr>
                <w:rFonts w:eastAsia="Malgun Gothic"/>
                <w:lang w:eastAsia="x-none"/>
              </w:rPr>
              <w:t xml:space="preserve"> cell frequency and NB-IoT TDD mode cell frequency, then it may be possible that UE finds the NB-IoT TDD as better ranked </w:t>
            </w:r>
            <w:proofErr w:type="spellStart"/>
            <w:r>
              <w:rPr>
                <w:rFonts w:eastAsia="Malgun Gothic"/>
                <w:lang w:eastAsia="x-none"/>
              </w:rPr>
              <w:t>neighbor</w:t>
            </w:r>
            <w:proofErr w:type="spellEnd"/>
            <w:r>
              <w:rPr>
                <w:rFonts w:eastAsia="Malgun Gothic"/>
                <w:lang w:eastAsia="x-none"/>
              </w:rPr>
              <w:t xml:space="preserve"> cell. We think the cleaner solution would be to have a new list of NB-IoT </w:t>
            </w:r>
            <w:proofErr w:type="spellStart"/>
            <w:r>
              <w:rPr>
                <w:rFonts w:eastAsia="Malgun Gothic"/>
                <w:lang w:eastAsia="x-none"/>
              </w:rPr>
              <w:t>neighbor</w:t>
            </w:r>
            <w:proofErr w:type="spellEnd"/>
            <w:r>
              <w:rPr>
                <w:rFonts w:eastAsia="Malgun Gothic"/>
                <w:lang w:eastAsia="x-none"/>
              </w:rPr>
              <w:t xml:space="preserve"> cells operating in TDD mode. </w:t>
            </w:r>
          </w:p>
          <w:p w14:paraId="5B1AFD46" w14:textId="77777777" w:rsidR="00DF6434" w:rsidRDefault="00DF6434" w:rsidP="00DF6434">
            <w:pPr>
              <w:rPr>
                <w:rFonts w:eastAsia="Malgun Gothic"/>
                <w:lang w:eastAsia="x-none"/>
              </w:rPr>
            </w:pPr>
            <w:r>
              <w:rPr>
                <w:rFonts w:eastAsia="Malgun Gothic"/>
                <w:lang w:eastAsia="x-none"/>
              </w:rPr>
              <w:t>However, RAN2 made following decision in RAN2#131 meeting.</w:t>
            </w:r>
          </w:p>
          <w:p w14:paraId="35734211" w14:textId="77777777" w:rsidR="00DF6434" w:rsidRPr="007A12B7" w:rsidRDefault="00DF6434" w:rsidP="00DF6434">
            <w:pPr>
              <w:pStyle w:val="ListParagraph"/>
              <w:numPr>
                <w:ilvl w:val="0"/>
                <w:numId w:val="35"/>
              </w:numPr>
              <w:spacing w:after="180"/>
              <w:contextualSpacing/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en-GB" w:eastAsia="x-none"/>
              </w:rPr>
            </w:pPr>
            <w:r w:rsidRPr="007A12B7">
              <w:rPr>
                <w:i/>
                <w:iCs/>
              </w:rPr>
              <w:t xml:space="preserve">No need to introduce a new list of </w:t>
            </w:r>
            <w:proofErr w:type="spellStart"/>
            <w:r w:rsidRPr="007A12B7">
              <w:rPr>
                <w:i/>
                <w:iCs/>
              </w:rPr>
              <w:t>neighbour</w:t>
            </w:r>
            <w:proofErr w:type="spellEnd"/>
            <w:r w:rsidRPr="007A12B7">
              <w:rPr>
                <w:i/>
                <w:iCs/>
              </w:rPr>
              <w:t xml:space="preserve"> cells operating in TDD mode in Rel-19</w:t>
            </w:r>
          </w:p>
          <w:p w14:paraId="21BA65A3" w14:textId="77777777" w:rsidR="00DF6434" w:rsidRDefault="00DF6434" w:rsidP="00DF6434">
            <w:pPr>
              <w:rPr>
                <w:rFonts w:eastAsia="Malgun Gothic"/>
                <w:lang w:eastAsia="x-none"/>
              </w:rPr>
            </w:pPr>
            <w:r>
              <w:rPr>
                <w:rFonts w:eastAsia="Malgun Gothic"/>
                <w:lang w:eastAsia="x-none"/>
              </w:rPr>
              <w:t xml:space="preserve">Therefore, we suggest either to revisit the last agreement or clarify that it is up to UE whether to perform TDD mode </w:t>
            </w:r>
            <w:proofErr w:type="spellStart"/>
            <w:r>
              <w:rPr>
                <w:rFonts w:eastAsia="Malgun Gothic"/>
                <w:lang w:eastAsia="x-none"/>
              </w:rPr>
              <w:t>neighbor</w:t>
            </w:r>
            <w:proofErr w:type="spellEnd"/>
            <w:r>
              <w:rPr>
                <w:rFonts w:eastAsia="Malgun Gothic"/>
                <w:lang w:eastAsia="x-none"/>
              </w:rPr>
              <w:t xml:space="preserve"> cell measurements when performing normal mode </w:t>
            </w:r>
            <w:proofErr w:type="spellStart"/>
            <w:r>
              <w:rPr>
                <w:rFonts w:eastAsia="Malgun Gothic"/>
                <w:lang w:eastAsia="x-none"/>
              </w:rPr>
              <w:t>neighbor</w:t>
            </w:r>
            <w:proofErr w:type="spellEnd"/>
            <w:r>
              <w:rPr>
                <w:rFonts w:eastAsia="Malgun Gothic"/>
                <w:lang w:eastAsia="x-none"/>
              </w:rPr>
              <w:t xml:space="preserve"> cell measurements.</w:t>
            </w:r>
          </w:p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64271CBF" w:rsidR="00A62242" w:rsidRDefault="00A62242" w:rsidP="00A62242">
      <w:pPr>
        <w:rPr>
          <w:lang w:eastAsia="zh-CN"/>
        </w:rPr>
      </w:pPr>
      <w:r w:rsidRPr="0024443C">
        <w:rPr>
          <w:highlight w:val="green"/>
          <w:lang w:eastAsia="zh-CN"/>
        </w:rPr>
        <w:t>Based on above discussion, following open issues are identified:</w:t>
      </w:r>
      <w:r>
        <w:rPr>
          <w:lang w:eastAsia="zh-CN"/>
        </w:rPr>
        <w:t xml:space="preserve">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ECC3" w14:textId="77777777" w:rsidR="007B70FC" w:rsidRDefault="007B70FC">
      <w:pPr>
        <w:spacing w:after="0"/>
      </w:pPr>
      <w:r>
        <w:separator/>
      </w:r>
    </w:p>
  </w:endnote>
  <w:endnote w:type="continuationSeparator" w:id="0">
    <w:p w14:paraId="5B28743F" w14:textId="77777777" w:rsidR="007B70FC" w:rsidRDefault="007B70FC">
      <w:pPr>
        <w:spacing w:after="0"/>
      </w:pPr>
      <w:r>
        <w:continuationSeparator/>
      </w:r>
    </w:p>
  </w:endnote>
  <w:endnote w:type="continuationNotice" w:id="1">
    <w:p w14:paraId="3EE3B8E3" w14:textId="77777777" w:rsidR="007B70FC" w:rsidRDefault="007B70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076B" w14:textId="77777777" w:rsidR="007B70FC" w:rsidRDefault="007B70FC">
      <w:pPr>
        <w:spacing w:after="0"/>
      </w:pPr>
      <w:r>
        <w:separator/>
      </w:r>
    </w:p>
  </w:footnote>
  <w:footnote w:type="continuationSeparator" w:id="0">
    <w:p w14:paraId="3C2709D3" w14:textId="77777777" w:rsidR="007B70FC" w:rsidRDefault="007B70FC">
      <w:pPr>
        <w:spacing w:after="0"/>
      </w:pPr>
      <w:r>
        <w:continuationSeparator/>
      </w:r>
    </w:p>
  </w:footnote>
  <w:footnote w:type="continuationNotice" w:id="1">
    <w:p w14:paraId="53B666BC" w14:textId="77777777" w:rsidR="007B70FC" w:rsidRDefault="007B70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4A4D"/>
    <w:multiLevelType w:val="hybridMultilevel"/>
    <w:tmpl w:val="33AC9710"/>
    <w:lvl w:ilvl="0" w:tplc="90D828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872841605">
    <w:abstractNumId w:val="20"/>
  </w:num>
  <w:num w:numId="2" w16cid:durableId="210769066">
    <w:abstractNumId w:val="15"/>
  </w:num>
  <w:num w:numId="3" w16cid:durableId="267667498">
    <w:abstractNumId w:val="22"/>
  </w:num>
  <w:num w:numId="4" w16cid:durableId="1338658908">
    <w:abstractNumId w:val="32"/>
  </w:num>
  <w:num w:numId="5" w16cid:durableId="1428500807">
    <w:abstractNumId w:val="24"/>
  </w:num>
  <w:num w:numId="6" w16cid:durableId="141119794">
    <w:abstractNumId w:val="4"/>
  </w:num>
  <w:num w:numId="7" w16cid:durableId="106659108">
    <w:abstractNumId w:val="28"/>
  </w:num>
  <w:num w:numId="8" w16cid:durableId="140582201">
    <w:abstractNumId w:val="30"/>
  </w:num>
  <w:num w:numId="9" w16cid:durableId="1216506344">
    <w:abstractNumId w:val="5"/>
  </w:num>
  <w:num w:numId="10" w16cid:durableId="133910327">
    <w:abstractNumId w:val="17"/>
  </w:num>
  <w:num w:numId="11" w16cid:durableId="2097700557">
    <w:abstractNumId w:val="8"/>
  </w:num>
  <w:num w:numId="12" w16cid:durableId="19086415">
    <w:abstractNumId w:val="0"/>
  </w:num>
  <w:num w:numId="13" w16cid:durableId="1275602563">
    <w:abstractNumId w:val="33"/>
  </w:num>
  <w:num w:numId="14" w16cid:durableId="466507921">
    <w:abstractNumId w:val="27"/>
  </w:num>
  <w:num w:numId="15" w16cid:durableId="308825665">
    <w:abstractNumId w:val="10"/>
  </w:num>
  <w:num w:numId="16" w16cid:durableId="1423211910">
    <w:abstractNumId w:val="19"/>
  </w:num>
  <w:num w:numId="17" w16cid:durableId="1358656222">
    <w:abstractNumId w:val="14"/>
  </w:num>
  <w:num w:numId="18" w16cid:durableId="787895434">
    <w:abstractNumId w:val="26"/>
  </w:num>
  <w:num w:numId="19" w16cid:durableId="1251694892">
    <w:abstractNumId w:val="2"/>
  </w:num>
  <w:num w:numId="20" w16cid:durableId="700011693">
    <w:abstractNumId w:val="6"/>
  </w:num>
  <w:num w:numId="21" w16cid:durableId="1986004558">
    <w:abstractNumId w:val="11"/>
  </w:num>
  <w:num w:numId="22" w16cid:durableId="1197620073">
    <w:abstractNumId w:val="25"/>
  </w:num>
  <w:num w:numId="23" w16cid:durableId="848908262">
    <w:abstractNumId w:val="21"/>
  </w:num>
  <w:num w:numId="24" w16cid:durableId="1046225751">
    <w:abstractNumId w:val="9"/>
  </w:num>
  <w:num w:numId="25" w16cid:durableId="327945080">
    <w:abstractNumId w:val="13"/>
  </w:num>
  <w:num w:numId="26" w16cid:durableId="1413314592">
    <w:abstractNumId w:val="12"/>
  </w:num>
  <w:num w:numId="27" w16cid:durableId="1686320366">
    <w:abstractNumId w:val="7"/>
  </w:num>
  <w:num w:numId="28" w16cid:durableId="1976175254">
    <w:abstractNumId w:val="31"/>
  </w:num>
  <w:num w:numId="29" w16cid:durableId="1917202169">
    <w:abstractNumId w:val="34"/>
  </w:num>
  <w:num w:numId="30" w16cid:durableId="636490040">
    <w:abstractNumId w:val="29"/>
  </w:num>
  <w:num w:numId="31" w16cid:durableId="1566721503">
    <w:abstractNumId w:val="1"/>
  </w:num>
  <w:num w:numId="32" w16cid:durableId="1641299577">
    <w:abstractNumId w:val="16"/>
  </w:num>
  <w:num w:numId="33" w16cid:durableId="26806762">
    <w:abstractNumId w:val="23"/>
  </w:num>
  <w:num w:numId="34" w16cid:durableId="1641688931">
    <w:abstractNumId w:val="18"/>
  </w:num>
  <w:num w:numId="35" w16cid:durableId="1207323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1CB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631A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169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0633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5EFF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434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0819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Bharat-QC</cp:lastModifiedBy>
  <cp:revision>10</cp:revision>
  <dcterms:created xsi:type="dcterms:W3CDTF">2025-09-17T02:05:00Z</dcterms:created>
  <dcterms:modified xsi:type="dcterms:W3CDTF">2025-10-01T21:58:00Z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</Properties>
</file>