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CR[1]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r>
        <w:rPr>
          <w:lang w:val="en-US"/>
        </w:rPr>
        <w:t>Discusson</w:t>
      </w:r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disuccsion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prioritize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Its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GNSS Validity Duration Report;</w:t>
            </w:r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DCQR and AS RAI, when DCQR is to be included in Msg3;</w:t>
            </w:r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Recommended bit rate query;</w:t>
            </w:r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0E73EB86" w14:textId="1ADC4B88" w:rsidR="00762C6B" w:rsidRPr="00762C6B" w:rsidRDefault="00762C6B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ince it has not been discussed before, good to collect views from other companies too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5CAA02A5" w14:textId="31B9DC29" w:rsidR="00365433" w:rsidRPr="00A116A0" w:rsidRDefault="00714BB7" w:rsidP="00A20C5C">
            <w:pPr>
              <w:rPr>
                <w:rFonts w:eastAsiaTheme="minorEastAsia"/>
                <w:color w:val="0070C0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5EE3B0F3" w:rsidR="00365433" w:rsidRPr="00C725D3" w:rsidRDefault="00A374AD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</w:t>
            </w:r>
            <w:r w:rsidR="00FD6679">
              <w:rPr>
                <w:lang w:val="en-US" w:eastAsia="sv-SE"/>
              </w:rPr>
              <w:t>1</w:t>
            </w:r>
          </w:p>
        </w:tc>
        <w:tc>
          <w:tcPr>
            <w:tcW w:w="3903" w:type="dxa"/>
          </w:tcPr>
          <w:p w14:paraId="1D89936B" w14:textId="7AB7BAB0" w:rsidR="00365433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the completion of the CB-Msg3-EDT</w:t>
            </w:r>
            <w:r w:rsidR="00314735">
              <w:rPr>
                <w:lang w:val="en-US" w:eastAsia="sv-SE"/>
              </w:rPr>
              <w:t xml:space="preserve"> for the CP</w:t>
            </w:r>
            <w:r>
              <w:rPr>
                <w:lang w:val="en-US" w:eastAsia="sv-SE"/>
              </w:rPr>
              <w:t xml:space="preserve"> procedures without an RRC message: </w:t>
            </w:r>
          </w:p>
          <w:p w14:paraId="25D1F74B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308C7D3" w14:textId="77777777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the successful completion of CB-Msg3-EDT procedure to the upper layers.</w:t>
            </w:r>
          </w:p>
          <w:p w14:paraId="03ED69B3" w14:textId="6BCCE85D" w:rsidR="00A374AD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The current description makes it seem as if the only way to complete the CB-Msg3-EDT procedures is by not including a C-RNTI field.</w:t>
            </w:r>
            <w:r w:rsidR="00A72ECD">
              <w:rPr>
                <w:lang w:val="en-US" w:eastAsia="sv-SE"/>
              </w:rPr>
              <w:t xml:space="preserve"> A minor re-wording can greatly help a reader/implementer understand that this is a special case. </w:t>
            </w:r>
          </w:p>
          <w:p w14:paraId="06880ABC" w14:textId="3E19EDD5" w:rsidR="00A374AD" w:rsidRPr="00C725D3" w:rsidRDefault="00A374AD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3F26B3CB" w14:textId="14E3FF7A" w:rsidR="00A374AD" w:rsidRDefault="00A374AD" w:rsidP="00A374AD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We propose that the wording is changed to better reflec</w:t>
            </w:r>
            <w:r w:rsidR="0037010D">
              <w:rPr>
                <w:lang w:val="en-US" w:eastAsia="sv-SE"/>
              </w:rPr>
              <w:t>t that this is a special circumstance:</w:t>
            </w:r>
          </w:p>
          <w:p w14:paraId="12FCA688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18D5FE4" w14:textId="532B73A8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</w:t>
            </w:r>
            <w:r w:rsidR="00600913"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 xml:space="preserve">o the 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upper layers that the CB-Msg3-EDT procedures have been</w:t>
            </w:r>
            <w:r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 xml:space="preserve"> successful complet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ed without a</w:t>
            </w:r>
            <w:r w:rsid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n RRC message</w:t>
            </w:r>
            <w:r w:rsidRPr="00A374AD">
              <w:rPr>
                <w:rFonts w:ascii="Times New Roman" w:eastAsia="SimSun" w:hAnsi="Times New Roman"/>
                <w:i/>
                <w:noProof/>
                <w:u w:val="single"/>
                <w:lang w:eastAsia="ja-JP"/>
              </w:rPr>
              <w:t>.</w:t>
            </w:r>
          </w:p>
          <w:p w14:paraId="2064F2D9" w14:textId="00D9D0AA" w:rsidR="00A374AD" w:rsidRPr="00C725D3" w:rsidRDefault="00A374AD" w:rsidP="00A374AD">
            <w:pPr>
              <w:jc w:val="left"/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2CD6E899" w:rsidR="00365433" w:rsidRPr="00C725D3" w:rsidRDefault="0054736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Samsung</w:t>
            </w:r>
            <w:r w:rsidR="00FD6679">
              <w:rPr>
                <w:lang w:val="en-US" w:eastAsia="sv-SE"/>
              </w:rPr>
              <w:t>2</w:t>
            </w:r>
          </w:p>
        </w:tc>
        <w:tc>
          <w:tcPr>
            <w:tcW w:w="3903" w:type="dxa"/>
          </w:tcPr>
          <w:p w14:paraId="10215CAD" w14:textId="0FD6BFCF" w:rsidR="00365433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CB-RNTI is only described as being used for CB-Msg4, while the intention is that it should also be used for CB-Msg3. </w:t>
            </w:r>
          </w:p>
        </w:tc>
        <w:tc>
          <w:tcPr>
            <w:tcW w:w="4369" w:type="dxa"/>
            <w:vAlign w:val="center"/>
          </w:tcPr>
          <w:p w14:paraId="479A98BB" w14:textId="747303C0" w:rsidR="00547367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Some re-designing of the procedures required. I.e the CB-RNTI should not be selected during the CB-Msg4 reception procedure, but be determined before. Changes to table 7.1 also required.</w:t>
            </w:r>
          </w:p>
        </w:tc>
      </w:tr>
      <w:tr w:rsidR="00FD6679" w:rsidRPr="00C725D3" w14:paraId="3A17BCE1" w14:textId="77777777" w:rsidTr="00FD6679">
        <w:tc>
          <w:tcPr>
            <w:tcW w:w="1357" w:type="dxa"/>
            <w:vAlign w:val="center"/>
          </w:tcPr>
          <w:p w14:paraId="7CC9FA86" w14:textId="528CFA01" w:rsidR="00FD6679" w:rsidRDefault="00FD6679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Samsung3</w:t>
            </w:r>
          </w:p>
        </w:tc>
        <w:tc>
          <w:tcPr>
            <w:tcW w:w="3903" w:type="dxa"/>
          </w:tcPr>
          <w:p w14:paraId="1731B2FA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following has been agreed: </w:t>
            </w:r>
          </w:p>
          <w:p w14:paraId="20F35A4D" w14:textId="77777777" w:rsidR="00434358" w:rsidRDefault="00434358" w:rsidP="00434358">
            <w:pPr>
              <w:pStyle w:val="Agreement"/>
              <w:tabs>
                <w:tab w:val="left" w:pos="1619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Based on NW indication, it shall be possible for the UE to </w:t>
            </w:r>
            <w:r w:rsidRPr="00F746B7">
              <w:rPr>
                <w:lang w:val="en-US" w:eastAsia="ko-KR"/>
              </w:rPr>
              <w:t xml:space="preserve">indicate </w:t>
            </w:r>
            <w:r>
              <w:rPr>
                <w:lang w:val="en-US" w:eastAsia="ko-KR"/>
              </w:rPr>
              <w:t xml:space="preserve">during CB-Msg3-EDT procedure </w:t>
            </w:r>
            <w:r w:rsidRPr="00F746B7">
              <w:rPr>
                <w:lang w:val="en-US" w:eastAsia="ko-KR"/>
              </w:rPr>
              <w:t>whether DL data following the UL data in CB-Msg3 is expected or not.</w:t>
            </w:r>
            <w:r>
              <w:rPr>
                <w:lang w:val="en-US" w:eastAsia="ko-KR"/>
              </w:rPr>
              <w:t xml:space="preserve"> RAI will be reused for this.</w:t>
            </w:r>
          </w:p>
          <w:p w14:paraId="2056DC1D" w14:textId="3409513C" w:rsidR="00FD6679" w:rsidRDefault="00FD6679" w:rsidP="00487031">
            <w:pPr>
              <w:rPr>
                <w:lang w:val="en-US" w:eastAsia="sv-SE"/>
              </w:rPr>
            </w:pPr>
          </w:p>
          <w:p w14:paraId="3A372F98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For AS RAI reporting for eMTC, it is triggered via “Msg3 DCQR”: </w:t>
            </w:r>
          </w:p>
          <w:p w14:paraId="24828704" w14:textId="77777777" w:rsidR="00FD6679" w:rsidRPr="00D92410" w:rsidRDefault="00FD6679" w:rsidP="00FD6679">
            <w:pPr>
              <w:pStyle w:val="Heading2"/>
              <w:numPr>
                <w:ilvl w:val="0"/>
                <w:numId w:val="0"/>
              </w:numPr>
              <w:outlineLvl w:val="1"/>
              <w:rPr>
                <w:noProof/>
              </w:rPr>
            </w:pPr>
            <w:bookmarkStart w:id="0" w:name="_Toc37256286"/>
            <w:bookmarkStart w:id="1" w:name="_Toc37256440"/>
            <w:bookmarkStart w:id="2" w:name="_Toc46500379"/>
            <w:bookmarkStart w:id="3" w:name="_Toc52536288"/>
            <w:bookmarkStart w:id="4" w:name="_Toc193402526"/>
            <w:r>
              <w:rPr>
                <w:noProof/>
              </w:rPr>
              <w:t xml:space="preserve">5.25 </w:t>
            </w:r>
            <w:r w:rsidRPr="00D92410">
              <w:rPr>
                <w:noProof/>
              </w:rPr>
              <w:t>Transmission of Downlink Channel Quality Report</w:t>
            </w:r>
            <w:bookmarkEnd w:id="0"/>
            <w:bookmarkEnd w:id="1"/>
            <w:bookmarkEnd w:id="2"/>
            <w:bookmarkEnd w:id="3"/>
            <w:bookmarkEnd w:id="4"/>
          </w:p>
          <w:p w14:paraId="3E827B72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bookmarkStart w:id="5" w:name="_Hlk23445398"/>
            <w:r w:rsidRPr="00924D78">
              <w:rPr>
                <w:rFonts w:ascii="Times New Roman" w:hAnsi="Times New Roman"/>
              </w:rPr>
              <w:t>The MAC entity of a BL UE or UE in enhanced coverage may be configured by upper layers to report DL channel quality in Msg3. DL channel quality in Msg3 in RRC_CONNECTED is not reported.</w:t>
            </w:r>
          </w:p>
          <w:p w14:paraId="2EC699D5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the UE is a BL UE or UE in enhanced coverage or an NB-IoT UE, a Downlink Channel Quality Report (DCQR) shall be triggered if any of the following events occur:</w:t>
            </w:r>
          </w:p>
          <w:p w14:paraId="42E837B5" w14:textId="77777777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t>OMITTED</w:t>
            </w:r>
          </w:p>
          <w:p w14:paraId="1FE1635D" w14:textId="77777777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 xml:space="preserve">for BL UE or UE in enhanced coverage, transmission of DCQR in Msg3 is configured by upper layers in </w:t>
            </w:r>
            <w:r w:rsidRPr="00924D78">
              <w:rPr>
                <w:i/>
                <w:iCs/>
              </w:rPr>
              <w:t>mpdcch-CQI-Reporting</w:t>
            </w:r>
            <w:r w:rsidRPr="00924D78">
              <w:t>, in which case DCQR is referred below to as "Msg3 DCQR".</w:t>
            </w:r>
          </w:p>
          <w:bookmarkEnd w:id="5"/>
          <w:p w14:paraId="2C98D4F4" w14:textId="5F341614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t>OMITTED</w:t>
            </w:r>
          </w:p>
          <w:p w14:paraId="25F3125E" w14:textId="07463CD8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79146322" w14:textId="0CE9674C" w:rsidR="00FD6679" w:rsidRPr="00924D78" w:rsidRDefault="00FD6679" w:rsidP="00FD6679">
            <w:pPr>
              <w:pStyle w:val="B1"/>
            </w:pPr>
            <w:r w:rsidRPr="00924D78">
              <w:lastRenderedPageBreak/>
              <w:t>-</w:t>
            </w:r>
            <w:r w:rsidRPr="00924D78">
              <w:tab/>
              <w:t xml:space="preserve">if an uplink grant has been received on the </w:t>
            </w:r>
            <w:r w:rsidRPr="00A2033F">
              <w:rPr>
                <w:highlight w:val="yellow"/>
              </w:rPr>
              <w:t>PDCCH for MAC entity's RA-RNTI</w:t>
            </w:r>
            <w:r w:rsidRPr="00924D78">
              <w:t>:</w:t>
            </w:r>
          </w:p>
          <w:p w14:paraId="28F00D18" w14:textId="5D0E2FEA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According to our understanding, </w:t>
            </w:r>
            <w:r w:rsidR="00A2033F">
              <w:rPr>
                <w:lang w:val="en-US" w:eastAsia="sv-SE"/>
              </w:rPr>
              <w:t xml:space="preserve">it is only supported for </w:t>
            </w:r>
            <w:r w:rsidR="00A2033F" w:rsidRPr="00E016C0">
              <w:rPr>
                <w:highlight w:val="yellow"/>
                <w:lang w:val="en-US" w:eastAsia="sv-SE"/>
              </w:rPr>
              <w:t>Msg3 with random access</w:t>
            </w:r>
            <w:r w:rsidR="00A2033F">
              <w:rPr>
                <w:lang w:val="en-US" w:eastAsia="sv-SE"/>
              </w:rPr>
              <w:t xml:space="preserve">. </w:t>
            </w:r>
            <w:r>
              <w:rPr>
                <w:lang w:val="en-US" w:eastAsia="sv-SE"/>
              </w:rPr>
              <w:t xml:space="preserve"> </w:t>
            </w:r>
          </w:p>
          <w:p w14:paraId="6B9CD1E6" w14:textId="737ABD8A" w:rsidR="00FD6679" w:rsidRDefault="00FD6679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</w:tcPr>
          <w:p w14:paraId="3087822F" w14:textId="57C055B8" w:rsidR="00FD6679" w:rsidRDefault="00FD6679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The condition for triggering the Msg3 DCQR needs to be changed to accommodate CB-Msg3-EDT. We think that it can be something on the style of</w:t>
            </w:r>
            <w:r w:rsidR="00E016C0">
              <w:rPr>
                <w:lang w:val="en-US" w:eastAsia="sv-SE"/>
              </w:rPr>
              <w:t xml:space="preserve"> the example below can be used</w:t>
            </w:r>
            <w:bookmarkStart w:id="6" w:name="_GoBack"/>
            <w:bookmarkEnd w:id="6"/>
            <w:r>
              <w:rPr>
                <w:lang w:val="en-US" w:eastAsia="sv-SE"/>
              </w:rPr>
              <w:t xml:space="preserve">: </w:t>
            </w:r>
          </w:p>
          <w:p w14:paraId="1C8548EB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404B30F8" w14:textId="77777777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>if an uplink grant has been received on the PDCCH for MAC entity's RA-RNTI</w:t>
            </w:r>
            <w:r>
              <w:t xml:space="preserve"> </w:t>
            </w:r>
            <w:r w:rsidRPr="008541FE">
              <w:rPr>
                <w:color w:val="FF0000"/>
                <w:u w:val="single"/>
              </w:rPr>
              <w:t>or if the uplink grant is for CB-Msg3-EDT</w:t>
            </w:r>
            <w:r w:rsidRPr="00924D78">
              <w:t>:</w:t>
            </w:r>
          </w:p>
          <w:p w14:paraId="1FA26C84" w14:textId="77777777" w:rsidR="00FD6679" w:rsidRPr="00924D78" w:rsidRDefault="00FD6679" w:rsidP="00FD6679">
            <w:pPr>
              <w:pStyle w:val="B2"/>
            </w:pPr>
            <w:r w:rsidRPr="00924D78">
              <w:t>-</w:t>
            </w:r>
            <w:r w:rsidRPr="00924D78">
              <w:tab/>
              <w:t>if the allocated resources can accommodate a DCQR and AS RAI MAC control element plus its subheader as a result of logical channel prioritization:</w:t>
            </w:r>
          </w:p>
          <w:p w14:paraId="7A2D620E" w14:textId="2987317E" w:rsidR="00FD6679" w:rsidRDefault="00FD6679" w:rsidP="00FD6679">
            <w:pPr>
              <w:jc w:val="left"/>
              <w:rPr>
                <w:lang w:val="en-US" w:eastAsia="sv-SE"/>
              </w:rPr>
            </w:pP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7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7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8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9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9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8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FF2C" w14:textId="77777777" w:rsidR="000D6831" w:rsidRDefault="000D6831">
      <w:pPr>
        <w:spacing w:after="0"/>
      </w:pPr>
      <w:r>
        <w:separator/>
      </w:r>
    </w:p>
  </w:endnote>
  <w:endnote w:type="continuationSeparator" w:id="0">
    <w:p w14:paraId="0041ED75" w14:textId="77777777" w:rsidR="000D6831" w:rsidRDefault="000D6831">
      <w:pPr>
        <w:spacing w:after="0"/>
      </w:pPr>
      <w:r>
        <w:continuationSeparator/>
      </w:r>
    </w:p>
  </w:endnote>
  <w:endnote w:type="continuationNotice" w:id="1">
    <w:p w14:paraId="255E2AD7" w14:textId="77777777" w:rsidR="000D6831" w:rsidRDefault="000D68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707A" w14:textId="1C882A10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6C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16C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6D3E1" w14:textId="77777777" w:rsidR="000D6831" w:rsidRDefault="000D6831">
      <w:pPr>
        <w:spacing w:after="0"/>
      </w:pPr>
      <w:r>
        <w:separator/>
      </w:r>
    </w:p>
  </w:footnote>
  <w:footnote w:type="continuationSeparator" w:id="0">
    <w:p w14:paraId="17F3C270" w14:textId="77777777" w:rsidR="000D6831" w:rsidRDefault="000D6831">
      <w:pPr>
        <w:spacing w:after="0"/>
      </w:pPr>
      <w:r>
        <w:continuationSeparator/>
      </w:r>
    </w:p>
  </w:footnote>
  <w:footnote w:type="continuationNotice" w:id="1">
    <w:p w14:paraId="58F68D9C" w14:textId="77777777" w:rsidR="000D6831" w:rsidRDefault="000D683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756"/>
        </w:tabs>
        <w:ind w:left="67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794"/>
        </w:tabs>
        <w:ind w:left="-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74"/>
        </w:tabs>
        <w:ind w:left="-1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</w:abstractNum>
  <w:abstractNum w:abstractNumId="19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1"/>
  </w:num>
  <w:num w:numId="12">
    <w:abstractNumId w:val="19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2"/>
  </w:num>
  <w:num w:numId="21">
    <w:abstractNumId w:val="2"/>
  </w:num>
  <w:num w:numId="22">
    <w:abstractNumId w:val="4"/>
  </w:num>
  <w:num w:numId="23">
    <w:abstractNumId w:val="22"/>
  </w:num>
  <w:num w:numId="24">
    <w:abstractNumId w:val="20"/>
  </w:num>
  <w:num w:numId="25">
    <w:abstractNumId w:val="1"/>
  </w:num>
  <w:num w:numId="26">
    <w:abstractNumId w:val="6"/>
  </w:num>
  <w:num w:numId="27">
    <w:abstractNumId w:val="13"/>
  </w:num>
  <w:num w:numId="28">
    <w:abstractNumId w:val="16"/>
  </w:num>
  <w:num w:numId="29">
    <w:abstractNumId w:val="16"/>
  </w:num>
  <w:num w:numId="30">
    <w:abstractNumId w:val="14"/>
  </w:num>
  <w:num w:numId="31">
    <w:abstractNumId w:val="8"/>
  </w:num>
  <w:num w:numId="32">
    <w:abstractNumId w:val="17"/>
  </w:num>
  <w:num w:numId="3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6831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03D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0CCD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4735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10D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6F23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435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47367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0913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369"/>
    <w:rsid w:val="006B1D68"/>
    <w:rsid w:val="006B23AC"/>
    <w:rsid w:val="006B2CFE"/>
    <w:rsid w:val="006B3075"/>
    <w:rsid w:val="006B39C3"/>
    <w:rsid w:val="006B4289"/>
    <w:rsid w:val="006B4D68"/>
    <w:rsid w:val="006B61C5"/>
    <w:rsid w:val="006C0736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41FE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33F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4AD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2ECD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800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5CA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3D6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C7813"/>
    <w:rsid w:val="00DD0068"/>
    <w:rsid w:val="00DD1477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6C0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679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434358"/>
    <w:pPr>
      <w:numPr>
        <w:numId w:val="33"/>
      </w:numPr>
      <w:tabs>
        <w:tab w:val="num" w:pos="1619"/>
      </w:tabs>
      <w:spacing w:before="60" w:after="0"/>
      <w:ind w:left="1616" w:hanging="357"/>
      <w:jc w:val="left"/>
    </w:pPr>
    <w:rPr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FB3F1-080B-4153-9542-F2C33A508E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Jonas Sedin (Samsung)</cp:lastModifiedBy>
  <cp:revision>7</cp:revision>
  <dcterms:created xsi:type="dcterms:W3CDTF">2025-09-30T15:57:00Z</dcterms:created>
  <dcterms:modified xsi:type="dcterms:W3CDTF">2025-09-30T16:11:00Z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