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Huawei, HiSilicon</w:t>
      </w:r>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for NES enh.</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Heading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ListParagraph"/>
        <w:numPr>
          <w:ilvl w:val="0"/>
          <w:numId w:val="9"/>
        </w:numPr>
        <w:rPr>
          <w:lang w:eastAsia="sv-SE"/>
        </w:rPr>
      </w:pPr>
      <w:r>
        <w:rPr>
          <w:lang w:eastAsia="sv-SE"/>
        </w:rPr>
        <w:t>Normative text as e.g. provided by rapp in CR v04 (Appendix TP1)</w:t>
      </w:r>
    </w:p>
    <w:p w14:paraId="358D7114" w14:textId="43C891CD" w:rsidR="0054186C" w:rsidRDefault="0054186C" w:rsidP="0054186C">
      <w:pPr>
        <w:pStyle w:val="ListParagraph"/>
        <w:numPr>
          <w:ilvl w:val="0"/>
          <w:numId w:val="9"/>
        </w:numPr>
        <w:rPr>
          <w:lang w:eastAsia="sv-SE"/>
        </w:rPr>
      </w:pPr>
      <w:r>
        <w:rPr>
          <w:lang w:eastAsia="sv-SE"/>
        </w:rPr>
        <w:t xml:space="preserve">Note as e.g.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ListParagraph"/>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(e.g.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77777777" w:rsidR="00723BCA" w:rsidRDefault="00723BCA" w:rsidP="00723BCA">
            <w:pPr>
              <w:jc w:val="center"/>
              <w:rPr>
                <w:lang w:eastAsia="sv-SE"/>
              </w:rPr>
            </w:pPr>
          </w:p>
        </w:tc>
        <w:tc>
          <w:tcPr>
            <w:tcW w:w="5670" w:type="dxa"/>
            <w:vAlign w:val="center"/>
          </w:tcPr>
          <w:p w14:paraId="2E2E2CF4" w14:textId="77777777" w:rsidR="00723BCA" w:rsidRDefault="00723BCA" w:rsidP="00723BCA">
            <w:pPr>
              <w:jc w:val="center"/>
              <w:rPr>
                <w:lang w:eastAsia="sv-SE"/>
              </w:rPr>
            </w:pP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77777777" w:rsidR="00723BCA" w:rsidRDefault="00723BCA" w:rsidP="00723BCA">
            <w:pPr>
              <w:jc w:val="center"/>
              <w:rPr>
                <w:lang w:eastAsia="sv-SE"/>
              </w:rPr>
            </w:pPr>
          </w:p>
        </w:tc>
        <w:tc>
          <w:tcPr>
            <w:tcW w:w="5670" w:type="dxa"/>
            <w:vAlign w:val="center"/>
          </w:tcPr>
          <w:p w14:paraId="4AAD3ACC" w14:textId="77777777" w:rsidR="00723BCA" w:rsidRDefault="00723BCA" w:rsidP="00723BCA">
            <w:pPr>
              <w:jc w:val="center"/>
              <w:rPr>
                <w:lang w:eastAsia="sv-SE"/>
              </w:rPr>
            </w:pP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77777777" w:rsidR="00723BCA" w:rsidRDefault="00723BCA" w:rsidP="00723BCA">
            <w:pPr>
              <w:jc w:val="center"/>
              <w:rPr>
                <w:lang w:eastAsia="sv-SE"/>
              </w:rPr>
            </w:pPr>
          </w:p>
        </w:tc>
        <w:tc>
          <w:tcPr>
            <w:tcW w:w="5670" w:type="dxa"/>
            <w:vAlign w:val="center"/>
          </w:tcPr>
          <w:p w14:paraId="157215B8" w14:textId="77777777" w:rsidR="00723BCA" w:rsidRDefault="00723BCA" w:rsidP="00723BCA">
            <w:pPr>
              <w:jc w:val="center"/>
              <w:rPr>
                <w:lang w:eastAsia="sv-SE"/>
              </w:rPr>
            </w:pP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77777777" w:rsidR="00723BCA" w:rsidRDefault="00723BCA" w:rsidP="00723BCA">
            <w:pPr>
              <w:jc w:val="center"/>
              <w:rPr>
                <w:lang w:eastAsia="sv-SE"/>
              </w:rPr>
            </w:pPr>
          </w:p>
        </w:tc>
        <w:tc>
          <w:tcPr>
            <w:tcW w:w="5670" w:type="dxa"/>
            <w:vAlign w:val="center"/>
          </w:tcPr>
          <w:p w14:paraId="0F47F1D2" w14:textId="77777777" w:rsidR="00723BCA" w:rsidRDefault="00723BCA" w:rsidP="00723BCA">
            <w:pPr>
              <w:jc w:val="center"/>
              <w:rPr>
                <w:lang w:eastAsia="sv-SE"/>
              </w:rPr>
            </w:pP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77777777" w:rsidR="00723BCA" w:rsidRDefault="00723BCA" w:rsidP="00723BCA">
            <w:pPr>
              <w:jc w:val="center"/>
              <w:rPr>
                <w:lang w:eastAsia="sv-SE"/>
              </w:rPr>
            </w:pPr>
          </w:p>
        </w:tc>
        <w:tc>
          <w:tcPr>
            <w:tcW w:w="5670" w:type="dxa"/>
            <w:vAlign w:val="center"/>
          </w:tcPr>
          <w:p w14:paraId="24811338" w14:textId="77777777" w:rsidR="00723BCA" w:rsidRDefault="00723BCA" w:rsidP="00723BCA">
            <w:pPr>
              <w:jc w:val="center"/>
              <w:rPr>
                <w:lang w:eastAsia="sv-SE"/>
              </w:rPr>
            </w:pP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TableGrid"/>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(e.g.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77777777" w:rsidR="00B14402" w:rsidRDefault="00B14402" w:rsidP="00A73E99">
            <w:pPr>
              <w:jc w:val="center"/>
              <w:rPr>
                <w:lang w:eastAsia="sv-SE"/>
              </w:rPr>
            </w:pPr>
          </w:p>
        </w:tc>
        <w:tc>
          <w:tcPr>
            <w:tcW w:w="5670" w:type="dxa"/>
            <w:vAlign w:val="center"/>
          </w:tcPr>
          <w:p w14:paraId="11CE1268" w14:textId="77777777" w:rsidR="00B14402" w:rsidRDefault="00B14402" w:rsidP="00A73E99">
            <w:pPr>
              <w:jc w:val="center"/>
              <w:rPr>
                <w:lang w:eastAsia="sv-SE"/>
              </w:rPr>
            </w:pP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7777777" w:rsidR="00B14402" w:rsidRDefault="00B14402" w:rsidP="00A73E99">
            <w:pPr>
              <w:jc w:val="center"/>
              <w:rPr>
                <w:lang w:eastAsia="sv-SE"/>
              </w:rPr>
            </w:pPr>
          </w:p>
        </w:tc>
        <w:tc>
          <w:tcPr>
            <w:tcW w:w="5670" w:type="dxa"/>
            <w:vAlign w:val="center"/>
          </w:tcPr>
          <w:p w14:paraId="41512E49" w14:textId="77777777" w:rsidR="00B14402" w:rsidRDefault="00B14402" w:rsidP="00A73E99">
            <w:pPr>
              <w:jc w:val="center"/>
              <w:rPr>
                <w:lang w:eastAsia="sv-SE"/>
              </w:rPr>
            </w:pP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77777777" w:rsidR="00B14402" w:rsidRDefault="00B14402" w:rsidP="00A73E99">
            <w:pPr>
              <w:jc w:val="center"/>
              <w:rPr>
                <w:lang w:eastAsia="sv-SE"/>
              </w:rPr>
            </w:pPr>
          </w:p>
        </w:tc>
        <w:tc>
          <w:tcPr>
            <w:tcW w:w="5670" w:type="dxa"/>
            <w:vAlign w:val="center"/>
          </w:tcPr>
          <w:p w14:paraId="05B6410D" w14:textId="77777777" w:rsidR="00B14402" w:rsidRDefault="00B14402" w:rsidP="00A73E99">
            <w:pPr>
              <w:jc w:val="center"/>
              <w:rPr>
                <w:lang w:eastAsia="sv-SE"/>
              </w:rPr>
            </w:pP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77777777" w:rsidR="00B14402" w:rsidRDefault="00B14402" w:rsidP="00A73E99">
            <w:pPr>
              <w:jc w:val="center"/>
              <w:rPr>
                <w:lang w:eastAsia="sv-SE"/>
              </w:rPr>
            </w:pPr>
          </w:p>
        </w:tc>
        <w:tc>
          <w:tcPr>
            <w:tcW w:w="5670" w:type="dxa"/>
            <w:vAlign w:val="center"/>
          </w:tcPr>
          <w:p w14:paraId="2C4E4192" w14:textId="77777777" w:rsidR="00B14402" w:rsidRDefault="00B14402" w:rsidP="00A73E99">
            <w:pPr>
              <w:jc w:val="center"/>
              <w:rPr>
                <w:lang w:eastAsia="sv-SE"/>
              </w:rPr>
            </w:pP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TableGrid"/>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(e.g.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Heading1"/>
      </w:pPr>
      <w:r w:rsidRPr="00543375">
        <w:lastRenderedPageBreak/>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Heading1"/>
      </w:pPr>
      <w:r>
        <w:t>Appendix</w:t>
      </w:r>
    </w:p>
    <w:p w14:paraId="672C5A7C" w14:textId="77777777" w:rsidR="00C44E57" w:rsidRPr="00C44E57" w:rsidRDefault="00C44E57" w:rsidP="00C44E57"/>
    <w:p w14:paraId="139A3286" w14:textId="209BE2B4" w:rsidR="0055117A" w:rsidRDefault="0054186C" w:rsidP="0054186C">
      <w:pPr>
        <w:pStyle w:val="Heading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Heading2"/>
        <w:rPr>
          <w:lang w:eastAsia="sv-SE"/>
        </w:rPr>
      </w:pPr>
      <w:r w:rsidRPr="0054186C">
        <w:rPr>
          <w:lang w:eastAsia="sv-SE"/>
        </w:rPr>
        <w:t>TP2 for Note</w:t>
      </w:r>
    </w:p>
    <w:p w14:paraId="1D674B87" w14:textId="77777777" w:rsidR="0054186C" w:rsidRPr="007F0C03" w:rsidRDefault="0054186C" w:rsidP="007F0C03">
      <w:pPr>
        <w:pStyle w:val="ListParagraph"/>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46DF" w14:textId="77777777" w:rsidR="002D0BB4" w:rsidRDefault="002D0BB4">
      <w:pPr>
        <w:spacing w:after="0"/>
      </w:pPr>
      <w:r>
        <w:separator/>
      </w:r>
    </w:p>
  </w:endnote>
  <w:endnote w:type="continuationSeparator" w:id="0">
    <w:p w14:paraId="00215A9A" w14:textId="77777777" w:rsidR="002D0BB4" w:rsidRDefault="002D0B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FA5E" w14:textId="77777777" w:rsidR="002D0BB4" w:rsidRDefault="002D0BB4">
      <w:pPr>
        <w:spacing w:after="0"/>
      </w:pPr>
      <w:r>
        <w:separator/>
      </w:r>
    </w:p>
  </w:footnote>
  <w:footnote w:type="continuationSeparator" w:id="0">
    <w:p w14:paraId="56879B5F" w14:textId="77777777" w:rsidR="002D0BB4" w:rsidRDefault="002D0B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num>
  <w:num w:numId="12">
    <w:abstractNumId w:val="2"/>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Normal"/>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(Marcin)</cp:lastModifiedBy>
  <cp:revision>34</cp:revision>
  <dcterms:created xsi:type="dcterms:W3CDTF">2025-04-18T13:56:00Z</dcterms:created>
  <dcterms:modified xsi:type="dcterms:W3CDTF">2025-09-17T07:43:00Z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