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F01B6E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455DB5" w:rsidRPr="00455DB5">
        <w:rPr>
          <w:sz w:val="22"/>
          <w:szCs w:val="22"/>
        </w:rPr>
        <w:t>[POST131][108][NES]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9CA994B" w14:textId="77777777" w:rsidR="00455DB5" w:rsidRPr="00EB3E33" w:rsidRDefault="00455DB5" w:rsidP="00455DB5">
      <w:pPr>
        <w:pStyle w:val="EmailDiscussion"/>
      </w:pPr>
      <w:r w:rsidRPr="00EB3E33">
        <w:t>[</w:t>
      </w:r>
      <w:r w:rsidRPr="00EB3E33">
        <w:rPr>
          <w:rFonts w:eastAsia="Malgun Gothic"/>
          <w:lang w:eastAsia="ko-KR"/>
        </w:rPr>
        <w:t>POST</w:t>
      </w:r>
      <w:r w:rsidRPr="00EB3E33">
        <w:t>131][1</w:t>
      </w:r>
      <w:r w:rsidRPr="00EB3E33">
        <w:rPr>
          <w:rFonts w:eastAsia="Malgun Gothic"/>
          <w:lang w:eastAsia="ko-KR"/>
        </w:rPr>
        <w:t>08</w:t>
      </w:r>
      <w:r w:rsidRPr="00EB3E33">
        <w:t>][</w:t>
      </w:r>
      <w:r w:rsidRPr="00EB3E33">
        <w:rPr>
          <w:rFonts w:eastAsia="Malgun Gothic"/>
          <w:lang w:eastAsia="ko-KR"/>
        </w:rPr>
        <w:t>NES</w:t>
      </w:r>
      <w:r w:rsidRPr="00EB3E33">
        <w:t>] (Huawei)</w:t>
      </w:r>
      <w:r w:rsidRPr="00EB3E33">
        <w:rPr>
          <w:rFonts w:eastAsia="Malgun Gothic" w:hint="eastAsia"/>
          <w:lang w:eastAsia="ko-KR"/>
        </w:rPr>
        <w:t xml:space="preserve"> </w:t>
      </w:r>
    </w:p>
    <w:p w14:paraId="7C67BC91" w14:textId="77777777" w:rsidR="00455DB5" w:rsidRPr="004C67CE" w:rsidRDefault="00455DB5" w:rsidP="00455DB5">
      <w:pPr>
        <w:pStyle w:val="EmailDiscussion2"/>
      </w:pPr>
      <w:r w:rsidRPr="00770DB4">
        <w:tab/>
      </w:r>
      <w:r w:rsidRPr="00AA559F">
        <w:rPr>
          <w:b/>
        </w:rPr>
        <w:t>Scope:</w:t>
      </w:r>
      <w:r>
        <w:t xml:space="preserve"> Update NES 38.300 CR (including this meeting agreements also).</w:t>
      </w:r>
    </w:p>
    <w:p w14:paraId="32B9FD37" w14:textId="77777777" w:rsidR="00455DB5" w:rsidRPr="005A0307" w:rsidRDefault="00455DB5" w:rsidP="00455DB5">
      <w:pPr>
        <w:pStyle w:val="EmailDiscussion2"/>
        <w:rPr>
          <w:rFonts w:eastAsia="Malgun Gothic"/>
          <w:lang w:eastAsia="ko-KR"/>
        </w:rPr>
      </w:pPr>
      <w:r w:rsidRPr="00770DB4">
        <w:tab/>
      </w:r>
      <w:r w:rsidRPr="00AA559F">
        <w:rPr>
          <w:b/>
        </w:rPr>
        <w:t>Intended outcome:</w:t>
      </w:r>
      <w:r>
        <w:t xml:space="preserve"> 38.300 CR in R2-2506219 to be agreed.</w:t>
      </w:r>
    </w:p>
    <w:p w14:paraId="2433E83F" w14:textId="7A7AD5FA" w:rsidR="00455DB5" w:rsidRPr="00351D80" w:rsidRDefault="00455DB5" w:rsidP="00455DB5">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r>
        <w:rPr>
          <w:rFonts w:eastAsia="Malgun Gothic"/>
          <w:lang w:eastAsia="ko-KR"/>
        </w:rPr>
        <w:t xml:space="preserve"> (</w:t>
      </w:r>
      <w:r>
        <w:t>Sept. 5</w:t>
      </w:r>
      <w:r w:rsidRPr="009622D5">
        <w:rPr>
          <w:vertAlign w:val="superscript"/>
        </w:rPr>
        <w:t>th</w:t>
      </w:r>
      <w:r>
        <w:t xml:space="preserve"> 1000 UTC</w:t>
      </w:r>
      <w:r>
        <w:rPr>
          <w:rFonts w:eastAsia="Malgun Gothic"/>
          <w:lang w:eastAsia="ko-KR"/>
        </w:rPr>
        <w:t>)</w:t>
      </w:r>
    </w:p>
    <w:p w14:paraId="2564C460" w14:textId="43795467" w:rsidR="00333309" w:rsidRDefault="00333309" w:rsidP="00313DF4">
      <w:pPr>
        <w:pStyle w:val="BodyText"/>
        <w:rPr>
          <w:b/>
          <w:bCs/>
          <w:color w:val="FF0000"/>
          <w:highlight w:val="yellow"/>
        </w:rPr>
      </w:pPr>
    </w:p>
    <w:p w14:paraId="12B2B227" w14:textId="1607DC0D"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455DB5">
        <w:rPr>
          <w:rFonts w:ascii="Calibri" w:eastAsia="SimSun" w:hAnsi="Calibri" w:cs="Arial"/>
          <w:sz w:val="22"/>
          <w:szCs w:val="22"/>
          <w:highlight w:val="yellow"/>
          <w:lang w:eastAsia="zh-CN"/>
        </w:rPr>
        <w:t>Thursday</w:t>
      </w:r>
      <w:r w:rsidRPr="009A7D65">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September</w:t>
      </w:r>
      <w:r w:rsidR="008405ED">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4</w:t>
      </w:r>
      <w:r w:rsidR="008405ED" w:rsidRPr="008405ED">
        <w:rPr>
          <w:rFonts w:ascii="Calibri" w:eastAsia="SimSun" w:hAnsi="Calibri" w:cs="Arial"/>
          <w:sz w:val="22"/>
          <w:szCs w:val="22"/>
          <w:highlight w:val="yellow"/>
          <w:vertAlign w:val="superscript"/>
          <w:lang w:eastAsia="zh-CN"/>
        </w:rPr>
        <w:t>t</w:t>
      </w:r>
      <w:r w:rsidR="00455DB5">
        <w:rPr>
          <w:rFonts w:ascii="Calibri" w:eastAsia="SimSun" w:hAnsi="Calibri" w:cs="Arial"/>
          <w:sz w:val="22"/>
          <w:szCs w:val="22"/>
          <w:highlight w:val="yellow"/>
          <w:vertAlign w:val="superscript"/>
          <w:lang w:eastAsia="zh-CN"/>
        </w:rPr>
        <w:t>h</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4145A493" w:rsidR="009A7D65" w:rsidRDefault="009A7D65" w:rsidP="009A7D65">
      <w:pPr>
        <w:pStyle w:val="BodyText"/>
        <w:keepNext/>
      </w:pPr>
      <w:r>
        <w:t>The post-RAN2#1</w:t>
      </w:r>
      <w:r w:rsidR="00313B47">
        <w:t>3</w:t>
      </w:r>
      <w:r w:rsidR="00495974">
        <w:t>1</w:t>
      </w:r>
      <w:r>
        <w:t xml:space="preserve">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F0BDF23" w:rsidR="00D45311" w:rsidRPr="00887F98" w:rsidRDefault="00887F98" w:rsidP="00D45311">
            <w:pPr>
              <w:pStyle w:val="BodyText"/>
              <w:keepNext/>
              <w:rPr>
                <w:rFonts w:eastAsia="DengXian"/>
                <w:bCs/>
                <w:lang w:val="en-US"/>
              </w:rPr>
            </w:pPr>
            <w:r>
              <w:rPr>
                <w:rFonts w:eastAsia="DengXian" w:hint="eastAsia"/>
                <w:bCs/>
                <w:lang w:val="en-US"/>
              </w:rPr>
              <w:t>O</w:t>
            </w:r>
            <w:r>
              <w:rPr>
                <w:rFonts w:eastAsia="DengXian"/>
                <w:bCs/>
                <w:lang w:val="en-US"/>
              </w:rPr>
              <w:t>PPO001</w:t>
            </w:r>
          </w:p>
        </w:tc>
        <w:tc>
          <w:tcPr>
            <w:tcW w:w="6525" w:type="dxa"/>
          </w:tcPr>
          <w:p w14:paraId="73AE7547" w14:textId="77777777" w:rsidR="00887F98" w:rsidRPr="00CE3B75" w:rsidRDefault="00887F98" w:rsidP="00887F98">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sidRPr="00CE3B75">
              <w:t xml:space="preserve">, and </w:t>
            </w:r>
            <w:r w:rsidRPr="00887F98">
              <w:rPr>
                <w:highlight w:val="green"/>
              </w:rPr>
              <w:t>are not configured with NCD-SSB for serving cell measurement</w:t>
            </w:r>
            <w:ins w:id="1" w:author="POST131" w:date="2025-09-01T12:23:00Z">
              <w:r>
                <w:t>,</w:t>
              </w:r>
            </w:ins>
            <w:ins w:id="2"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3" w:author="POST131" w:date="2025-09-01T12:23:00Z">
              <w:r w:rsidRPr="00887F98">
                <w:rPr>
                  <w:highlight w:val="cyan"/>
                </w:rPr>
                <w:t>OD-</w:t>
              </w:r>
            </w:ins>
            <w:ins w:id="4" w:author="POST131" w:date="2025-09-01T12:22:00Z">
              <w:r w:rsidRPr="00887F98">
                <w:rPr>
                  <w:highlight w:val="cyan"/>
                </w:rPr>
                <w:t>SSB associated to the serving cell</w:t>
              </w:r>
            </w:ins>
            <w:r w:rsidRPr="00CE3B75">
              <w:rPr>
                <w:rFonts w:eastAsiaTheme="minorEastAsia"/>
                <w:lang w:eastAsia="ja-JP"/>
              </w:rPr>
              <w:t>;</w:t>
            </w:r>
          </w:p>
          <w:p w14:paraId="595097FB" w14:textId="68A16EB8" w:rsidR="00D45311" w:rsidRDefault="00887F98" w:rsidP="00D45311">
            <w:pPr>
              <w:pStyle w:val="BodyText"/>
              <w:keepNext/>
              <w:rPr>
                <w:rFonts w:eastAsia="DengXian"/>
                <w:bCs/>
              </w:rPr>
            </w:pPr>
            <w:r>
              <w:rPr>
                <w:rFonts w:eastAsia="DengXian" w:hint="eastAsia"/>
                <w:bCs/>
              </w:rPr>
              <w:t>[</w:t>
            </w:r>
            <w:r>
              <w:rPr>
                <w:rFonts w:eastAsia="DengXian"/>
                <w:bCs/>
              </w:rPr>
              <w:t xml:space="preserve">OPPO] original text is to say both the yellow-condition and green-condition have to be satisfied. </w:t>
            </w:r>
            <w:r>
              <w:rPr>
                <w:rFonts w:eastAsia="DengXian" w:hint="eastAsia"/>
                <w:bCs/>
              </w:rPr>
              <w:t>N</w:t>
            </w:r>
            <w:r>
              <w:rPr>
                <w:rFonts w:eastAsia="DengXian"/>
                <w:bCs/>
              </w:rPr>
              <w:t xml:space="preserve">ow </w:t>
            </w:r>
            <w:r w:rsidR="00C16230">
              <w:rPr>
                <w:rFonts w:eastAsia="DengXian"/>
                <w:bCs/>
              </w:rPr>
              <w:t xml:space="preserve">I understand </w:t>
            </w:r>
            <w:r>
              <w:rPr>
                <w:rFonts w:eastAsia="DengXian"/>
                <w:bCs/>
              </w:rPr>
              <w:t xml:space="preserve">the blue condition </w:t>
            </w:r>
            <w:r w:rsidR="00C16230">
              <w:rPr>
                <w:rFonts w:eastAsia="DengXian"/>
                <w:bCs/>
              </w:rPr>
              <w:t>intend to say when both</w:t>
            </w:r>
          </w:p>
          <w:p w14:paraId="453599C3" w14:textId="77777777" w:rsidR="00887F98" w:rsidRDefault="00887F98" w:rsidP="00887F98">
            <w:pPr>
              <w:pStyle w:val="BodyText"/>
              <w:keepNext/>
              <w:numPr>
                <w:ilvl w:val="0"/>
                <w:numId w:val="21"/>
              </w:numPr>
              <w:rPr>
                <w:rFonts w:eastAsia="DengXian"/>
                <w:bCs/>
              </w:rPr>
            </w:pPr>
            <w:r>
              <w:rPr>
                <w:rFonts w:eastAsia="DengXian"/>
                <w:bCs/>
              </w:rPr>
              <w:t>Yellow-condition, and</w:t>
            </w:r>
          </w:p>
          <w:p w14:paraId="34E186E6" w14:textId="77777777" w:rsidR="00887F98" w:rsidRDefault="00887F98" w:rsidP="00887F98">
            <w:pPr>
              <w:pStyle w:val="BodyText"/>
              <w:keepNext/>
              <w:numPr>
                <w:ilvl w:val="0"/>
                <w:numId w:val="21"/>
              </w:numPr>
              <w:rPr>
                <w:rFonts w:eastAsia="DengXian"/>
                <w:bCs/>
              </w:rPr>
            </w:pPr>
            <w:r>
              <w:rPr>
                <w:rFonts w:eastAsia="DengXian" w:hint="eastAsia"/>
                <w:bCs/>
              </w:rPr>
              <w:t>G</w:t>
            </w:r>
            <w:r>
              <w:rPr>
                <w:rFonts w:eastAsia="DengXian"/>
                <w:bCs/>
              </w:rPr>
              <w:t>reen-condition or the blue condition</w:t>
            </w:r>
          </w:p>
          <w:p w14:paraId="38E79990" w14:textId="77777777" w:rsidR="00C16230" w:rsidRDefault="00887F98" w:rsidP="00887F98">
            <w:pPr>
              <w:pStyle w:val="BodyText"/>
              <w:keepNext/>
              <w:rPr>
                <w:rFonts w:eastAsia="DengXian"/>
                <w:bCs/>
              </w:rPr>
            </w:pPr>
            <w:r>
              <w:rPr>
                <w:rFonts w:eastAsia="DengXian"/>
                <w:bCs/>
              </w:rPr>
              <w:t>Are satisfied</w:t>
            </w:r>
            <w:r w:rsidR="00C16230">
              <w:rPr>
                <w:rFonts w:eastAsia="DengXian"/>
                <w:bCs/>
              </w:rPr>
              <w:t>.</w:t>
            </w:r>
          </w:p>
          <w:p w14:paraId="481ADCED" w14:textId="77777777" w:rsidR="00887F98" w:rsidRDefault="00C16230" w:rsidP="00887F98">
            <w:pPr>
              <w:pStyle w:val="BodyText"/>
              <w:keepNext/>
              <w:rPr>
                <w:rFonts w:eastAsia="DengXian"/>
                <w:bCs/>
              </w:rPr>
            </w:pPr>
            <w:r>
              <w:rPr>
                <w:rFonts w:eastAsia="DengXian"/>
                <w:bCs/>
              </w:rPr>
              <w:t xml:space="preserve">But since </w:t>
            </w:r>
            <w:r w:rsidRPr="00C16230">
              <w:rPr>
                <w:rFonts w:eastAsia="DengXian"/>
                <w:bCs/>
                <w:highlight w:val="magenta"/>
              </w:rPr>
              <w:t>R1</w:t>
            </w:r>
            <w:r>
              <w:rPr>
                <w:rFonts w:eastAsia="DengXian"/>
                <w:bCs/>
              </w:rPr>
              <w:t xml:space="preserve"> has concluded that both AO and OD-SSB are always in the same BWP, in our understanding the yellow-condition has already covered the blue condition, so no need to separately stated that</w:t>
            </w:r>
            <w:r w:rsidR="00887F98">
              <w:rPr>
                <w:rFonts w:eastAsia="DengXian"/>
                <w:bCs/>
              </w:rPr>
              <w:t xml:space="preserve">. </w:t>
            </w:r>
          </w:p>
          <w:p w14:paraId="3EE2700F" w14:textId="12EEE1EB" w:rsidR="00C16230" w:rsidRDefault="00C16230" w:rsidP="00887F98">
            <w:pPr>
              <w:pStyle w:val="BodyText"/>
              <w:keepNext/>
              <w:rPr>
                <w:rFonts w:eastAsia="DengXian"/>
                <w:bCs/>
              </w:rPr>
            </w:pPr>
          </w:p>
          <w:p w14:paraId="3208557A" w14:textId="77777777" w:rsidR="00C16230" w:rsidRPr="00C16230" w:rsidRDefault="00C16230" w:rsidP="00C16230">
            <w:pPr>
              <w:numPr>
                <w:ilvl w:val="1"/>
                <w:numId w:val="22"/>
              </w:numPr>
              <w:overflowPunct/>
              <w:autoSpaceDE/>
              <w:autoSpaceDN/>
              <w:adjustRightInd/>
              <w:spacing w:after="0"/>
              <w:contextualSpacing/>
              <w:jc w:val="both"/>
              <w:textAlignment w:val="auto"/>
              <w:rPr>
                <w:rFonts w:eastAsia="Malgun Gothic"/>
                <w:highlight w:val="magenta"/>
                <w:lang w:eastAsia="zh-CN"/>
              </w:rPr>
            </w:pPr>
            <w:r w:rsidRPr="00C16230">
              <w:rPr>
                <w:rFonts w:cs="Arial"/>
                <w:highlight w:val="magenta"/>
                <w:lang w:eastAsia="zh-CN"/>
              </w:rPr>
              <w:t>AO-SSB and OD-SSB are located in the same BWP</w:t>
            </w:r>
          </w:p>
          <w:p w14:paraId="715DAED0" w14:textId="77777777" w:rsidR="00C16230" w:rsidRPr="00C16230" w:rsidRDefault="00C16230" w:rsidP="00887F98">
            <w:pPr>
              <w:pStyle w:val="BodyText"/>
              <w:keepNext/>
              <w:rPr>
                <w:rFonts w:eastAsia="DengXian"/>
                <w:bCs/>
              </w:rPr>
            </w:pPr>
          </w:p>
          <w:p w14:paraId="2F456378" w14:textId="499A48AA" w:rsidR="00C16230" w:rsidRPr="00887F98" w:rsidRDefault="00C16230" w:rsidP="00887F98">
            <w:pPr>
              <w:pStyle w:val="BodyText"/>
              <w:keepNext/>
              <w:rPr>
                <w:rFonts w:eastAsia="DengXian"/>
                <w:bCs/>
              </w:rPr>
            </w:pPr>
          </w:p>
        </w:tc>
        <w:tc>
          <w:tcPr>
            <w:tcW w:w="6804" w:type="dxa"/>
          </w:tcPr>
          <w:p w14:paraId="6D85826E" w14:textId="77777777" w:rsidR="00B86A1C" w:rsidRDefault="00B86A1C" w:rsidP="00B86A1C">
            <w:pPr>
              <w:pStyle w:val="BodyText"/>
              <w:keepNext/>
              <w:rPr>
                <w:bCs/>
                <w:lang w:val="en-US"/>
              </w:rPr>
            </w:pPr>
            <w:r>
              <w:rPr>
                <w:bCs/>
                <w:lang w:val="en-US"/>
              </w:rPr>
              <w:t>From R2 spec perspective, it is not captured anywhere that “AO-SSB and OD-SSB are always configured in the same BWP”, besides, it is unclear what “SSB” in the yellow text means.</w:t>
            </w:r>
          </w:p>
          <w:p w14:paraId="35E9A827" w14:textId="77777777" w:rsidR="00B86A1C" w:rsidRDefault="00B86A1C" w:rsidP="00B86A1C">
            <w:pPr>
              <w:pStyle w:val="BodyText"/>
              <w:keepNext/>
              <w:rPr>
                <w:bCs/>
                <w:lang w:val="en-US"/>
              </w:rPr>
            </w:pPr>
            <w:r>
              <w:rPr>
                <w:bCs/>
                <w:lang w:val="en-US"/>
              </w:rPr>
              <w:t>To make it clearer, the text highlighted in blue can be placed after the text highlighted in yellow, for instance:</w:t>
            </w:r>
          </w:p>
          <w:p w14:paraId="5FE4B31D" w14:textId="77777777" w:rsidR="00B86A1C" w:rsidRDefault="00B86A1C" w:rsidP="00B86A1C">
            <w:pPr>
              <w:pStyle w:val="BodyText"/>
              <w:keepNext/>
              <w:rPr>
                <w:bCs/>
                <w:lang w:val="en-US"/>
              </w:rPr>
            </w:pPr>
          </w:p>
          <w:p w14:paraId="63B83C4B" w14:textId="77777777" w:rsidR="00B86A1C" w:rsidRDefault="00B86A1C" w:rsidP="00B86A1C">
            <w:pPr>
              <w:pStyle w:val="BodyText"/>
              <w:keepNext/>
              <w:rPr>
                <w:rFonts w:eastAsiaTheme="minorEastAsia"/>
                <w:lang w:eastAsia="ja-JP"/>
              </w:rPr>
            </w:pPr>
            <w:r w:rsidRPr="00CE3B75">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Pr>
                <w:highlight w:val="yellow"/>
              </w:rPr>
              <w:t xml:space="preserve"> </w:t>
            </w:r>
            <w:r w:rsidRPr="00D96112">
              <w:rPr>
                <w:highlight w:val="cyan"/>
              </w:rPr>
              <w:t>or</w:t>
            </w:r>
            <w:r w:rsidRPr="00887F98">
              <w:rPr>
                <w:highlight w:val="cyan"/>
              </w:rPr>
              <w:t xml:space="preserve"> the frequency domain resources of the OD-SSB associated to the serving cell</w:t>
            </w:r>
            <w:r w:rsidRPr="00CE3B75">
              <w:t xml:space="preserve">, and </w:t>
            </w:r>
            <w:r w:rsidRPr="00887F98">
              <w:rPr>
                <w:highlight w:val="green"/>
              </w:rPr>
              <w:t>are not configured with NCD-SSB for serving cell measurement</w:t>
            </w:r>
            <w:r w:rsidRPr="00CE3B75">
              <w:rPr>
                <w:rFonts w:eastAsiaTheme="minorEastAsia"/>
                <w:lang w:eastAsia="ja-JP"/>
              </w:rPr>
              <w:t>;</w:t>
            </w:r>
          </w:p>
          <w:p w14:paraId="2DEE0481" w14:textId="77777777" w:rsidR="00B86A1C" w:rsidRDefault="00B86A1C" w:rsidP="00B86A1C">
            <w:pPr>
              <w:pStyle w:val="BodyText"/>
              <w:keepNext/>
              <w:rPr>
                <w:bCs/>
                <w:lang w:val="en-US"/>
              </w:rPr>
            </w:pPr>
          </w:p>
          <w:p w14:paraId="1405CB50" w14:textId="1F2F9AFD" w:rsidR="00D45311" w:rsidRPr="00D45311" w:rsidRDefault="00B86A1C" w:rsidP="00B86A1C">
            <w:pPr>
              <w:pStyle w:val="BodyText"/>
              <w:keepNext/>
              <w:rPr>
                <w:bCs/>
                <w:lang w:val="en-US"/>
              </w:rPr>
            </w:pPr>
            <w:r>
              <w:rPr>
                <w:bCs/>
                <w:lang w:val="en-US"/>
              </w:rPr>
              <w:t>The suggestion from Apple is also fine for us.</w:t>
            </w:r>
          </w:p>
        </w:tc>
      </w:tr>
      <w:tr w:rsidR="00D45311" w:rsidRPr="00D45311" w14:paraId="0D4FD02C" w14:textId="77777777" w:rsidTr="003903A8">
        <w:trPr>
          <w:trHeight w:val="127"/>
        </w:trPr>
        <w:tc>
          <w:tcPr>
            <w:tcW w:w="1555" w:type="dxa"/>
          </w:tcPr>
          <w:p w14:paraId="1200CEAB" w14:textId="74723E5D" w:rsidR="00D45311" w:rsidRPr="00D45311" w:rsidRDefault="006663A1" w:rsidP="00D45311">
            <w:pPr>
              <w:pStyle w:val="BodyText"/>
              <w:keepNext/>
              <w:rPr>
                <w:bCs/>
                <w:lang w:val="en-US"/>
              </w:rPr>
            </w:pPr>
            <w:r>
              <w:rPr>
                <w:bCs/>
                <w:lang w:val="en-US"/>
              </w:rPr>
              <w:t>Nokia001</w:t>
            </w:r>
          </w:p>
        </w:tc>
        <w:tc>
          <w:tcPr>
            <w:tcW w:w="6525" w:type="dxa"/>
          </w:tcPr>
          <w:p w14:paraId="112869E1" w14:textId="77777777" w:rsidR="00D45311" w:rsidRDefault="006663A1" w:rsidP="00D45311">
            <w:pPr>
              <w:pStyle w:val="BodyText"/>
              <w:keepNext/>
              <w:rPr>
                <w:bCs/>
                <w:lang w:val="en-US"/>
              </w:rPr>
            </w:pPr>
            <w:r>
              <w:rPr>
                <w:bCs/>
                <w:lang w:val="en-US"/>
              </w:rPr>
              <w:t xml:space="preserve">Related to OPPO comment – what is the agreement this change is trying to implement? </w:t>
            </w:r>
          </w:p>
          <w:p w14:paraId="03A62492" w14:textId="77777777" w:rsidR="006663A1" w:rsidRDefault="006663A1" w:rsidP="00D45311">
            <w:pPr>
              <w:pStyle w:val="BodyText"/>
              <w:keepNext/>
              <w:rPr>
                <w:bCs/>
                <w:lang w:val="en-US"/>
              </w:rPr>
            </w:pPr>
          </w:p>
          <w:p w14:paraId="44053EBA" w14:textId="2A8D4369" w:rsidR="006663A1" w:rsidRPr="00D45311" w:rsidRDefault="006663A1" w:rsidP="00D45311">
            <w:pPr>
              <w:pStyle w:val="BodyText"/>
              <w:keepNext/>
              <w:rPr>
                <w:bCs/>
                <w:lang w:val="en-US"/>
              </w:rPr>
            </w:pPr>
            <w:r>
              <w:rPr>
                <w:bCs/>
                <w:lang w:val="en-US"/>
              </w:rPr>
              <w:t>We thought “</w:t>
            </w:r>
            <w:r w:rsidRPr="00CE3B75">
              <w:t>If the serving cell is associated with SSB, other than the initial BWP,</w:t>
            </w:r>
            <w:r>
              <w:rPr>
                <w:bCs/>
                <w:lang w:val="en-US"/>
              </w:rPr>
              <w:t>” is already saying “serving cell associated with SSB” which is indeed one with servingCellMO-OD (or whatever will be final ASN.1 name) is doing that. So maybe we don’t need any changes here?</w:t>
            </w:r>
          </w:p>
        </w:tc>
        <w:tc>
          <w:tcPr>
            <w:tcW w:w="6804" w:type="dxa"/>
          </w:tcPr>
          <w:p w14:paraId="18443FC9" w14:textId="0037479D" w:rsidR="00D45311" w:rsidRPr="00D45311" w:rsidRDefault="00B86A1C" w:rsidP="00D45311">
            <w:pPr>
              <w:pStyle w:val="BodyText"/>
              <w:keepNext/>
              <w:rPr>
                <w:bCs/>
                <w:i/>
                <w:lang w:val="en-US"/>
              </w:rPr>
            </w:pPr>
            <w:r w:rsidRPr="00D96112">
              <w:rPr>
                <w:bCs/>
                <w:lang w:val="en-US"/>
              </w:rPr>
              <w:t>It is unc</w:t>
            </w:r>
            <w:r>
              <w:rPr>
                <w:bCs/>
                <w:lang w:val="en-US"/>
              </w:rPr>
              <w:t>l</w:t>
            </w:r>
            <w:r w:rsidRPr="00D96112">
              <w:rPr>
                <w:bCs/>
                <w:lang w:val="en-US"/>
              </w:rPr>
              <w:t xml:space="preserve">ear whether “SSB” here refers to </w:t>
            </w:r>
            <w:r>
              <w:rPr>
                <w:bCs/>
                <w:lang w:val="en-US"/>
              </w:rPr>
              <w:t>AO-SSB or OD-SSB.</w:t>
            </w:r>
          </w:p>
        </w:tc>
      </w:tr>
      <w:tr w:rsidR="00D45311" w:rsidRPr="00D45311" w14:paraId="1F7913BF" w14:textId="77777777" w:rsidTr="003903A8">
        <w:trPr>
          <w:trHeight w:val="127"/>
        </w:trPr>
        <w:tc>
          <w:tcPr>
            <w:tcW w:w="1555" w:type="dxa"/>
          </w:tcPr>
          <w:p w14:paraId="49F1ECC5" w14:textId="71102B4D" w:rsidR="00D45311" w:rsidRPr="00D45311" w:rsidRDefault="00206E96" w:rsidP="00D45311">
            <w:pPr>
              <w:pStyle w:val="BodyText"/>
              <w:keepNext/>
              <w:rPr>
                <w:bCs/>
                <w:lang w:val="en-US"/>
              </w:rPr>
            </w:pPr>
            <w:r>
              <w:rPr>
                <w:bCs/>
                <w:lang w:val="en-US"/>
              </w:rPr>
              <w:lastRenderedPageBreak/>
              <w:t>Apple001</w:t>
            </w:r>
          </w:p>
        </w:tc>
        <w:tc>
          <w:tcPr>
            <w:tcW w:w="6525" w:type="dxa"/>
          </w:tcPr>
          <w:p w14:paraId="5CC9FBA1" w14:textId="35FBC57C" w:rsidR="00206E96" w:rsidRPr="00206E96" w:rsidRDefault="00206E96" w:rsidP="00206E96">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 xml:space="preserve">if any of the UE configured BWPs do not contain the frequency domain resources of </w:t>
            </w:r>
            <w:r w:rsidRPr="00206E96">
              <w:rPr>
                <w:b/>
                <w:bCs/>
                <w:highlight w:val="yellow"/>
              </w:rPr>
              <w:t>the SSB associated to the initial DL BWP</w:t>
            </w:r>
            <w:r w:rsidRPr="00CE3B75">
              <w:t xml:space="preserve">, and </w:t>
            </w:r>
            <w:r w:rsidRPr="00887F98">
              <w:rPr>
                <w:highlight w:val="green"/>
              </w:rPr>
              <w:t>are not configured with NCD-SSB for serving cell measurement</w:t>
            </w:r>
            <w:ins w:id="5" w:author="POST131" w:date="2025-09-01T12:23:00Z">
              <w:r>
                <w:t>,</w:t>
              </w:r>
            </w:ins>
            <w:ins w:id="6"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7" w:author="POST131" w:date="2025-09-01T12:23:00Z">
              <w:r w:rsidRPr="00887F98">
                <w:rPr>
                  <w:highlight w:val="cyan"/>
                </w:rPr>
                <w:t>OD-</w:t>
              </w:r>
            </w:ins>
            <w:ins w:id="8" w:author="POST131" w:date="2025-09-01T12:22:00Z">
              <w:r w:rsidRPr="00887F98">
                <w:rPr>
                  <w:highlight w:val="cyan"/>
                </w:rPr>
                <w:t>SSB associated to the serving cell</w:t>
              </w:r>
            </w:ins>
            <w:r w:rsidRPr="00CE3B75">
              <w:rPr>
                <w:rFonts w:eastAsiaTheme="minorEastAsia"/>
                <w:lang w:eastAsia="ja-JP"/>
              </w:rPr>
              <w:t>;</w:t>
            </w:r>
          </w:p>
          <w:p w14:paraId="230CDCCC" w14:textId="77777777" w:rsidR="00206E96" w:rsidRDefault="00206E96" w:rsidP="00D45311">
            <w:pPr>
              <w:pStyle w:val="BodyText"/>
              <w:keepNext/>
              <w:rPr>
                <w:bCs/>
                <w:lang w:val="en-US"/>
              </w:rPr>
            </w:pPr>
            <w:r>
              <w:rPr>
                <w:bCs/>
                <w:lang w:val="en-US"/>
              </w:rPr>
              <w:t xml:space="preserve">Regarding to the issue raised by OPPO001, we also think the current change is complicated. </w:t>
            </w:r>
          </w:p>
          <w:p w14:paraId="33CA0523" w14:textId="77777777" w:rsidR="00977ACD" w:rsidRDefault="00206E96" w:rsidP="00D45311">
            <w:pPr>
              <w:pStyle w:val="BodyText"/>
              <w:keepNext/>
              <w:rPr>
                <w:bCs/>
                <w:lang w:val="en-US"/>
              </w:rPr>
            </w:pPr>
            <w:r>
              <w:rPr>
                <w:bCs/>
                <w:lang w:val="en-US"/>
              </w:rPr>
              <w:t>In our understanding,</w:t>
            </w:r>
            <w:r w:rsidR="00BC4CB1">
              <w:rPr>
                <w:bCs/>
                <w:lang w:val="en-US"/>
              </w:rPr>
              <w:t xml:space="preserve"> </w:t>
            </w:r>
            <w:r>
              <w:rPr>
                <w:bCs/>
                <w:lang w:val="en-US"/>
              </w:rPr>
              <w:t>the ambiguity part is what “</w:t>
            </w:r>
            <w:r w:rsidRPr="00BC4CB1">
              <w:rPr>
                <w:b/>
                <w:lang w:val="en-US"/>
              </w:rPr>
              <w:t>the SSB associated to the initial DL BWP</w:t>
            </w:r>
            <w:r>
              <w:rPr>
                <w:bCs/>
                <w:lang w:val="en-US"/>
              </w:rPr>
              <w:t xml:space="preserve">” means </w:t>
            </w:r>
            <w:r w:rsidR="00BC4CB1">
              <w:rPr>
                <w:bCs/>
                <w:lang w:val="en-US"/>
              </w:rPr>
              <w:t xml:space="preserve">(i.e. whether “the SSB” </w:t>
            </w:r>
            <w:r w:rsidR="00BD1B4C">
              <w:rPr>
                <w:bCs/>
                <w:lang w:val="en-US"/>
              </w:rPr>
              <w:t>means</w:t>
            </w:r>
            <w:r w:rsidR="00BC4CB1">
              <w:rPr>
                <w:bCs/>
                <w:lang w:val="en-US"/>
              </w:rPr>
              <w:t xml:space="preserve"> OD-SSB or AO-SSB</w:t>
            </w:r>
            <w:r w:rsidR="00B44A0D">
              <w:rPr>
                <w:bCs/>
                <w:lang w:val="en-US"/>
              </w:rPr>
              <w:t xml:space="preserve"> or both</w:t>
            </w:r>
            <w:r w:rsidR="00BC4CB1">
              <w:rPr>
                <w:bCs/>
                <w:lang w:val="en-US"/>
              </w:rPr>
              <w:t xml:space="preserve">). </w:t>
            </w:r>
            <w:r w:rsidR="00307FAF">
              <w:rPr>
                <w:bCs/>
                <w:lang w:val="en-US"/>
              </w:rPr>
              <w:t>Our understanding is “both”</w:t>
            </w:r>
            <w:r w:rsidR="00977ACD">
              <w:rPr>
                <w:bCs/>
                <w:lang w:val="en-US"/>
              </w:rPr>
              <w:t>:</w:t>
            </w:r>
          </w:p>
          <w:p w14:paraId="3FFC94A2" w14:textId="18072D0C" w:rsidR="00977ACD" w:rsidRDefault="00977ACD" w:rsidP="00977ACD">
            <w:pPr>
              <w:pStyle w:val="BodyText"/>
              <w:keepNext/>
              <w:numPr>
                <w:ilvl w:val="0"/>
                <w:numId w:val="23"/>
              </w:numPr>
              <w:rPr>
                <w:bCs/>
                <w:lang w:val="en-US"/>
              </w:rPr>
            </w:pPr>
            <w:r>
              <w:rPr>
                <w:bCs/>
                <w:lang w:val="en-US"/>
              </w:rPr>
              <w:t>N</w:t>
            </w:r>
            <w:r w:rsidR="000A0A51">
              <w:rPr>
                <w:bCs/>
                <w:lang w:val="en-US"/>
              </w:rPr>
              <w:t>ote that frequency domain resource may be different between OD-SSB and AO-SSB if they are in different frequencies</w:t>
            </w:r>
            <w:r>
              <w:rPr>
                <w:bCs/>
                <w:lang w:val="en-US"/>
              </w:rPr>
              <w:t xml:space="preserve"> (although they are always in same BWP as OPPO quoted R1 agreement)</w:t>
            </w:r>
            <w:r w:rsidR="00C77236">
              <w:rPr>
                <w:bCs/>
                <w:lang w:val="en-US"/>
              </w:rPr>
              <w:t xml:space="preserve">. </w:t>
            </w:r>
          </w:p>
          <w:p w14:paraId="34C08D44" w14:textId="388AD7B6" w:rsidR="00505D27" w:rsidRDefault="00C77236" w:rsidP="00977ACD">
            <w:pPr>
              <w:pStyle w:val="BodyText"/>
              <w:keepNext/>
              <w:numPr>
                <w:ilvl w:val="0"/>
                <w:numId w:val="23"/>
              </w:numPr>
              <w:rPr>
                <w:bCs/>
                <w:lang w:val="en-US"/>
              </w:rPr>
            </w:pPr>
            <w:r>
              <w:rPr>
                <w:bCs/>
                <w:lang w:val="en-US"/>
              </w:rPr>
              <w:t xml:space="preserve">Any overlapping </w:t>
            </w:r>
            <w:r w:rsidR="00EB44DF">
              <w:rPr>
                <w:bCs/>
                <w:lang w:val="en-US"/>
              </w:rPr>
              <w:t xml:space="preserve">of frequency resource </w:t>
            </w:r>
            <w:r w:rsidR="006E2FB8">
              <w:rPr>
                <w:bCs/>
                <w:lang w:val="en-US"/>
              </w:rPr>
              <w:t xml:space="preserve">of SSB </w:t>
            </w:r>
            <w:r>
              <w:rPr>
                <w:bCs/>
                <w:lang w:val="en-US"/>
              </w:rPr>
              <w:t>needs measurement gap</w:t>
            </w:r>
            <w:r w:rsidR="00307FAF">
              <w:rPr>
                <w:bCs/>
                <w:lang w:val="en-US"/>
              </w:rPr>
              <w:t>.</w:t>
            </w:r>
            <w:r w:rsidR="00A629FC">
              <w:rPr>
                <w:bCs/>
                <w:lang w:val="en-US"/>
              </w:rPr>
              <w:t xml:space="preserve"> </w:t>
            </w:r>
            <w:r w:rsidR="00307FAF">
              <w:rPr>
                <w:bCs/>
                <w:lang w:val="en-US"/>
              </w:rPr>
              <w:t xml:space="preserve"> </w:t>
            </w:r>
          </w:p>
          <w:p w14:paraId="6ACCBF8D" w14:textId="39315617" w:rsidR="00BC4CB1" w:rsidRDefault="00BC4CB1" w:rsidP="00505D27">
            <w:pPr>
              <w:pStyle w:val="BodyText"/>
              <w:keepNext/>
              <w:rPr>
                <w:bCs/>
                <w:lang w:val="en-US"/>
              </w:rPr>
            </w:pPr>
            <w:r>
              <w:rPr>
                <w:bCs/>
                <w:lang w:val="en-US"/>
              </w:rPr>
              <w:t xml:space="preserve">Thus, maybe we can </w:t>
            </w:r>
            <w:r w:rsidR="000A0A51">
              <w:rPr>
                <w:bCs/>
                <w:lang w:val="en-US"/>
              </w:rPr>
              <w:t>just clarify</w:t>
            </w:r>
            <w:r>
              <w:rPr>
                <w:bCs/>
                <w:lang w:val="en-US"/>
              </w:rPr>
              <w:t xml:space="preserve"> it as </w:t>
            </w:r>
            <w:r w:rsidR="001406AD">
              <w:rPr>
                <w:bCs/>
                <w:lang w:val="en-US"/>
              </w:rPr>
              <w:t>a NOTE. We provide an example below:</w:t>
            </w:r>
          </w:p>
          <w:p w14:paraId="75CC0C8D" w14:textId="1BDC8DD0" w:rsidR="00206E96" w:rsidRDefault="00BC4CB1" w:rsidP="00D45311">
            <w:pPr>
              <w:pStyle w:val="BodyText"/>
              <w:keepNext/>
            </w:pPr>
            <w:r w:rsidRPr="00CE3B75">
              <w:t xml:space="preserve">If the serving cell is associated with SSB, other than the initial BWP, </w:t>
            </w:r>
            <w:r w:rsidRPr="00BC4CB1">
              <w:t>if any of the UE configured BWPs do not contain the frequency domain resources of the SSB associated to the initial DL BWP,</w:t>
            </w:r>
            <w:r w:rsidRPr="00CE3B75">
              <w:t xml:space="preserve"> and </w:t>
            </w:r>
            <w:r w:rsidRPr="00BC4CB1">
              <w:t>are not configured with NCD-SSB for serving cell measurement</w:t>
            </w:r>
            <w:r>
              <w:t>;</w:t>
            </w:r>
          </w:p>
          <w:p w14:paraId="1ACC7C0D" w14:textId="7851A4D0" w:rsidR="000A0A51" w:rsidRPr="00A71DA0" w:rsidRDefault="000A0A51" w:rsidP="000A0A51">
            <w:pPr>
              <w:pStyle w:val="NO"/>
              <w:rPr>
                <w:color w:val="EE0000"/>
                <w:u w:val="single"/>
              </w:rPr>
            </w:pPr>
            <w:r w:rsidRPr="00A71DA0">
              <w:rPr>
                <w:color w:val="EE0000"/>
                <w:u w:val="single"/>
              </w:rPr>
              <w:t>NOTE 2c:</w:t>
            </w:r>
            <w:r w:rsidRPr="00A71DA0">
              <w:rPr>
                <w:color w:val="EE0000"/>
                <w:u w:val="single"/>
              </w:rPr>
              <w:tab/>
              <w:t xml:space="preserve">when </w:t>
            </w:r>
            <w:r w:rsidRPr="00A71DA0">
              <w:rPr>
                <w:color w:val="EE0000"/>
                <w:u w:val="single"/>
                <w:lang w:val="en-US"/>
              </w:rPr>
              <w:t>the serving cell is associated with both</w:t>
            </w:r>
            <w:r w:rsidR="00262D17">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sidR="004E6E0A">
              <w:rPr>
                <w:color w:val="EE0000"/>
                <w:u w:val="single"/>
              </w:rPr>
              <w:t>“</w:t>
            </w:r>
            <w:r w:rsidR="00F25070" w:rsidRPr="00A71DA0">
              <w:rPr>
                <w:color w:val="EE0000"/>
                <w:u w:val="single"/>
              </w:rPr>
              <w:t>the SSB associated to the initial DL BWP</w:t>
            </w:r>
            <w:r w:rsidR="004E6E0A">
              <w:rPr>
                <w:color w:val="EE0000"/>
                <w:u w:val="single"/>
              </w:rPr>
              <w:t>”</w:t>
            </w:r>
            <w:r w:rsidR="00F25070" w:rsidRPr="00A71DA0">
              <w:rPr>
                <w:color w:val="EE0000"/>
                <w:u w:val="single"/>
              </w:rPr>
              <w:t xml:space="preserve"> </w:t>
            </w:r>
            <w:r w:rsidR="00DA1709">
              <w:rPr>
                <w:color w:val="EE0000"/>
                <w:u w:val="single"/>
              </w:rPr>
              <w:t>includes</w:t>
            </w:r>
            <w:r w:rsidR="00F25070" w:rsidRPr="00A71DA0">
              <w:rPr>
                <w:color w:val="EE0000"/>
                <w:u w:val="single"/>
              </w:rPr>
              <w:t xml:space="preserve"> both SSB and OD-SSB.</w:t>
            </w:r>
          </w:p>
          <w:p w14:paraId="611511AA" w14:textId="2C3CC70A" w:rsidR="00D45311" w:rsidRPr="00A71DA0" w:rsidRDefault="00D45311" w:rsidP="00D45311">
            <w:pPr>
              <w:pStyle w:val="BodyText"/>
              <w:keepNext/>
              <w:rPr>
                <w:bCs/>
              </w:rPr>
            </w:pPr>
          </w:p>
        </w:tc>
        <w:tc>
          <w:tcPr>
            <w:tcW w:w="6804" w:type="dxa"/>
          </w:tcPr>
          <w:p w14:paraId="00538745" w14:textId="13B3EDEB" w:rsidR="00D45311" w:rsidRPr="00D45311" w:rsidRDefault="00B86A1C" w:rsidP="00D45311">
            <w:pPr>
              <w:pStyle w:val="BodyText"/>
              <w:keepNext/>
              <w:rPr>
                <w:bCs/>
                <w:lang w:val="en-US"/>
              </w:rPr>
            </w:pPr>
            <w:r>
              <w:rPr>
                <w:bCs/>
                <w:lang w:val="en-US"/>
              </w:rPr>
              <w:t>A note is also fine.</w:t>
            </w:r>
          </w:p>
        </w:tc>
      </w:tr>
      <w:tr w:rsidR="00D45311" w:rsidRPr="00D45311" w14:paraId="1E752356" w14:textId="77777777" w:rsidTr="003903A8">
        <w:trPr>
          <w:trHeight w:val="127"/>
        </w:trPr>
        <w:tc>
          <w:tcPr>
            <w:tcW w:w="1555" w:type="dxa"/>
          </w:tcPr>
          <w:p w14:paraId="02F74A47" w14:textId="6DC77F7D" w:rsidR="00D45311" w:rsidRPr="00D45311" w:rsidRDefault="00F242B7" w:rsidP="00D45311">
            <w:pPr>
              <w:pStyle w:val="BodyText"/>
              <w:keepNext/>
              <w:rPr>
                <w:bCs/>
                <w:lang w:val="en-US"/>
              </w:rPr>
            </w:pPr>
            <w:r>
              <w:rPr>
                <w:bCs/>
                <w:lang w:val="en-US"/>
              </w:rPr>
              <w:t>vivo 001</w:t>
            </w:r>
          </w:p>
        </w:tc>
        <w:tc>
          <w:tcPr>
            <w:tcW w:w="6525" w:type="dxa"/>
          </w:tcPr>
          <w:p w14:paraId="0BFAEDB0" w14:textId="1AA72B60" w:rsidR="00D45311" w:rsidRDefault="00CA753F" w:rsidP="00D45311">
            <w:pPr>
              <w:pStyle w:val="BodyText"/>
              <w:keepNext/>
              <w:rPr>
                <w:rFonts w:eastAsiaTheme="minorEastAsia"/>
                <w:lang w:eastAsia="ja-JP"/>
              </w:rPr>
            </w:pPr>
            <w:r>
              <w:rPr>
                <w:rFonts w:eastAsiaTheme="minorEastAsia"/>
              </w:rPr>
              <w:t xml:space="preserve">Regarding </w:t>
            </w:r>
            <w:r w:rsidR="00692F30">
              <w:rPr>
                <w:rFonts w:eastAsiaTheme="minorEastAsia"/>
              </w:rPr>
              <w:t>OPPO001, we agree with Nokia’s understanding</w:t>
            </w:r>
            <w:r w:rsidR="00F25DDE">
              <w:rPr>
                <w:rFonts w:eastAsiaTheme="minorEastAsia"/>
              </w:rPr>
              <w:t xml:space="preserve"> that we don’t need the change here or a note for clarification</w:t>
            </w:r>
            <w:r w:rsidR="00692F30">
              <w:rPr>
                <w:rFonts w:eastAsiaTheme="minorEastAsia"/>
              </w:rPr>
              <w:t>.</w:t>
            </w:r>
          </w:p>
          <w:p w14:paraId="2C1AE8FA" w14:textId="77777777" w:rsidR="00F242B7" w:rsidRDefault="00F242B7" w:rsidP="00D45311">
            <w:pPr>
              <w:pStyle w:val="BodyText"/>
              <w:keepNext/>
              <w:rPr>
                <w:bCs/>
                <w:lang w:val="en-US"/>
              </w:rPr>
            </w:pPr>
          </w:p>
          <w:p w14:paraId="63E93705" w14:textId="6DBAA362" w:rsidR="00F242B7" w:rsidRPr="00D45311" w:rsidRDefault="00F242B7" w:rsidP="00D45311">
            <w:pPr>
              <w:pStyle w:val="BodyText"/>
              <w:keepNext/>
              <w:rPr>
                <w:bCs/>
                <w:lang w:val="en-US"/>
              </w:rPr>
            </w:pPr>
          </w:p>
        </w:tc>
        <w:tc>
          <w:tcPr>
            <w:tcW w:w="6804" w:type="dxa"/>
          </w:tcPr>
          <w:p w14:paraId="04F0A1A0" w14:textId="109CD7B5" w:rsidR="00D45311" w:rsidRPr="00D45311" w:rsidRDefault="00B86A1C" w:rsidP="00D45311">
            <w:pPr>
              <w:pStyle w:val="BodyText"/>
              <w:keepNext/>
              <w:rPr>
                <w:bCs/>
                <w:lang w:val="en-US"/>
              </w:rPr>
            </w:pPr>
            <w:r>
              <w:rPr>
                <w:bCs/>
                <w:lang w:val="en-US"/>
              </w:rPr>
              <w:t>See comments to Oppo</w:t>
            </w:r>
            <w:r w:rsidR="007162DE">
              <w:rPr>
                <w:bCs/>
                <w:lang w:val="en-US"/>
              </w:rPr>
              <w:t>001</w:t>
            </w:r>
            <w:r>
              <w:rPr>
                <w:bCs/>
                <w:lang w:val="en-US"/>
              </w:rPr>
              <w:t>.</w:t>
            </w:r>
          </w:p>
        </w:tc>
      </w:tr>
      <w:tr w:rsidR="00D45311" w:rsidRPr="00D45311" w14:paraId="2F6E71A2" w14:textId="77777777" w:rsidTr="003903A8">
        <w:trPr>
          <w:trHeight w:val="127"/>
        </w:trPr>
        <w:tc>
          <w:tcPr>
            <w:tcW w:w="1555" w:type="dxa"/>
          </w:tcPr>
          <w:p w14:paraId="0ED9542A" w14:textId="749B2546" w:rsidR="00D45311" w:rsidRPr="00D729F3" w:rsidRDefault="00D729F3" w:rsidP="00D729F3">
            <w:pPr>
              <w:pStyle w:val="BodyText"/>
              <w:keepNext/>
              <w:rPr>
                <w:rFonts w:eastAsia="DengXian"/>
                <w:bCs/>
                <w:lang w:val="en-US"/>
              </w:rPr>
            </w:pPr>
            <w:r>
              <w:rPr>
                <w:rFonts w:eastAsia="DengXian" w:hint="eastAsia"/>
                <w:bCs/>
                <w:lang w:val="en-US"/>
              </w:rPr>
              <w:t>X</w:t>
            </w:r>
            <w:r>
              <w:rPr>
                <w:rFonts w:eastAsia="DengXian"/>
                <w:bCs/>
                <w:lang w:val="en-US"/>
              </w:rPr>
              <w:t>iaomi</w:t>
            </w:r>
          </w:p>
        </w:tc>
        <w:tc>
          <w:tcPr>
            <w:tcW w:w="6525" w:type="dxa"/>
          </w:tcPr>
          <w:p w14:paraId="427E9265" w14:textId="23F7721E" w:rsidR="00D45311" w:rsidRPr="00D729F3" w:rsidRDefault="00D729F3" w:rsidP="00D45311">
            <w:pPr>
              <w:pStyle w:val="BodyText"/>
              <w:keepNext/>
              <w:rPr>
                <w:rFonts w:eastAsia="DengXian"/>
                <w:bCs/>
                <w:lang w:val="en-US"/>
              </w:rPr>
            </w:pPr>
            <w:r>
              <w:rPr>
                <w:rFonts w:eastAsia="DengXian"/>
                <w:bCs/>
                <w:lang w:val="en-US"/>
              </w:rPr>
              <w:t xml:space="preserve">We prefer to add a note as proposed by Apple. </w:t>
            </w:r>
          </w:p>
        </w:tc>
        <w:tc>
          <w:tcPr>
            <w:tcW w:w="6804" w:type="dxa"/>
          </w:tcPr>
          <w:p w14:paraId="0CC2FCF1" w14:textId="7FD03C49" w:rsidR="00D45311" w:rsidRPr="00D45311" w:rsidRDefault="00B86A1C" w:rsidP="00D45311">
            <w:pPr>
              <w:pStyle w:val="BodyText"/>
              <w:keepNext/>
              <w:rPr>
                <w:bCs/>
                <w:i/>
                <w:lang w:val="en-US"/>
              </w:rPr>
            </w:pPr>
            <w:r>
              <w:rPr>
                <w:bCs/>
                <w:lang w:val="en-US"/>
              </w:rPr>
              <w:t>A note is also fine.</w:t>
            </w:r>
          </w:p>
        </w:tc>
      </w:tr>
      <w:tr w:rsidR="00D45311" w:rsidRPr="00D45311" w14:paraId="2C036CE3" w14:textId="77777777" w:rsidTr="003903A8">
        <w:trPr>
          <w:trHeight w:val="127"/>
        </w:trPr>
        <w:tc>
          <w:tcPr>
            <w:tcW w:w="1555" w:type="dxa"/>
          </w:tcPr>
          <w:p w14:paraId="3B0A23A7" w14:textId="77777777" w:rsidR="00D45311" w:rsidRPr="00D45311" w:rsidRDefault="00D45311" w:rsidP="00D45311">
            <w:pPr>
              <w:pStyle w:val="BodyText"/>
              <w:keepNext/>
              <w:rPr>
                <w:bCs/>
                <w:lang w:val="en-US"/>
              </w:rPr>
            </w:pPr>
          </w:p>
        </w:tc>
        <w:tc>
          <w:tcPr>
            <w:tcW w:w="6525" w:type="dxa"/>
          </w:tcPr>
          <w:p w14:paraId="0F06824E" w14:textId="77777777" w:rsidR="00D45311" w:rsidRPr="00D45311" w:rsidRDefault="00D45311"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2"/>
      <w:footerReference w:type="default" r:id="rId13"/>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516A" w14:textId="77777777" w:rsidR="007D09E9" w:rsidRDefault="007D09E9">
      <w:pPr>
        <w:spacing w:after="0"/>
      </w:pPr>
      <w:r>
        <w:separator/>
      </w:r>
    </w:p>
  </w:endnote>
  <w:endnote w:type="continuationSeparator" w:id="0">
    <w:p w14:paraId="2C183240" w14:textId="77777777" w:rsidR="007D09E9" w:rsidRDefault="007D09E9">
      <w:pPr>
        <w:spacing w:after="0"/>
      </w:pPr>
      <w:r>
        <w:continuationSeparator/>
      </w:r>
    </w:p>
  </w:endnote>
  <w:endnote w:type="continuationNotice" w:id="1">
    <w:p w14:paraId="107957F2" w14:textId="77777777" w:rsidR="007D09E9" w:rsidRDefault="007D09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B9EF" w14:textId="77777777" w:rsidR="007D09E9" w:rsidRDefault="007D09E9">
      <w:pPr>
        <w:spacing w:after="0"/>
      </w:pPr>
      <w:r>
        <w:separator/>
      </w:r>
    </w:p>
  </w:footnote>
  <w:footnote w:type="continuationSeparator" w:id="0">
    <w:p w14:paraId="1C553DE1" w14:textId="77777777" w:rsidR="007D09E9" w:rsidRDefault="007D09E9">
      <w:pPr>
        <w:spacing w:after="0"/>
      </w:pPr>
      <w:r>
        <w:continuationSeparator/>
      </w:r>
    </w:p>
  </w:footnote>
  <w:footnote w:type="continuationNotice" w:id="1">
    <w:p w14:paraId="102883E1" w14:textId="77777777" w:rsidR="007D09E9" w:rsidRDefault="007D09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C5041"/>
    <w:multiLevelType w:val="hybridMultilevel"/>
    <w:tmpl w:val="B33805D2"/>
    <w:lvl w:ilvl="0" w:tplc="01382AEA">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81345AB"/>
    <w:multiLevelType w:val="hybridMultilevel"/>
    <w:tmpl w:val="D2D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9"/>
  </w:num>
  <w:num w:numId="11">
    <w:abstractNumId w:val="3"/>
  </w:num>
  <w:num w:numId="12">
    <w:abstractNumId w:val="0"/>
  </w:num>
  <w:num w:numId="13">
    <w:abstractNumId w:val="20"/>
  </w:num>
  <w:num w:numId="14">
    <w:abstractNumId w:val="16"/>
  </w:num>
  <w:num w:numId="15">
    <w:abstractNumId w:val="4"/>
  </w:num>
  <w:num w:numId="16">
    <w:abstractNumId w:val="11"/>
  </w:num>
  <w:num w:numId="17">
    <w:abstractNumId w:val="5"/>
  </w:num>
  <w:num w:numId="18">
    <w:abstractNumId w:val="15"/>
  </w:num>
  <w:num w:numId="19">
    <w:abstractNumId w:val="7"/>
  </w:num>
  <w:num w:numId="20">
    <w:abstractNumId w:val="14"/>
  </w:num>
  <w:num w:numId="21">
    <w:abstractNumId w:val="8"/>
  </w:num>
  <w:num w:numId="22">
    <w:abstractNumId w:val="10"/>
  </w:num>
  <w:num w:numId="23">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E11"/>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0A51"/>
    <w:rsid w:val="000A1B12"/>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6AD"/>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6E96"/>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2D17"/>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07FAF"/>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4CE"/>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3D4"/>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6E0A"/>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D27"/>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3A1"/>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F3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2FB8"/>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2DE"/>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1E24"/>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09E9"/>
    <w:rsid w:val="007D161F"/>
    <w:rsid w:val="007D1A32"/>
    <w:rsid w:val="007D1EB5"/>
    <w:rsid w:val="007D24D2"/>
    <w:rsid w:val="007D5070"/>
    <w:rsid w:val="007D5A7C"/>
    <w:rsid w:val="007D727D"/>
    <w:rsid w:val="007E258F"/>
    <w:rsid w:val="007E3509"/>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87F98"/>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77ACD"/>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9FC"/>
    <w:rsid w:val="00A64D89"/>
    <w:rsid w:val="00A64FBD"/>
    <w:rsid w:val="00A66E10"/>
    <w:rsid w:val="00A7066C"/>
    <w:rsid w:val="00A71131"/>
    <w:rsid w:val="00A71A04"/>
    <w:rsid w:val="00A71C19"/>
    <w:rsid w:val="00A71DA0"/>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631"/>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A0D"/>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6A1C"/>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CB1"/>
    <w:rsid w:val="00BC55CB"/>
    <w:rsid w:val="00BC772F"/>
    <w:rsid w:val="00BD081B"/>
    <w:rsid w:val="00BD1B4C"/>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0D02"/>
    <w:rsid w:val="00C1204A"/>
    <w:rsid w:val="00C12ADB"/>
    <w:rsid w:val="00C137F7"/>
    <w:rsid w:val="00C13B7B"/>
    <w:rsid w:val="00C13BE1"/>
    <w:rsid w:val="00C147C3"/>
    <w:rsid w:val="00C158A9"/>
    <w:rsid w:val="00C16230"/>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226"/>
    <w:rsid w:val="00C768FA"/>
    <w:rsid w:val="00C76D83"/>
    <w:rsid w:val="00C77064"/>
    <w:rsid w:val="00C77236"/>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A753F"/>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9F3"/>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709"/>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AD1"/>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6BA"/>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44DF"/>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2B7"/>
    <w:rsid w:val="00F2445C"/>
    <w:rsid w:val="00F24C0B"/>
    <w:rsid w:val="00F24DEC"/>
    <w:rsid w:val="00F25070"/>
    <w:rsid w:val="00F25DDE"/>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6A4F"/>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716"/>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2">
    <w:name w:val="B2"/>
    <w:basedOn w:val="List2"/>
    <w:link w:val="B2Char"/>
    <w:qFormat/>
    <w:rsid w:val="00887F98"/>
    <w:pPr>
      <w:ind w:leftChars="0" w:left="851" w:firstLineChars="0" w:hanging="284"/>
      <w:contextualSpacing w:val="0"/>
    </w:pPr>
    <w:rPr>
      <w:lang w:eastAsia="zh-CN"/>
    </w:rPr>
  </w:style>
  <w:style w:type="character" w:customStyle="1" w:styleId="B2Char">
    <w:name w:val="B2 Char"/>
    <w:link w:val="B2"/>
    <w:qFormat/>
    <w:rsid w:val="00887F98"/>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887F98"/>
    <w:pPr>
      <w:ind w:leftChars="200" w:left="100" w:hangingChars="200" w:hanging="200"/>
      <w:contextualSpacing/>
    </w:pPr>
  </w:style>
  <w:style w:type="paragraph" w:customStyle="1" w:styleId="NO">
    <w:name w:val="NO"/>
    <w:basedOn w:val="Normal"/>
    <w:link w:val="NOZchn"/>
    <w:qFormat/>
    <w:rsid w:val="000A0A51"/>
    <w:pPr>
      <w:keepLines/>
      <w:ind w:left="1135" w:hanging="851"/>
    </w:pPr>
    <w:rPr>
      <w:lang w:eastAsia="zh-CN"/>
    </w:rPr>
  </w:style>
  <w:style w:type="character" w:customStyle="1" w:styleId="NOZchn">
    <w:name w:val="NO Zchn"/>
    <w:link w:val="NO"/>
    <w:rsid w:val="000A0A51"/>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RBI5PAMIO524-1616901215-55761</_dlc_DocId>
    <_dlc_DocIdUrl xmlns="71c5aaf6-e6ce-465b-b873-5148d2a4c105">
      <Url>https://nokia.sharepoint.com/sites/gxp/_layouts/15/DocIdRedir.aspx?ID=RBI5PAMIO524-1616901215-55761</Url>
      <Description>RBI5PAMIO524-1616901215-55761</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F277701B-1655-4D63-8828-6EEAA1E5FDAB}">
  <ds:schemaRefs>
    <ds:schemaRef ds:uri="Microsoft.SharePoint.Taxonomy.ContentTypeSync"/>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0198200B-4243-446F-BF45-1AD843EF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926609-B3C7-435A-B4B3-525ECB76CF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POST131</cp:lastModifiedBy>
  <cp:revision>4</cp:revision>
  <dcterms:created xsi:type="dcterms:W3CDTF">2025-09-04T05:13:00Z</dcterms:created>
  <dcterms:modified xsi:type="dcterms:W3CDTF">2025-09-04T08:26:00Z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dc0df108-809e-4f0f-9eaf-5bd46d1835e4</vt:lpwstr>
  </property>
  <property fmtid="{D5CDD505-2E9C-101B-9397-08002B2CF9AE}" pid="12" name="CWMcfbc7680894c11f08000498700004887">
    <vt:lpwstr>CWM0DFvCer8AA9xISttyOOoFmwe2a4t6wp+rwEgjzVhq21VdxN8KHpkhy5Lyb5/hkKZ3KNxxmWTfkQmCuggfkGgaw==</vt:lpwstr>
  </property>
</Properties>
</file>