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r>
        <w:rPr>
          <w:rFonts w:ascii="Arial" w:eastAsia="Times New Roman" w:hAnsi="Arial" w:cs="Arial"/>
          <w:b/>
          <w:sz w:val="22"/>
          <w:szCs w:val="22"/>
        </w:rPr>
        <w:t>NR_AIML_air-Core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7F59C5">
      <w:pPr>
        <w:spacing w:after="60"/>
        <w:ind w:left="1985"/>
        <w:textAlignment w:val="baseline"/>
        <w:rPr>
          <w:rFonts w:ascii="Arial" w:eastAsia="Times New Roman" w:hAnsi="Arial" w:cs="Arial"/>
          <w:b/>
          <w:sz w:val="22"/>
          <w:szCs w:val="22"/>
        </w:rPr>
      </w:pPr>
      <w:hyperlink r:id="rId12" w:history="1">
        <w:r>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38E4F489"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r>
        <w:rPr>
          <w:rFonts w:ascii="Arial" w:hAnsi="Arial" w:cs="Arial"/>
          <w:lang w:eastAsia="zh-CN"/>
        </w:rPr>
        <w:t xml:space="preserve">, the agreements present in Annex have been achieved in Rel-19 </w:t>
      </w:r>
      <w:commentRangeEnd w:id="3"/>
      <w:r w:rsidR="000810CD">
        <w:rPr>
          <w:rStyle w:val="CommentReference"/>
        </w:rPr>
        <w:commentReference w:id="3"/>
      </w:r>
      <w:commentRangeEnd w:id="4"/>
      <w:r w:rsidR="003B2A1E">
        <w:rPr>
          <w:rStyle w:val="CommentReference"/>
        </w:rPr>
        <w:commentReference w:id="4"/>
      </w:r>
      <w:commentRangeEnd w:id="5"/>
      <w:r w:rsidR="00221C5A">
        <w:rPr>
          <w:rStyle w:val="CommentReference"/>
        </w:rPr>
        <w:commentReference w:id="5"/>
      </w:r>
      <w:r>
        <w:rPr>
          <w:rFonts w:ascii="Arial" w:hAnsi="Arial" w:cs="Arial"/>
          <w:lang w:eastAsia="zh-CN"/>
        </w:rPr>
        <w:t xml:space="preserve">for which RAN2 assumes those agreements may </w:t>
      </w:r>
      <w:r>
        <w:rPr>
          <w:rFonts w:ascii="Arial" w:hAnsi="Arial" w:cs="Arial" w:hint="eastAsia"/>
          <w:lang w:eastAsia="zh-CN"/>
        </w:rPr>
        <w:t>have RAN1 and</w:t>
      </w:r>
      <w:commentRangeStart w:id="6"/>
      <w:del w:id="7" w:author="Lenovo" w:date="2025-09-01T14:05:00Z">
        <w:r w:rsidDel="00CB5AB6">
          <w:rPr>
            <w:rFonts w:ascii="Arial" w:hAnsi="Arial" w:cs="Arial" w:hint="eastAsia"/>
            <w:lang w:eastAsia="zh-CN"/>
          </w:rPr>
          <w:delText>/or</w:delText>
        </w:r>
        <w:commentRangeEnd w:id="6"/>
        <w:r w:rsidR="00CB5AB6" w:rsidDel="00CB5AB6">
          <w:rPr>
            <w:rStyle w:val="CommentReference"/>
          </w:rPr>
          <w:commentReference w:id="6"/>
        </w:r>
      </w:del>
      <w:r>
        <w:rPr>
          <w:rFonts w:ascii="Arial" w:hAnsi="Arial" w:cs="Arial" w:hint="eastAsia"/>
          <w:lang w:eastAsia="zh-CN"/>
        </w:rPr>
        <w:t xml:space="preserve"> RAN3 impact</w:t>
      </w:r>
      <w:ins w:id="8" w:author="Lenovo" w:date="2025-09-01T14:04:00Z">
        <w:r w:rsidR="00CB5AB6">
          <w:rPr>
            <w:rFonts w:ascii="Arial" w:hAnsi="Arial" w:cs="Arial" w:hint="eastAsia"/>
            <w:lang w:eastAsia="zh-CN"/>
          </w:rPr>
          <w:t>.</w:t>
        </w:r>
      </w:ins>
    </w:p>
    <w:p w14:paraId="57C91512" w14:textId="77777777" w:rsidR="007F59C5" w:rsidRDefault="005D6441">
      <w:pPr>
        <w:rPr>
          <w:rFonts w:ascii="Arial" w:hAnsi="Arial" w:cs="Arial"/>
          <w:b/>
          <w:bCs/>
          <w:sz w:val="21"/>
          <w:szCs w:val="21"/>
          <w:lang w:eastAsia="zh-CN"/>
        </w:rPr>
      </w:pPr>
      <w:commentRangeStart w:id="9"/>
      <w:r>
        <w:rPr>
          <w:rFonts w:ascii="Arial" w:hAnsi="Arial" w:cs="Arial"/>
          <w:b/>
          <w:bCs/>
          <w:sz w:val="21"/>
          <w:szCs w:val="21"/>
          <w:lang w:eastAsia="zh-CN"/>
        </w:rPr>
        <w:t>For RAN1 to take into account</w:t>
      </w:r>
      <w:commentRangeEnd w:id="9"/>
      <w:r w:rsidR="00506147">
        <w:rPr>
          <w:rStyle w:val="CommentReference"/>
        </w:rPr>
        <w:commentReference w:id="9"/>
      </w:r>
      <w:r>
        <w:rPr>
          <w:rFonts w:ascii="Arial" w:hAnsi="Arial" w:cs="Arial"/>
          <w:b/>
          <w:bCs/>
          <w:sz w:val="21"/>
          <w:szCs w:val="21"/>
          <w:lang w:eastAsia="zh-CN"/>
        </w:rPr>
        <w:t>:</w:t>
      </w:r>
    </w:p>
    <w:p w14:paraId="583A3552" w14:textId="48120294" w:rsidR="007F59C5" w:rsidRDefault="005D6441">
      <w:pPr>
        <w:numPr>
          <w:ilvl w:val="0"/>
          <w:numId w:val="7"/>
        </w:numPr>
        <w:rPr>
          <w:rFonts w:ascii="Arial" w:hAnsi="Arial" w:cs="Arial"/>
          <w:lang w:eastAsia="zh-CN"/>
        </w:rPr>
      </w:pPr>
      <w:commentRangeStart w:id="10"/>
      <w:commentRangeStart w:id="11"/>
      <w:r>
        <w:rPr>
          <w:rFonts w:ascii="Arial" w:hAnsi="Arial" w:cs="Arial"/>
          <w:lang w:eastAsia="zh-CN"/>
        </w:rPr>
        <w:t xml:space="preserve">The logging configuration is configured in the </w:t>
      </w:r>
      <w:r>
        <w:rPr>
          <w:rFonts w:ascii="Arial" w:hAnsi="Arial" w:cs="Arial"/>
          <w:i/>
          <w:iCs/>
          <w:lang w:eastAsia="zh-CN"/>
        </w:rPr>
        <w:t>CSI-MeasConfig</w:t>
      </w:r>
      <w:r>
        <w:rPr>
          <w:rFonts w:ascii="Arial" w:hAnsi="Arial" w:cs="Arial"/>
          <w:lang w:eastAsia="zh-CN"/>
        </w:rPr>
        <w:t xml:space="preserve"> but the logging behavior </w:t>
      </w:r>
      <w:r>
        <w:rPr>
          <w:rFonts w:ascii="Arial" w:hAnsi="Arial" w:cs="Arial" w:hint="eastAsia"/>
          <w:lang w:eastAsia="zh-CN"/>
        </w:rPr>
        <w:t>is</w:t>
      </w:r>
      <w:r>
        <w:rPr>
          <w:rFonts w:ascii="Arial" w:hAnsi="Arial" w:cs="Arial"/>
          <w:lang w:eastAsia="zh-CN"/>
        </w:rPr>
        <w:t xml:space="preserve"> captured in RRC spec.</w:t>
      </w:r>
      <w:commentRangeEnd w:id="10"/>
      <w:r w:rsidR="000810CD">
        <w:rPr>
          <w:rStyle w:val="CommentReference"/>
        </w:rPr>
        <w:commentReference w:id="10"/>
      </w:r>
      <w:commentRangeEnd w:id="11"/>
      <w:r w:rsidR="005748E4">
        <w:rPr>
          <w:rStyle w:val="CommentReference"/>
        </w:rPr>
        <w:commentReference w:id="11"/>
      </w:r>
    </w:p>
    <w:p w14:paraId="2FDF11AD" w14:textId="4E0D26D8" w:rsidR="00250F36" w:rsidRPr="00250F36" w:rsidRDefault="00250F36" w:rsidP="00250F36">
      <w:pPr>
        <w:numPr>
          <w:ilvl w:val="0"/>
          <w:numId w:val="7"/>
        </w:numPr>
        <w:rPr>
          <w:rFonts w:ascii="Arial" w:hAnsi="Arial" w:cs="Arial"/>
          <w:lang w:eastAsia="zh-CN"/>
        </w:rPr>
      </w:pPr>
      <w:commentRangeStart w:id="12"/>
      <w:r>
        <w:rPr>
          <w:rFonts w:ascii="Arial" w:hAnsi="Arial" w:cs="Arial" w:hint="eastAsia"/>
          <w:lang w:eastAsia="zh-CN"/>
        </w:rPr>
        <w:t>Log</w:t>
      </w:r>
      <w:r>
        <w:rPr>
          <w:rFonts w:ascii="Arial" w:hAnsi="Arial" w:cs="Arial"/>
          <w:lang w:eastAsia="zh-CN"/>
        </w:rPr>
        <w:t>ging</w:t>
      </w:r>
      <w:r>
        <w:rPr>
          <w:rFonts w:ascii="Arial" w:hAnsi="Arial" w:cs="Arial" w:hint="eastAsia"/>
          <w:lang w:eastAsia="zh-CN"/>
        </w:rPr>
        <w:t xml:space="preserve"> </w:t>
      </w:r>
      <w:r>
        <w:rPr>
          <w:rFonts w:ascii="Arial" w:hAnsi="Arial" w:cs="Arial"/>
          <w:lang w:eastAsia="zh-CN"/>
        </w:rPr>
        <w:t xml:space="preserve">periodicity </w:t>
      </w:r>
      <w:commentRangeEnd w:id="12"/>
      <w:r w:rsidR="000810CD">
        <w:rPr>
          <w:rStyle w:val="CommentReference"/>
        </w:rPr>
        <w:commentReference w:id="12"/>
      </w:r>
      <w:r>
        <w:rPr>
          <w:rFonts w:ascii="Arial" w:hAnsi="Arial" w:cs="Arial"/>
          <w:lang w:eastAsia="zh-CN"/>
        </w:rPr>
        <w:t>is configurable for NW side data collection.</w:t>
      </w:r>
    </w:p>
    <w:p w14:paraId="4C1C6633" w14:textId="1C180EAD" w:rsidR="007F59C5" w:rsidRDefault="005D6441">
      <w:pPr>
        <w:numPr>
          <w:ilvl w:val="0"/>
          <w:numId w:val="7"/>
        </w:numPr>
        <w:rPr>
          <w:rFonts w:ascii="Arial" w:hAnsi="Arial" w:cs="Arial"/>
          <w:lang w:eastAsia="zh-CN"/>
        </w:rPr>
      </w:pPr>
      <w:commentRangeStart w:id="13"/>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13"/>
      <w:r w:rsidR="000810CD">
        <w:rPr>
          <w:rStyle w:val="CommentReference"/>
        </w:rPr>
        <w:commentReference w:id="13"/>
      </w:r>
      <w:r>
        <w:rPr>
          <w:rFonts w:ascii="Arial" w:hAnsi="Arial" w:cs="Arial"/>
          <w:lang w:eastAsia="zh-CN"/>
        </w:rPr>
        <w:t xml:space="preserve">to collect the L1-RSRP and/or Beam </w:t>
      </w:r>
      <w:r w:rsidR="00654000">
        <w:rPr>
          <w:rFonts w:ascii="Arial" w:hAnsi="Arial" w:cs="Arial"/>
          <w:lang w:eastAsia="zh-CN"/>
        </w:rPr>
        <w:t>ID</w:t>
      </w:r>
      <w:r>
        <w:rPr>
          <w:rFonts w:ascii="Arial" w:hAnsi="Arial" w:cs="Arial"/>
          <w:lang w:eastAsia="zh-CN"/>
        </w:rPr>
        <w:t xml:space="preserve"> for the logging contents.</w:t>
      </w:r>
    </w:p>
    <w:p w14:paraId="7889A371" w14:textId="09FC2A9B" w:rsidR="007F59C5" w:rsidRDefault="005D6441">
      <w:pPr>
        <w:numPr>
          <w:ilvl w:val="0"/>
          <w:numId w:val="7"/>
        </w:numPr>
        <w:rPr>
          <w:rFonts w:ascii="Arial" w:hAnsi="Arial" w:cs="Arial"/>
          <w:lang w:eastAsia="zh-CN"/>
        </w:rPr>
      </w:pPr>
      <w:commentRangeStart w:id="14"/>
      <w:r>
        <w:rPr>
          <w:rFonts w:ascii="Arial" w:hAnsi="Arial" w:cs="Arial" w:hint="eastAsia"/>
          <w:lang w:eastAsia="zh-CN"/>
        </w:rPr>
        <w:t xml:space="preserve">From RAN2 point of view, </w:t>
      </w:r>
      <w:commentRangeEnd w:id="14"/>
      <w:r w:rsidR="000810CD">
        <w:rPr>
          <w:rStyle w:val="CommentReference"/>
        </w:rPr>
        <w:commentReference w:id="14"/>
      </w:r>
      <w:r>
        <w:rPr>
          <w:rFonts w:ascii="Arial" w:hAnsi="Arial" w:cs="Arial" w:hint="eastAsia"/>
          <w:lang w:eastAsia="zh-CN"/>
        </w:rPr>
        <w:t>o</w:t>
      </w:r>
      <w:r>
        <w:rPr>
          <w:rFonts w:ascii="Arial" w:hAnsi="Arial" w:cs="Arial"/>
          <w:lang w:eastAsia="zh-CN"/>
        </w:rPr>
        <w:t>nly periodic CSI resources are used for NW side data collection</w:t>
      </w:r>
      <w:r w:rsidR="002F412D">
        <w:rPr>
          <w:rFonts w:ascii="Arial" w:hAnsi="Arial" w:cs="Arial"/>
          <w:lang w:eastAsia="zh-CN"/>
        </w:rPr>
        <w:t>.</w:t>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37D0E7E4" w14:textId="77777777" w:rsidR="007F59C5" w:rsidRDefault="005D6441">
      <w:pPr>
        <w:numPr>
          <w:ilvl w:val="0"/>
          <w:numId w:val="8"/>
        </w:numPr>
        <w:rPr>
          <w:rFonts w:ascii="Arial" w:hAnsi="Arial" w:cs="Arial"/>
          <w:lang w:eastAsia="zh-CN"/>
        </w:rPr>
      </w:pPr>
      <w:commentRangeStart w:id="15"/>
      <w:r>
        <w:rPr>
          <w:rFonts w:ascii="Arial" w:hAnsi="Arial" w:cs="Arial"/>
          <w:lang w:eastAsia="zh-CN"/>
        </w:rPr>
        <w:t>The</w:t>
      </w:r>
      <w:commentRangeEnd w:id="15"/>
      <w:r w:rsidR="00E43C46">
        <w:rPr>
          <w:rStyle w:val="CommentReference"/>
        </w:rPr>
        <w:commentReference w:id="15"/>
      </w:r>
      <w:r>
        <w:rPr>
          <w:rFonts w:ascii="Arial" w:hAnsi="Arial" w:cs="Arial"/>
          <w:lang w:eastAsia="zh-CN"/>
        </w:rPr>
        <w:t xml:space="preserve"> logging configuration is configured in the </w:t>
      </w:r>
      <w:r>
        <w:rPr>
          <w:rFonts w:ascii="Arial" w:hAnsi="Arial" w:cs="Arial"/>
          <w:i/>
          <w:iCs/>
          <w:lang w:eastAsia="zh-CN"/>
        </w:rPr>
        <w:t>CSI-MeasConfig.</w:t>
      </w:r>
    </w:p>
    <w:p w14:paraId="645CD717" w14:textId="58C0031C" w:rsidR="007F59C5" w:rsidRDefault="006F41B9">
      <w:pPr>
        <w:numPr>
          <w:ilvl w:val="0"/>
          <w:numId w:val="8"/>
        </w:numPr>
        <w:rPr>
          <w:rFonts w:ascii="Arial" w:hAnsi="Arial" w:cs="Arial"/>
          <w:lang w:eastAsia="zh-CN"/>
        </w:rPr>
      </w:pPr>
      <w:commentRangeStart w:id="16"/>
      <w:r>
        <w:rPr>
          <w:rFonts w:ascii="Arial" w:hAnsi="Arial" w:cs="Arial"/>
          <w:lang w:eastAsia="zh-CN"/>
        </w:rPr>
        <w:t>The</w:t>
      </w:r>
      <w:r w:rsidR="005D6441">
        <w:rPr>
          <w:rFonts w:ascii="Arial" w:hAnsi="Arial" w:cs="Arial"/>
          <w:lang w:eastAsia="zh-CN"/>
        </w:rPr>
        <w:t xml:space="preserve"> L3 event (i.e. </w:t>
      </w:r>
      <w:del w:id="17" w:author="Lenovo" w:date="2025-09-01T14:06:00Z">
        <w:r w:rsidR="005D6441" w:rsidDel="00FE52A3">
          <w:rPr>
            <w:rFonts w:ascii="Arial" w:hAnsi="Arial" w:cs="Arial"/>
            <w:lang w:eastAsia="zh-CN"/>
          </w:rPr>
          <w:delText xml:space="preserve">similar to </w:delText>
        </w:r>
      </w:del>
      <w:r w:rsidR="005D6441">
        <w:rPr>
          <w:rFonts w:ascii="Arial" w:hAnsi="Arial" w:cs="Arial"/>
          <w:lang w:eastAsia="zh-CN"/>
        </w:rPr>
        <w:t xml:space="preserve">Event A1 </w:t>
      </w:r>
      <w:del w:id="18" w:author="Lenovo" w:date="2025-09-01T14:06:00Z">
        <w:r w:rsidR="005D6441" w:rsidDel="00FE52A3">
          <w:rPr>
            <w:rFonts w:ascii="Arial" w:hAnsi="Arial" w:cs="Arial" w:hint="eastAsia"/>
            <w:lang w:eastAsia="zh-CN"/>
          </w:rPr>
          <w:delText xml:space="preserve">and </w:delText>
        </w:r>
      </w:del>
      <w:ins w:id="19" w:author="Lenovo" w:date="2025-09-01T14:06:00Z">
        <w:r w:rsidR="00FE52A3">
          <w:rPr>
            <w:rFonts w:ascii="Arial" w:hAnsi="Arial" w:cs="Arial" w:hint="eastAsia"/>
            <w:lang w:eastAsia="zh-CN"/>
          </w:rPr>
          <w:t xml:space="preserve">or </w:t>
        </w:r>
      </w:ins>
      <w:r w:rsidR="005D6441">
        <w:rPr>
          <w:rFonts w:ascii="Arial" w:hAnsi="Arial" w:cs="Arial"/>
          <w:lang w:eastAsia="zh-CN"/>
        </w:rPr>
        <w:t>Event A2)</w:t>
      </w:r>
      <w:commentRangeEnd w:id="16"/>
      <w:r w:rsidR="00FE52A3">
        <w:rPr>
          <w:rStyle w:val="CommentReference"/>
        </w:rPr>
        <w:commentReference w:id="16"/>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pPr>
        <w:numPr>
          <w:ilvl w:val="0"/>
          <w:numId w:val="8"/>
        </w:numPr>
        <w:rPr>
          <w:rFonts w:ascii="Arial" w:hAnsi="Arial" w:cs="Arial"/>
          <w:lang w:eastAsia="zh-CN"/>
        </w:rPr>
      </w:pPr>
      <w:r>
        <w:rPr>
          <w:rFonts w:ascii="Arial" w:hAnsi="Arial" w:cs="Arial"/>
          <w:lang w:eastAsia="zh-CN"/>
        </w:rPr>
        <w:t xml:space="preserve">The logged data is reported via </w:t>
      </w:r>
      <w:r>
        <w:rPr>
          <w:rFonts w:ascii="Arial" w:hAnsi="Arial" w:cs="Arial"/>
          <w:i/>
          <w:iCs/>
          <w:lang w:eastAsia="zh-CN"/>
        </w:rPr>
        <w:t>UEInformationRequest/UEInformationResponse</w:t>
      </w:r>
      <w:r>
        <w:rPr>
          <w:rFonts w:ascii="Arial" w:hAnsi="Arial" w:cs="Arial"/>
          <w:lang w:eastAsia="zh-CN"/>
        </w:rPr>
        <w:t>.</w:t>
      </w:r>
    </w:p>
    <w:p w14:paraId="581916EF" w14:textId="21BA0D2A" w:rsidR="008A65F8" w:rsidRPr="008A65F8" w:rsidRDefault="008A65F8" w:rsidP="008A65F8">
      <w:pPr>
        <w:numPr>
          <w:ilvl w:val="0"/>
          <w:numId w:val="8"/>
        </w:numPr>
        <w:rPr>
          <w:rFonts w:ascii="Arial" w:hAnsi="Arial" w:cs="Arial"/>
          <w:lang w:eastAsia="zh-CN"/>
        </w:rPr>
      </w:pPr>
      <w:commentRangeStart w:id="20"/>
      <w:commentRangeStart w:id="21"/>
      <w:r w:rsidRPr="008A65F8">
        <w:rPr>
          <w:rFonts w:ascii="Arial" w:hAnsi="Arial" w:cs="Arial"/>
          <w:lang w:eastAsia="zh-CN"/>
        </w:rPr>
        <w:t>The UE</w:t>
      </w:r>
      <w:ins w:id="22" w:author="Lenovo" w:date="2025-09-01T14:08:00Z">
        <w:r w:rsidR="00FE52A3">
          <w:rPr>
            <w:rFonts w:ascii="Arial" w:hAnsi="Arial" w:cs="Arial" w:hint="eastAsia"/>
            <w:lang w:eastAsia="zh-CN"/>
          </w:rPr>
          <w:t xml:space="preserve"> can</w:t>
        </w:r>
      </w:ins>
      <w:r w:rsidRPr="008A65F8">
        <w:rPr>
          <w:rFonts w:ascii="Arial" w:hAnsi="Arial" w:cs="Arial"/>
          <w:lang w:eastAsia="zh-CN"/>
        </w:rPr>
        <w:t xml:space="preserve"> send a UAI that indicates:</w:t>
      </w:r>
    </w:p>
    <w:p w14:paraId="5591C223"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8A65F8">
      <w:pPr>
        <w:numPr>
          <w:ilvl w:val="0"/>
          <w:numId w:val="18"/>
        </w:numPr>
        <w:rPr>
          <w:rFonts w:ascii="Arial" w:hAnsi="Arial" w:cs="Arial"/>
          <w:lang w:eastAsia="zh-CN"/>
        </w:rPr>
      </w:pPr>
      <w:r w:rsidRPr="008A65F8">
        <w:rPr>
          <w:rFonts w:ascii="Arial" w:hAnsi="Arial" w:cs="Arial"/>
          <w:lang w:eastAsia="zh-CN"/>
        </w:rPr>
        <w:t>Low power indication</w:t>
      </w:r>
    </w:p>
    <w:p w14:paraId="1D1B4D00" w14:textId="7AEDD8B3" w:rsidR="007F59C5" w:rsidRDefault="005D6441">
      <w:pPr>
        <w:numPr>
          <w:ilvl w:val="0"/>
          <w:numId w:val="8"/>
        </w:numPr>
        <w:rPr>
          <w:rFonts w:ascii="Arial" w:hAnsi="Arial" w:cs="Arial"/>
          <w:lang w:eastAsia="zh-CN"/>
        </w:rPr>
      </w:pPr>
      <w:r>
        <w:rPr>
          <w:rFonts w:ascii="Arial" w:hAnsi="Arial" w:cs="Arial"/>
          <w:lang w:eastAsia="zh-CN"/>
        </w:rPr>
        <w:t xml:space="preserve">The </w:t>
      </w:r>
      <w:commentRangeStart w:id="23"/>
      <w:r>
        <w:rPr>
          <w:rFonts w:ascii="Arial" w:hAnsi="Arial" w:cs="Arial"/>
          <w:lang w:eastAsia="zh-CN"/>
        </w:rPr>
        <w:t>data collection</w:t>
      </w:r>
      <w:commentRangeEnd w:id="23"/>
      <w:r w:rsidR="00267D1E">
        <w:rPr>
          <w:rStyle w:val="CommentReference"/>
        </w:rPr>
        <w:commentReference w:id="23"/>
      </w:r>
      <w:r>
        <w:rPr>
          <w:rFonts w:ascii="Arial" w:hAnsi="Arial" w:cs="Arial"/>
          <w:lang w:eastAsia="zh-CN"/>
        </w:rPr>
        <w:t xml:space="preserve"> shall be </w:t>
      </w:r>
      <w:commentRangeStart w:id="24"/>
      <w:r>
        <w:rPr>
          <w:rFonts w:ascii="Arial" w:hAnsi="Arial" w:cs="Arial"/>
          <w:lang w:eastAsia="zh-CN"/>
        </w:rPr>
        <w:t>de</w:t>
      </w:r>
      <w:r w:rsidR="00654000">
        <w:rPr>
          <w:rFonts w:ascii="Arial" w:hAnsi="Arial" w:cs="Arial"/>
          <w:lang w:eastAsia="zh-CN"/>
        </w:rPr>
        <w:t>-</w:t>
      </w:r>
      <w:r>
        <w:rPr>
          <w:rFonts w:ascii="Arial" w:hAnsi="Arial" w:cs="Arial"/>
          <w:lang w:eastAsia="zh-CN"/>
        </w:rPr>
        <w:t>configured</w:t>
      </w:r>
      <w:commentRangeEnd w:id="24"/>
      <w:r w:rsidR="006329CF">
        <w:rPr>
          <w:rStyle w:val="CommentReference"/>
        </w:rPr>
        <w:commentReference w:id="24"/>
      </w:r>
      <w:r>
        <w:rPr>
          <w:rFonts w:ascii="Arial" w:hAnsi="Arial" w:cs="Arial"/>
          <w:lang w:eastAsia="zh-CN"/>
        </w:rPr>
        <w:t xml:space="preserve"> if UE reports the lower power indication to the NW via UAI.</w:t>
      </w:r>
      <w:commentRangeEnd w:id="20"/>
      <w:r w:rsidR="00A7644B">
        <w:rPr>
          <w:rStyle w:val="CommentReference"/>
        </w:rPr>
        <w:commentReference w:id="20"/>
      </w:r>
      <w:commentRangeEnd w:id="21"/>
      <w:r w:rsidR="00221C5A">
        <w:rPr>
          <w:rStyle w:val="CommentReference"/>
        </w:rPr>
        <w:commentReference w:id="21"/>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77777777" w:rsidR="007F59C5" w:rsidRDefault="005D6441">
      <w:pPr>
        <w:rPr>
          <w:rFonts w:ascii="Arial" w:hAnsi="Arial" w:cs="Arial"/>
          <w:lang w:eastAsia="zh-CN"/>
        </w:rPr>
      </w:pPr>
      <w:r>
        <w:rPr>
          <w:rFonts w:ascii="Arial" w:hAnsi="Arial" w:cs="Arial"/>
          <w:lang w:eastAsia="zh-CN"/>
        </w:rPr>
        <w:t xml:space="preserve">RAN2 respectfully asks RAN1 and RAN3 to take those agreements into account for the future work, and </w:t>
      </w:r>
      <w:commentRangeStart w:id="25"/>
      <w:commentRangeStart w:id="26"/>
      <w:commentRangeStart w:id="27"/>
      <w:r>
        <w:rPr>
          <w:rFonts w:ascii="Arial" w:hAnsi="Arial" w:cs="Arial"/>
          <w:lang w:eastAsia="zh-CN"/>
        </w:rPr>
        <w:t>provide concern, if any, on RAN2 agreements</w:t>
      </w:r>
      <w:commentRangeEnd w:id="25"/>
      <w:r w:rsidR="006329CF">
        <w:rPr>
          <w:rStyle w:val="CommentReference"/>
        </w:rPr>
        <w:commentReference w:id="25"/>
      </w:r>
      <w:commentRangeEnd w:id="26"/>
      <w:r w:rsidR="00A7644B">
        <w:rPr>
          <w:rStyle w:val="CommentReference"/>
        </w:rPr>
        <w:commentReference w:id="26"/>
      </w:r>
      <w:commentRangeEnd w:id="27"/>
      <w:r w:rsidR="00221C5A">
        <w:rPr>
          <w:rStyle w:val="CommentReference"/>
        </w:rPr>
        <w:commentReference w:id="27"/>
      </w:r>
      <w:r>
        <w:rPr>
          <w:rFonts w:ascii="Arial" w:hAnsi="Arial" w:cs="Arial"/>
          <w:lang w:eastAsia="zh-CN"/>
        </w:rPr>
        <w:t>.</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A hysteresis should be configured and used (alongside threshold and timeToTrigger) for event-triggered logging for NW-side data collection.</w:t>
      </w:r>
    </w:p>
    <w:p w14:paraId="748BC6C8"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logging configuration is introduced as a new list of configurations under CSI-MeasConfig, based on TP1 in </w:t>
      </w:r>
      <w:hyperlink r:id="rId18"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lastRenderedPageBreak/>
        <w:t>1</w:t>
      </w:r>
      <w:r>
        <w:rPr>
          <w:rFonts w:ascii="Arial" w:eastAsia="MS Mincho" w:hAnsi="Arial" w:cs="Times New Roman"/>
          <w:sz w:val="20"/>
          <w:szCs w:val="24"/>
          <w:lang w:eastAsia="zh-CN" w:bidi="ar"/>
        </w:rPr>
        <w:tab/>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etc).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RRCReconfiguration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Change w:id="28" w:author="ZTE-Fei Dong" w:date="2025-09-01T10:14:00Z">
            <w:rPr>
              <w:rStyle w:val="ui-provider"/>
              <w:rFonts w:ascii="Times New Roman" w:eastAsia="SimSun" w:hAnsi="Times New Roman"/>
              <w:b/>
              <w:bCs/>
              <w:szCs w:val="20"/>
              <w:lang w:val="en-US" w:eastAsia="en-US"/>
            </w:rPr>
          </w:rPrChange>
        </w:rPr>
      </w:pPr>
      <w:r w:rsidRPr="00C43326">
        <w:rPr>
          <w:rStyle w:val="ui-provider"/>
          <w:b/>
          <w:bCs/>
          <w:lang w:val="en-US"/>
          <w:rPrChange w:id="29" w:author="ZTE-Fei Dong" w:date="2025-09-01T10:14:00Z">
            <w:rPr>
              <w:rStyle w:val="ui-provider"/>
              <w:b/>
              <w:bCs/>
            </w:rPr>
          </w:rPrChange>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30"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0"/>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lastRenderedPageBreak/>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31" w:name="OLE_LINK1"/>
            <w:r>
              <w:rPr>
                <w:rFonts w:ascii="Arial" w:hAnsi="Arial" w:cs="Arial"/>
              </w:rPr>
              <w:t>Duration is not supported</w:t>
            </w:r>
          </w:p>
          <w:bookmarkEnd w:id="31"/>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b/>
          <w:bCs/>
          <w:lang w:val="en-US"/>
          <w:rPrChange w:id="32" w:author="ZTE-Fei Dong" w:date="2025-09-01T10:14:00Z">
            <w:rPr>
              <w:b/>
              <w:bCs/>
            </w:rPr>
          </w:rPrChange>
        </w:rPr>
      </w:pPr>
      <w:r w:rsidRPr="00C43326">
        <w:rPr>
          <w:b/>
          <w:bCs/>
          <w:lang w:val="en-US"/>
          <w:rPrChange w:id="33" w:author="ZTE-Fei Dong" w:date="2025-09-01T10:14:00Z">
            <w:rPr>
              <w:b/>
              <w:bCs/>
            </w:rPr>
          </w:rPrChange>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The UE can report the reason for triggering of indication for the status (e.g. low power state, low memory).  FFS how this is signalled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r>
        <w:rPr>
          <w:rFonts w:ascii="Calibri" w:hAnsi="Calibri"/>
          <w:b/>
          <w:sz w:val="22"/>
          <w:szCs w:val="22"/>
          <w:lang w:bidi="ar"/>
        </w:rPr>
        <w:t>UEInformationRequest/UEInformationResponse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C43326">
        <w:rPr>
          <w:lang w:val="en-US"/>
          <w:rPrChange w:id="34" w:author="ZTE-Fei Dong" w:date="2025-09-01T10:14:00Z">
            <w:rPr/>
          </w:rPrChange>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C43326" w:rsidRDefault="005D6441">
      <w:pPr>
        <w:pStyle w:val="Doc-text2"/>
        <w:numPr>
          <w:ilvl w:val="0"/>
          <w:numId w:val="17"/>
        </w:numPr>
        <w:rPr>
          <w:lang w:val="en-US"/>
          <w:rPrChange w:id="35" w:author="ZTE-Fei Dong" w:date="2025-09-01T10:14:00Z">
            <w:rPr/>
          </w:rPrChange>
        </w:rPr>
      </w:pPr>
      <w:r w:rsidRPr="00C43326">
        <w:rPr>
          <w:lang w:val="en-US"/>
          <w:rPrChange w:id="36" w:author="ZTE-Fei Dong" w:date="2025-09-01T10:14:00Z">
            <w:rPr/>
          </w:rPrChange>
        </w:rPr>
        <w:t>UE stores the logged training data at AS layer with a minimum AS layer memory size supported by the UE. FFS on the memory size.  This is across all use cases</w:t>
      </w:r>
    </w:p>
    <w:p w14:paraId="63BF7278" w14:textId="77777777" w:rsidR="007F59C5" w:rsidRPr="00C43326" w:rsidRDefault="005D6441">
      <w:pPr>
        <w:pStyle w:val="Doc-text2"/>
        <w:numPr>
          <w:ilvl w:val="0"/>
          <w:numId w:val="17"/>
        </w:numPr>
        <w:rPr>
          <w:lang w:val="en-US"/>
          <w:rPrChange w:id="37" w:author="ZTE-Fei Dong" w:date="2025-09-01T10:14:00Z">
            <w:rPr/>
          </w:rPrChange>
        </w:rPr>
      </w:pPr>
      <w:r w:rsidRPr="00C43326">
        <w:rPr>
          <w:lang w:val="en-US"/>
          <w:rPrChange w:id="38" w:author="ZTE-Fei Dong" w:date="2025-09-01T10:14:00Z">
            <w:rPr/>
          </w:rPrChange>
        </w:rPr>
        <w:t xml:space="preserve">When UE reaches its buffer limitation the UE stops measurement for data collection purposes and logging.   </w:t>
      </w:r>
    </w:p>
    <w:p w14:paraId="42974068" w14:textId="77777777" w:rsidR="007F59C5" w:rsidRPr="00C43326" w:rsidRDefault="005D6441">
      <w:pPr>
        <w:pStyle w:val="Doc-text2"/>
        <w:numPr>
          <w:ilvl w:val="0"/>
          <w:numId w:val="17"/>
        </w:numPr>
        <w:rPr>
          <w:lang w:val="en-US"/>
          <w:rPrChange w:id="39" w:author="ZTE-Fei Dong" w:date="2025-09-01T10:14:00Z">
            <w:rPr/>
          </w:rPrChange>
        </w:rPr>
      </w:pPr>
      <w:r w:rsidRPr="00C43326">
        <w:rPr>
          <w:lang w:val="en-US"/>
          <w:rPrChange w:id="40" w:author="ZTE-Fei Dong" w:date="2025-09-01T10:14:00Z">
            <w:rPr/>
          </w:rPrChange>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C43326" w:rsidRDefault="005D6441">
      <w:pPr>
        <w:pStyle w:val="Doc-text2"/>
        <w:numPr>
          <w:ilvl w:val="0"/>
          <w:numId w:val="17"/>
        </w:numPr>
        <w:rPr>
          <w:lang w:val="en-US"/>
          <w:rPrChange w:id="41" w:author="ZTE-Fei Dong" w:date="2025-09-01T10:14:00Z">
            <w:rPr/>
          </w:rPrChange>
        </w:rPr>
      </w:pPr>
      <w:r w:rsidRPr="00C43326">
        <w:rPr>
          <w:lang w:val="en-US"/>
          <w:rPrChange w:id="42" w:author="ZTE-Fei Dong" w:date="2025-09-01T10:14:00Z">
            <w:rPr/>
          </w:rPrChange>
        </w:rPr>
        <w:t>FFS whether AS buffer event based reporting is supported.  FFS if we send availability indication or full report if it is supported</w:t>
      </w:r>
    </w:p>
    <w:p w14:paraId="60CEAE9A" w14:textId="77777777" w:rsidR="007F59C5" w:rsidRPr="00C43326" w:rsidRDefault="005D6441">
      <w:pPr>
        <w:pStyle w:val="Doc-text2"/>
        <w:numPr>
          <w:ilvl w:val="0"/>
          <w:numId w:val="17"/>
        </w:numPr>
        <w:rPr>
          <w:lang w:val="en-US"/>
          <w:rPrChange w:id="43" w:author="ZTE-Fei Dong" w:date="2025-09-01T10:14:00Z">
            <w:rPr/>
          </w:rPrChange>
        </w:rPr>
      </w:pPr>
      <w:r w:rsidRPr="00C43326">
        <w:rPr>
          <w:lang w:val="en-US"/>
          <w:rPrChange w:id="44" w:author="ZTE-Fei Dong" w:date="2025-09-01T10:14:00Z">
            <w:rPr/>
          </w:rPrChange>
        </w:rPr>
        <w:lastRenderedPageBreak/>
        <w:t>FFS on event based data collection/logging</w:t>
      </w:r>
    </w:p>
    <w:p w14:paraId="740D4367" w14:textId="77777777" w:rsidR="007F59C5" w:rsidRDefault="005D6441">
      <w:pPr>
        <w:pStyle w:val="Doc-text2"/>
        <w:numPr>
          <w:ilvl w:val="0"/>
          <w:numId w:val="17"/>
        </w:numPr>
      </w:pPr>
      <w:r w:rsidRPr="00C43326">
        <w:rPr>
          <w:lang w:val="en-US"/>
          <w:rPrChange w:id="45" w:author="ZTE-Fei Dong" w:date="2025-09-01T10:14:00Z">
            <w:rPr/>
          </w:rPrChange>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uawei (Dawid)" w:date="2025-09-01T22:04:00Z" w:initials="DK">
    <w:p w14:paraId="52A3B4C3" w14:textId="72B8215F" w:rsidR="000810CD" w:rsidRDefault="000810CD">
      <w:pPr>
        <w:pStyle w:val="CommentText"/>
      </w:pPr>
      <w:r>
        <w:rPr>
          <w:rStyle w:val="CommentReference"/>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CommentText"/>
      </w:pPr>
      <w:r>
        <w:rPr>
          <w:rStyle w:val="CommentReference"/>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CommentReference"/>
        </w:rPr>
        <w:annotationRef/>
      </w:r>
      <w:r>
        <w:t>We think current Rapporteur way (i.e. both list relavant ones in text and all in Annex) is more safe. As just one week for post-meeting email discussion, RAN2 may not be able to list/conclude all agreements with RAN1/RAN3 impacts. If some agreement has RAN1/RAN3 impact, but RAN2 LS don't list it. That will be RAN2's fault.</w:t>
      </w:r>
    </w:p>
  </w:comment>
  <w:comment w:id="6" w:author="Lenovo" w:date="2025-09-01T14:05:00Z" w:initials="Lenovo">
    <w:p w14:paraId="36C7BB6E" w14:textId="24139D43" w:rsidR="00CB5AB6" w:rsidRDefault="00CB5AB6" w:rsidP="00CB5AB6">
      <w:pPr>
        <w:pStyle w:val="CommentText"/>
      </w:pPr>
      <w:r>
        <w:rPr>
          <w:rStyle w:val="CommentReference"/>
        </w:rPr>
        <w:annotationRef/>
      </w:r>
      <w:r>
        <w:t>“or” may be misinterpreted as either-or. Suggest to remove.</w:t>
      </w:r>
    </w:p>
  </w:comment>
  <w:comment w:id="9" w:author="Nokia (Sakira)" w:date="2025-09-02T17:31:00Z" w:initials="HS">
    <w:p w14:paraId="442DB081" w14:textId="77777777" w:rsidR="0086296F" w:rsidRDefault="00506147" w:rsidP="0086296F">
      <w:pPr>
        <w:pStyle w:val="CommentText"/>
      </w:pPr>
      <w:r>
        <w:rPr>
          <w:rStyle w:val="CommentReference"/>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CommentText"/>
      </w:pPr>
      <w:r>
        <w:t>- RAN2 will not introduce separate CSI resource capability for logged NW-side data collection. Legacy capability will be used for logged NW-side data collection. Check with RAN1 on whether this assumption is ok.</w:t>
      </w:r>
      <w:r>
        <w:br/>
      </w:r>
    </w:p>
  </w:comment>
  <w:comment w:id="10" w:author="Huawei (Dawid)" w:date="2025-09-01T22:05:00Z" w:initials="DK">
    <w:p w14:paraId="0502C8BB" w14:textId="51DFF584" w:rsidR="000810CD" w:rsidRDefault="000810CD" w:rsidP="000810CD">
      <w:pPr>
        <w:pStyle w:val="CommentText"/>
      </w:pPr>
      <w:r>
        <w:rPr>
          <w:rStyle w:val="CommentReference"/>
        </w:rPr>
        <w:annotationRef/>
      </w:r>
      <w:r>
        <w:t>We can be more specific, e.g.:</w:t>
      </w:r>
    </w:p>
    <w:p w14:paraId="56DB59D7" w14:textId="77777777" w:rsidR="000810CD" w:rsidRDefault="000810CD" w:rsidP="000810CD">
      <w:pPr>
        <w:pStyle w:val="CommentText"/>
      </w:pPr>
      <w:r>
        <w:t>“The list of logging configurations is provided as a new parameter in CSI-MeasConfig.”</w:t>
      </w:r>
    </w:p>
    <w:p w14:paraId="381277E1" w14:textId="77777777" w:rsidR="000810CD" w:rsidRDefault="000810CD" w:rsidP="000810CD">
      <w:pPr>
        <w:pStyle w:val="CommentText"/>
      </w:pPr>
    </w:p>
    <w:p w14:paraId="378DC65C" w14:textId="77777777" w:rsidR="000810CD" w:rsidRDefault="000810CD" w:rsidP="000810CD">
      <w:pPr>
        <w:pStyle w:val="CommentText"/>
      </w:pPr>
      <w:r>
        <w:t>Then as a separate bullet:</w:t>
      </w:r>
    </w:p>
    <w:p w14:paraId="1B2B18FB" w14:textId="54FF862C" w:rsidR="000810CD" w:rsidRDefault="000810CD" w:rsidP="000810CD">
      <w:pPr>
        <w:pStyle w:val="CommentText"/>
      </w:pPr>
      <w:r>
        <w:t>“The procedures capturing how the UE performs data logging are captured in RRC specifications.”</w:t>
      </w:r>
    </w:p>
  </w:comment>
  <w:comment w:id="11" w:author="Nokia (Sakira)" w:date="2025-09-02T17:11:00Z" w:initials="HS">
    <w:p w14:paraId="64DB8FD3" w14:textId="77777777" w:rsidR="005748E4" w:rsidRDefault="005748E4" w:rsidP="005748E4">
      <w:pPr>
        <w:pStyle w:val="CommentText"/>
      </w:pPr>
      <w:r>
        <w:rPr>
          <w:rStyle w:val="CommentReference"/>
        </w:rPr>
        <w:annotationRef/>
      </w:r>
      <w:r>
        <w:t>Agree</w:t>
      </w:r>
    </w:p>
  </w:comment>
  <w:comment w:id="12" w:author="Huawei (Dawid)" w:date="2025-09-01T22:05:00Z" w:initials="DK">
    <w:p w14:paraId="1EC20BE7" w14:textId="162C9DDE" w:rsidR="000810CD" w:rsidRDefault="000810CD">
      <w:pPr>
        <w:pStyle w:val="CommentText"/>
      </w:pPr>
      <w:r>
        <w:rPr>
          <w:rStyle w:val="CommentReference"/>
        </w:rPr>
        <w:annotationRef/>
      </w:r>
      <w:r>
        <w:t>Maybe we can clarify that this is done with a new parameter which is different from resource periodicity. At the moment this is vague as resource periodicity is also NW-configurable.</w:t>
      </w:r>
    </w:p>
  </w:comment>
  <w:comment w:id="13" w:author="Huawei (Dawid)" w:date="2025-09-01T22:06:00Z" w:initials="DK">
    <w:p w14:paraId="1AD5033E" w14:textId="77777777" w:rsidR="000810CD" w:rsidRDefault="000810CD" w:rsidP="000810CD">
      <w:pPr>
        <w:pStyle w:val="CommentText"/>
      </w:pPr>
      <w:r>
        <w:rPr>
          <w:rStyle w:val="CommentReference"/>
        </w:rPr>
        <w:annotationRef/>
      </w:r>
      <w:r>
        <w:t>There is no need to say “from RAN2 point of view”. We can just state the fact and let RAN1 react if they see a concern, e.g.:</w:t>
      </w:r>
    </w:p>
    <w:p w14:paraId="78EA13F2" w14:textId="77777777" w:rsidR="000810CD" w:rsidRDefault="000810CD" w:rsidP="000810CD">
      <w:pPr>
        <w:pStyle w:val="CommentText"/>
      </w:pPr>
      <w:r>
        <w:t>“Logged data includes L1-RSRP and/or beam ID and cell identity.”</w:t>
      </w:r>
    </w:p>
    <w:p w14:paraId="470C347B" w14:textId="77777777" w:rsidR="000810CD" w:rsidRDefault="000810CD" w:rsidP="000810CD">
      <w:pPr>
        <w:pStyle w:val="CommentText"/>
      </w:pPr>
    </w:p>
    <w:p w14:paraId="499C9814" w14:textId="3A463F68" w:rsidR="000810CD" w:rsidRDefault="000810CD" w:rsidP="000810CD">
      <w:pPr>
        <w:pStyle w:val="CommentText"/>
      </w:pPr>
      <w:r>
        <w:t>Not sure if it matters for RAN1, but we could also mention gap indication for completeness.</w:t>
      </w:r>
    </w:p>
  </w:comment>
  <w:comment w:id="14" w:author="Huawei (Dawid)" w:date="2025-09-01T22:06:00Z" w:initials="DK">
    <w:p w14:paraId="05E5BD51" w14:textId="3D70E9E9" w:rsidR="000810CD" w:rsidRDefault="000810CD">
      <w:pPr>
        <w:pStyle w:val="CommentText"/>
      </w:pPr>
      <w:r>
        <w:rPr>
          <w:rStyle w:val="CommentReference"/>
        </w:rPr>
        <w:annotationRef/>
      </w:r>
      <w:r>
        <w:t>This should be removed. It is not “from R2 point of view” – this is what is going to be captured in specifications.</w:t>
      </w:r>
    </w:p>
  </w:comment>
  <w:comment w:id="15" w:author="Huawei (Dawid)" w:date="2025-09-01T22:06:00Z" w:initials="DK">
    <w:p w14:paraId="065F2F8F" w14:textId="01ED22B1" w:rsidR="00E43C46" w:rsidRDefault="00E43C46">
      <w:pPr>
        <w:pStyle w:val="CommentText"/>
      </w:pPr>
      <w:r>
        <w:rPr>
          <w:rStyle w:val="CommentReference"/>
        </w:rPr>
        <w:annotationRef/>
      </w:r>
      <w:r>
        <w:t>Same comment as above,</w:t>
      </w:r>
    </w:p>
  </w:comment>
  <w:comment w:id="16" w:author="Lenovo" w:date="2025-09-01T14:07:00Z" w:initials="Lenovo">
    <w:p w14:paraId="28C1E22C" w14:textId="77777777" w:rsidR="00FE52A3" w:rsidRDefault="00FE52A3" w:rsidP="00FE52A3">
      <w:pPr>
        <w:pStyle w:val="CommentText"/>
      </w:pPr>
      <w:r>
        <w:rPr>
          <w:rStyle w:val="CommentReference"/>
        </w:rPr>
        <w:annotationRef/>
      </w:r>
      <w:r>
        <w:t>We agreed last week the following:</w:t>
      </w:r>
    </w:p>
    <w:p w14:paraId="1CF9044A" w14:textId="77777777" w:rsidR="00FE52A3" w:rsidRDefault="00FE52A3" w:rsidP="00FE52A3">
      <w:pPr>
        <w:pStyle w:val="CommentText"/>
        <w:ind w:left="300"/>
      </w:pPr>
      <w:r>
        <w:t>Event evaluation for the event-triggered logging will be capturing within the existing A1/A2 events (in sub-clauses 5.5.4.2 and 5.5.4.3) ”</w:t>
      </w:r>
    </w:p>
  </w:comment>
  <w:comment w:id="23" w:author="Lenovo" w:date="2025-09-01T14:15:00Z" w:initials="Lenovo">
    <w:p w14:paraId="03DE232F" w14:textId="77777777" w:rsidR="00267D1E" w:rsidRDefault="00267D1E" w:rsidP="00267D1E">
      <w:pPr>
        <w:pStyle w:val="CommentText"/>
      </w:pPr>
      <w:r>
        <w:rPr>
          <w:rStyle w:val="CommentReference"/>
        </w:rPr>
        <w:annotationRef/>
      </w:r>
      <w:r>
        <w:t>Shall we be more specific here? E.g., “the NW side data collection related configuration (e.g., logging configuration)”</w:t>
      </w:r>
    </w:p>
  </w:comment>
  <w:comment w:id="24" w:author="vivo(Boubacar)" w:date="2025-09-01T15:00:00Z" w:initials="B">
    <w:p w14:paraId="4CFD740E" w14:textId="33D37149" w:rsidR="006329CF" w:rsidRDefault="006329CF">
      <w:pPr>
        <w:pStyle w:val="CommentText"/>
      </w:pPr>
      <w:r>
        <w:rPr>
          <w:rStyle w:val="CommentReference"/>
        </w:rPr>
        <w:annotationRef/>
      </w:r>
      <w:r>
        <w:t>Better use “released” to align with running CR wording.</w:t>
      </w:r>
    </w:p>
  </w:comment>
  <w:comment w:id="20" w:author="Huawei (Dawid)" w:date="2025-09-01T22:07:00Z" w:initials="DK">
    <w:p w14:paraId="6190764F" w14:textId="6D9AFE10" w:rsidR="00A7644B" w:rsidRDefault="00A7644B">
      <w:pPr>
        <w:pStyle w:val="CommentText"/>
      </w:pPr>
      <w:r>
        <w:rPr>
          <w:rStyle w:val="CommentReference"/>
        </w:rPr>
        <w:annotationRef/>
      </w:r>
      <w:r>
        <w:t>Why does that matter to RAN3?</w:t>
      </w:r>
    </w:p>
  </w:comment>
  <w:comment w:id="21" w:author="Apple - Peng Cheng" w:date="2025-09-03T10:35:00Z" w:initials="PC">
    <w:p w14:paraId="7D503446" w14:textId="77777777" w:rsidR="00221C5A" w:rsidRDefault="00221C5A" w:rsidP="00221C5A">
      <w:r>
        <w:rPr>
          <w:rStyle w:val="CommentReference"/>
        </w:rPr>
        <w:annotationRef/>
      </w:r>
      <w:r>
        <w:t xml:space="preserve">Our understanding is that UAI is handled by CU while data logging is handled by DU, which will need some new coordnation between CU and DU on information included in UA.I  Thus, these two agreements may have RAN3 impact. </w:t>
      </w:r>
    </w:p>
  </w:comment>
  <w:comment w:id="25" w:author="vivo(Boubacar)" w:date="2025-09-01T15:04:00Z" w:initials="B">
    <w:p w14:paraId="5912EC3E" w14:textId="28C70D7A" w:rsidR="006329CF" w:rsidRDefault="006329CF">
      <w:pPr>
        <w:pStyle w:val="CommentText"/>
      </w:pPr>
      <w:r>
        <w:rPr>
          <w:rStyle w:val="CommentReference"/>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26" w:author="Huawei (Dawid)" w:date="2025-09-01T22:08:00Z" w:initials="DK">
    <w:p w14:paraId="6E11A02C" w14:textId="54DDC8EA" w:rsidR="00A7644B" w:rsidRDefault="00A7644B">
      <w:pPr>
        <w:pStyle w:val="CommentText"/>
      </w:pPr>
      <w:r>
        <w:rPr>
          <w:rStyle w:val="CommentReference"/>
        </w:rPr>
        <w:annotationRef/>
      </w:r>
      <w:r>
        <w:t>Agree.</w:t>
      </w:r>
    </w:p>
  </w:comment>
  <w:comment w:id="27" w:author="Apple - Peng Cheng" w:date="2025-09-03T10:36:00Z" w:initials="PC">
    <w:p w14:paraId="3A6BC365" w14:textId="77777777" w:rsidR="00221C5A" w:rsidRDefault="00221C5A" w:rsidP="00221C5A">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A3B4C3" w15:done="0"/>
  <w15:commentEx w15:paraId="7E2E01A6" w15:paraIdParent="52A3B4C3" w15:done="0"/>
  <w15:commentEx w15:paraId="2776E1EE" w15:paraIdParent="52A3B4C3" w15:done="0"/>
  <w15:commentEx w15:paraId="36C7BB6E" w15:done="0"/>
  <w15:commentEx w15:paraId="4CBC7DC9" w15:done="0"/>
  <w15:commentEx w15:paraId="1B2B18FB" w15:done="0"/>
  <w15:commentEx w15:paraId="64DB8FD3" w15:paraIdParent="1B2B18FB" w15:done="0"/>
  <w15:commentEx w15:paraId="1EC20BE7" w15:done="0"/>
  <w15:commentEx w15:paraId="499C9814" w15:done="0"/>
  <w15:commentEx w15:paraId="05E5BD51" w15:done="0"/>
  <w15:commentEx w15:paraId="065F2F8F" w15:done="0"/>
  <w15:commentEx w15:paraId="1CF9044A" w15:done="0"/>
  <w15:commentEx w15:paraId="03DE232F" w15:done="0"/>
  <w15:commentEx w15:paraId="4CFD740E" w15:done="0"/>
  <w15:commentEx w15:paraId="6190764F" w15:done="0"/>
  <w15:commentEx w15:paraId="7D503446" w15:paraIdParent="6190764F" w15:done="0"/>
  <w15:commentEx w15:paraId="5912EC3E" w15:done="0"/>
  <w15:commentEx w15:paraId="6E11A02C" w15:paraIdParent="5912EC3E" w15:done="0"/>
  <w15:commentEx w15:paraId="3A6BC365" w15:paraIdParent="5912E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A4D2A" w16cex:dateUtc="2025-09-02T14:10:00Z"/>
  <w16cex:commentExtensible w16cex:durableId="53D874FC" w16cex:dateUtc="2025-09-03T02:32:00Z"/>
  <w16cex:commentExtensible w16cex:durableId="0AD69E64" w16cex:dateUtc="2025-09-01T06:05:00Z"/>
  <w16cex:commentExtensible w16cex:durableId="0FDDA735" w16cex:dateUtc="2025-09-02T14:31:00Z"/>
  <w16cex:commentExtensible w16cex:durableId="3B97ABA2" w16cex:dateUtc="2025-09-02T14:11:00Z"/>
  <w16cex:commentExtensible w16cex:durableId="1D165AB8" w16cex:dateUtc="2025-09-01T06:07:00Z"/>
  <w16cex:commentExtensible w16cex:durableId="048758F8" w16cex:dateUtc="2025-09-01T06:15:00Z"/>
  <w16cex:commentExtensible w16cex:durableId="2C6033A2" w16cex:dateUtc="2025-09-01T07:00:00Z"/>
  <w16cex:commentExtensible w16cex:durableId="2F97E09B" w16cex:dateUtc="2025-09-03T02:35:00Z"/>
  <w16cex:commentExtensible w16cex:durableId="2C60346F" w16cex:dateUtc="2025-09-01T07:04:00Z"/>
  <w16cex:commentExtensible w16cex:durableId="099B1C01" w16cex:dateUtc="2025-09-03T0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A3B4C3" w16cid:durableId="2C60970B"/>
  <w16cid:commentId w16cid:paraId="7E2E01A6" w16cid:durableId="34CA4D2A"/>
  <w16cid:commentId w16cid:paraId="2776E1EE" w16cid:durableId="53D874FC"/>
  <w16cid:commentId w16cid:paraId="36C7BB6E" w16cid:durableId="0AD69E64"/>
  <w16cid:commentId w16cid:paraId="4CBC7DC9" w16cid:durableId="0FDDA735"/>
  <w16cid:commentId w16cid:paraId="1B2B18FB" w16cid:durableId="2C609731"/>
  <w16cid:commentId w16cid:paraId="64DB8FD3" w16cid:durableId="3B97ABA2"/>
  <w16cid:commentId w16cid:paraId="1EC20BE7" w16cid:durableId="2C609747"/>
  <w16cid:commentId w16cid:paraId="499C9814" w16cid:durableId="2C609759"/>
  <w16cid:commentId w16cid:paraId="05E5BD51" w16cid:durableId="2C609768"/>
  <w16cid:commentId w16cid:paraId="065F2F8F" w16cid:durableId="2C60977A"/>
  <w16cid:commentId w16cid:paraId="1CF9044A" w16cid:durableId="1D165AB8"/>
  <w16cid:commentId w16cid:paraId="03DE232F" w16cid:durableId="048758F8"/>
  <w16cid:commentId w16cid:paraId="4CFD740E" w16cid:durableId="2C6033A2"/>
  <w16cid:commentId w16cid:paraId="6190764F" w16cid:durableId="2C6097BE"/>
  <w16cid:commentId w16cid:paraId="7D503446" w16cid:durableId="2F97E09B"/>
  <w16cid:commentId w16cid:paraId="5912EC3E" w16cid:durableId="2C60346F"/>
  <w16cid:commentId w16cid:paraId="6E11A02C" w16cid:durableId="2C6097E2"/>
  <w16cid:commentId w16cid:paraId="3A6BC365" w16cid:durableId="099B1C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9718" w14:textId="77777777" w:rsidR="006B571B" w:rsidRDefault="006B571B">
      <w:pPr>
        <w:spacing w:after="0"/>
      </w:pPr>
      <w:r>
        <w:separator/>
      </w:r>
    </w:p>
  </w:endnote>
  <w:endnote w:type="continuationSeparator" w:id="0">
    <w:p w14:paraId="2B0098E6" w14:textId="77777777" w:rsidR="006B571B" w:rsidRDefault="006B57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CADA" w14:textId="77777777" w:rsidR="006B571B" w:rsidRDefault="006B571B">
      <w:pPr>
        <w:spacing w:after="0"/>
      </w:pPr>
      <w:r>
        <w:separator/>
      </w:r>
    </w:p>
  </w:footnote>
  <w:footnote w:type="continuationSeparator" w:id="0">
    <w:p w14:paraId="54C97883" w14:textId="77777777" w:rsidR="006B571B" w:rsidRDefault="006B57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939AE77"/>
    <w:multiLevelType w:val="singleLevel"/>
    <w:tmpl w:val="6939AE77"/>
    <w:lvl w:ilvl="0">
      <w:start w:val="1"/>
      <w:numFmt w:val="decimal"/>
      <w:suff w:val="space"/>
      <w:lvlText w:val="%1."/>
      <w:lvlJc w:val="left"/>
    </w:lvl>
  </w:abstractNum>
  <w:abstractNum w:abstractNumId="17"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16cid:durableId="758598293">
    <w:abstractNumId w:val="14"/>
  </w:num>
  <w:num w:numId="2" w16cid:durableId="686834549">
    <w:abstractNumId w:val="9"/>
  </w:num>
  <w:num w:numId="3" w16cid:durableId="358899417">
    <w:abstractNumId w:val="3"/>
  </w:num>
  <w:num w:numId="4" w16cid:durableId="450442090">
    <w:abstractNumId w:val="7"/>
  </w:num>
  <w:num w:numId="5" w16cid:durableId="125088644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03065086">
    <w:abstractNumId w:val="13"/>
  </w:num>
  <w:num w:numId="7" w16cid:durableId="1208761630">
    <w:abstractNumId w:val="16"/>
  </w:num>
  <w:num w:numId="8" w16cid:durableId="478038277">
    <w:abstractNumId w:val="5"/>
  </w:num>
  <w:num w:numId="9" w16cid:durableId="981427870">
    <w:abstractNumId w:val="8"/>
  </w:num>
  <w:num w:numId="10" w16cid:durableId="932738893">
    <w:abstractNumId w:val="4"/>
  </w:num>
  <w:num w:numId="11" w16cid:durableId="1346975772">
    <w:abstractNumId w:val="10"/>
  </w:num>
  <w:num w:numId="12" w16cid:durableId="433672124">
    <w:abstractNumId w:val="0"/>
  </w:num>
  <w:num w:numId="13" w16cid:durableId="1777559854">
    <w:abstractNumId w:val="11"/>
  </w:num>
  <w:num w:numId="14" w16cid:durableId="1771656528">
    <w:abstractNumId w:val="17"/>
  </w:num>
  <w:num w:numId="15" w16cid:durableId="277640210">
    <w:abstractNumId w:val="15"/>
  </w:num>
  <w:num w:numId="16" w16cid:durableId="493453283">
    <w:abstractNumId w:val="2"/>
  </w:num>
  <w:num w:numId="17" w16cid:durableId="1366448958">
    <w:abstractNumId w:val="12"/>
  </w:num>
  <w:num w:numId="18" w16cid:durableId="8098294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hyperlink" Target="file:///C:/Users/panidx/OneDrive%20-%20InterDigital%20Communications,%20Inc/Documents/3GPP%20RAN/TSGR2_131/Docs/R2-250586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2.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3.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6A2612-C200-46A3-8A60-27CC37C6F1EF}">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1309</Words>
  <Characters>6995</Characters>
  <Application>Microsoft Office Word</Application>
  <DocSecurity>0</DocSecurity>
  <Lines>225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Apple - Peng Cheng</cp:lastModifiedBy>
  <cp:revision>3</cp:revision>
  <dcterms:created xsi:type="dcterms:W3CDTF">2025-09-03T02:26:00Z</dcterms:created>
  <dcterms:modified xsi:type="dcterms:W3CDTF">2025-09-03T02:36:00Z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ies>
</file>