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1F9C5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4F58">
        <w:rPr>
          <w:b/>
          <w:noProof/>
          <w:sz w:val="24"/>
        </w:rPr>
        <w:t xml:space="preserve">RAN </w:t>
      </w:r>
      <w:r w:rsidR="00C70248">
        <w:rPr>
          <w:b/>
          <w:noProof/>
          <w:sz w:val="24"/>
        </w:rPr>
        <w:fldChar w:fldCharType="begin"/>
      </w:r>
      <w:r w:rsidR="00C70248">
        <w:rPr>
          <w:b/>
          <w:noProof/>
          <w:sz w:val="24"/>
        </w:rPr>
        <w:instrText xml:space="preserve"> DOCPROPERTY  TSG/WGRef  \* MERGEFORMAT </w:instrText>
      </w:r>
      <w:r w:rsidR="00C70248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C70248">
        <w:rPr>
          <w:b/>
          <w:noProof/>
          <w:sz w:val="24"/>
        </w:rPr>
        <w:fldChar w:fldCharType="end"/>
      </w:r>
      <w:r w:rsidR="00CC4F5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70248">
        <w:rPr>
          <w:b/>
          <w:noProof/>
          <w:sz w:val="24"/>
        </w:rPr>
        <w:fldChar w:fldCharType="begin"/>
      </w:r>
      <w:r w:rsidR="00C70248">
        <w:rPr>
          <w:b/>
          <w:noProof/>
          <w:sz w:val="24"/>
        </w:rPr>
        <w:instrText xml:space="preserve"> DOCPROPERTY  MtgSeq  \* MERGEFORMAT </w:instrText>
      </w:r>
      <w:r w:rsidR="00C70248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C4F58">
        <w:rPr>
          <w:b/>
          <w:noProof/>
          <w:sz w:val="24"/>
        </w:rPr>
        <w:t>1</w:t>
      </w:r>
      <w:r w:rsidR="00893FCE">
        <w:rPr>
          <w:b/>
          <w:noProof/>
          <w:sz w:val="24"/>
        </w:rPr>
        <w:t>3</w:t>
      </w:r>
      <w:r w:rsidR="0036213B">
        <w:rPr>
          <w:b/>
          <w:noProof/>
          <w:sz w:val="24"/>
        </w:rPr>
        <w:t>1</w:t>
      </w:r>
      <w:r w:rsidR="00C7024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7169A" w:rsidRPr="0037169A">
        <w:rPr>
          <w:b/>
          <w:i/>
          <w:noProof/>
          <w:sz w:val="28"/>
        </w:rPr>
        <w:t>R2-25</w:t>
      </w:r>
      <w:r w:rsidR="0036213B">
        <w:rPr>
          <w:b/>
          <w:i/>
          <w:noProof/>
          <w:sz w:val="28"/>
        </w:rPr>
        <w:t>xxxx</w:t>
      </w:r>
    </w:p>
    <w:p w14:paraId="7CB45193" w14:textId="344A5E45" w:rsidR="001E41F3" w:rsidRDefault="00C7024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213B">
        <w:rPr>
          <w:b/>
          <w:noProof/>
          <w:sz w:val="24"/>
        </w:rPr>
        <w:t>Bangalore</w:t>
      </w:r>
      <w:r w:rsidR="008A3299" w:rsidRPr="008A3299">
        <w:rPr>
          <w:b/>
          <w:noProof/>
          <w:sz w:val="24"/>
        </w:rPr>
        <w:t xml:space="preserve">, </w:t>
      </w:r>
      <w:r w:rsidR="0036213B">
        <w:rPr>
          <w:b/>
          <w:noProof/>
          <w:sz w:val="24"/>
        </w:rPr>
        <w:t>India</w:t>
      </w:r>
      <w:r w:rsidR="008A3299" w:rsidRPr="008A3299">
        <w:rPr>
          <w:b/>
          <w:noProof/>
          <w:sz w:val="24"/>
        </w:rPr>
        <w:t xml:space="preserve">, </w:t>
      </w:r>
      <w:r w:rsidR="0036213B">
        <w:rPr>
          <w:b/>
          <w:noProof/>
          <w:sz w:val="24"/>
        </w:rPr>
        <w:t>2</w:t>
      </w:r>
      <w:r w:rsidR="007C759D">
        <w:rPr>
          <w:b/>
          <w:noProof/>
          <w:sz w:val="24"/>
        </w:rPr>
        <w:t>5</w:t>
      </w:r>
      <w:r w:rsidR="00BB7B7D">
        <w:rPr>
          <w:b/>
          <w:noProof/>
          <w:sz w:val="24"/>
        </w:rPr>
        <w:t xml:space="preserve"> - </w:t>
      </w:r>
      <w:r w:rsidR="007C759D">
        <w:rPr>
          <w:b/>
          <w:noProof/>
          <w:sz w:val="24"/>
        </w:rPr>
        <w:t>29</w:t>
      </w:r>
      <w:r w:rsidR="00CF639F">
        <w:rPr>
          <w:b/>
          <w:noProof/>
          <w:sz w:val="24"/>
        </w:rPr>
        <w:t xml:space="preserve"> </w:t>
      </w:r>
      <w:r w:rsidR="0036213B">
        <w:rPr>
          <w:b/>
          <w:noProof/>
          <w:sz w:val="24"/>
        </w:rPr>
        <w:t>August</w:t>
      </w:r>
      <w:r w:rsidR="00893FCE">
        <w:rPr>
          <w:b/>
          <w:noProof/>
          <w:sz w:val="24"/>
        </w:rPr>
        <w:t xml:space="preserve"> </w:t>
      </w:r>
      <w:r w:rsidR="008A3299" w:rsidRPr="008A3299">
        <w:rPr>
          <w:b/>
          <w:noProof/>
          <w:sz w:val="24"/>
        </w:rPr>
        <w:t>202</w:t>
      </w:r>
      <w:r w:rsidR="004F0908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52B819" w:rsidR="001E41F3" w:rsidRPr="00410371" w:rsidRDefault="00C7024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4F58">
              <w:rPr>
                <w:b/>
                <w:noProof/>
                <w:sz w:val="28"/>
              </w:rPr>
              <w:t>36.300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AF7D21" w:rsidR="001E41F3" w:rsidRPr="00410371" w:rsidRDefault="00C7024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767BF">
              <w:rPr>
                <w:b/>
                <w:noProof/>
                <w:sz w:val="28"/>
              </w:rPr>
              <w:t>DRAFT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3D4E66" w:rsidR="001E41F3" w:rsidRPr="00410371" w:rsidRDefault="008A32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8019A8" w:rsidR="001E41F3" w:rsidRPr="00410371" w:rsidRDefault="00C702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4F58">
              <w:rPr>
                <w:b/>
                <w:noProof/>
                <w:sz w:val="28"/>
              </w:rPr>
              <w:t>18.</w:t>
            </w:r>
            <w:r w:rsidR="00DE52D2">
              <w:rPr>
                <w:b/>
                <w:noProof/>
                <w:sz w:val="28"/>
              </w:rPr>
              <w:t>5</w:t>
            </w:r>
            <w:r w:rsidR="00CC4F5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626678" w:rsidR="00F25D98" w:rsidRDefault="00CC4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01C611" w:rsidR="00F25D98" w:rsidRDefault="00CC4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C598A3" w:rsidR="001E41F3" w:rsidRDefault="008A329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r w:rsidR="005B13EC">
              <w:rPr>
                <w:noProof/>
              </w:rPr>
              <w:t>IoT NTN TDD mode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A2D686" w:rsidR="001E41F3" w:rsidRDefault="00536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Iridium</w:t>
            </w:r>
            <w:r w:rsidR="007168F3">
              <w:rPr>
                <w:noProof/>
              </w:rPr>
              <w:t xml:space="preserve"> Satellite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5BA5EB" w:rsidR="001E41F3" w:rsidRDefault="00C702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CC4F5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C0A274" w:rsidR="001E41F3" w:rsidRDefault="008A32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8A3299">
                <w:t>IoT_NTN_</w:t>
              </w:r>
              <w:r w:rsidR="00536306">
                <w:t>TDD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128689" w:rsidR="001E41F3" w:rsidRDefault="00C702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C4F58">
              <w:rPr>
                <w:noProof/>
              </w:rPr>
              <w:t>202</w:t>
            </w:r>
            <w:r w:rsidR="000A2A69">
              <w:rPr>
                <w:noProof/>
              </w:rPr>
              <w:t>5</w:t>
            </w:r>
            <w:r w:rsidR="00CC4F58">
              <w:rPr>
                <w:noProof/>
              </w:rPr>
              <w:t>-</w:t>
            </w:r>
            <w:r w:rsidR="000A2A69">
              <w:rPr>
                <w:noProof/>
              </w:rPr>
              <w:t>0</w:t>
            </w:r>
            <w:r w:rsidR="0036213B">
              <w:rPr>
                <w:noProof/>
              </w:rPr>
              <w:t>8</w:t>
            </w:r>
            <w:r w:rsidR="00CC4F58">
              <w:rPr>
                <w:noProof/>
              </w:rPr>
              <w:t>-</w:t>
            </w:r>
            <w:r w:rsidR="0036213B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A2C69C" w:rsidR="001E41F3" w:rsidRDefault="008A32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F6BAD4" w:rsidR="001E41F3" w:rsidRDefault="00C702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C4F58">
              <w:rPr>
                <w:noProof/>
              </w:rPr>
              <w:t>-1</w:t>
            </w:r>
            <w:r w:rsidR="008A3299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08FAE" w14:textId="20F3E9B4" w:rsidR="002F6E07" w:rsidRDefault="003F48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</w:t>
            </w:r>
            <w:r w:rsidR="003366F3">
              <w:rPr>
                <w:noProof/>
              </w:rPr>
              <w:t xml:space="preserve">tion of </w:t>
            </w:r>
            <w:r w:rsidR="00767243">
              <w:rPr>
                <w:noProof/>
              </w:rPr>
              <w:t xml:space="preserve">Rel-19 </w:t>
            </w:r>
            <w:r w:rsidR="002F6E07">
              <w:rPr>
                <w:noProof/>
              </w:rPr>
              <w:t xml:space="preserve">IoT NTN </w:t>
            </w:r>
            <w:r w:rsidR="002E3590">
              <w:rPr>
                <w:noProof/>
              </w:rPr>
              <w:t>TDD</w:t>
            </w:r>
            <w:r w:rsidR="00357C29">
              <w:rPr>
                <w:noProof/>
              </w:rPr>
              <w:t xml:space="preserve"> </w:t>
            </w:r>
            <w:r w:rsidR="002E3590">
              <w:rPr>
                <w:noProof/>
              </w:rPr>
              <w:t>mode</w:t>
            </w:r>
            <w:r>
              <w:rPr>
                <w:noProof/>
              </w:rPr>
              <w:t xml:space="preserve"> into TS 36.300</w:t>
            </w:r>
            <w:r w:rsidR="002F6E07">
              <w:rPr>
                <w:noProof/>
              </w:rPr>
              <w:t xml:space="preserve">. </w:t>
            </w:r>
          </w:p>
          <w:p w14:paraId="708AA7DE" w14:textId="22FE632C" w:rsidR="00017445" w:rsidRDefault="0001744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08B53B" w14:textId="420544A9" w:rsidR="002C4D7F" w:rsidRDefault="002C4D7F" w:rsidP="002C4D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Rel-19 IoT NTN TDD mode calls for changes/additions in a few clauses of TS 36.300. </w:t>
            </w:r>
          </w:p>
          <w:p w14:paraId="31C656EC" w14:textId="77777777" w:rsidR="001E41F3" w:rsidRPr="006818A3" w:rsidRDefault="001E41F3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DE175D" w:rsidR="001E41F3" w:rsidRDefault="008A32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IoT NTN </w:t>
            </w:r>
            <w:r w:rsidR="00652222">
              <w:rPr>
                <w:noProof/>
              </w:rPr>
              <w:t>TDD</w:t>
            </w:r>
            <w:r>
              <w:rPr>
                <w:noProof/>
              </w:rPr>
              <w:t xml:space="preserve"> </w:t>
            </w:r>
            <w:r w:rsidR="0008077C">
              <w:rPr>
                <w:noProof/>
              </w:rPr>
              <w:t>has no stage 2 description</w:t>
            </w:r>
            <w:r>
              <w:rPr>
                <w:noProof/>
              </w:rPr>
              <w:t>.</w:t>
            </w:r>
            <w:r w:rsidR="0008077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EDFA63" w:rsidR="001E41F3" w:rsidRDefault="004E0B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</w:t>
            </w:r>
            <w:r w:rsidR="00EB2BD7">
              <w:rPr>
                <w:noProof/>
              </w:rPr>
              <w:t>1</w:t>
            </w:r>
            <w:r>
              <w:rPr>
                <w:noProof/>
              </w:rPr>
              <w:t>,</w:t>
            </w:r>
            <w:r w:rsidR="00EB2BD7">
              <w:rPr>
                <w:noProof/>
              </w:rPr>
              <w:t xml:space="preserve"> 5.0, </w:t>
            </w:r>
            <w:r w:rsidR="00EB2BD7" w:rsidRPr="007910AD">
              <w:rPr>
                <w:bCs/>
                <w:lang w:val="en-US"/>
              </w:rPr>
              <w:t>23.21</w:t>
            </w:r>
            <w:r w:rsidR="00257A81">
              <w:rPr>
                <w:bCs/>
                <w:lang w:val="en-US"/>
              </w:rPr>
              <w:t>.1</w:t>
            </w:r>
            <w:r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20002977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A4A0865" w:rsidR="001E41F3" w:rsidRDefault="00CF63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31037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D3FBB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CF639F">
              <w:rPr>
                <w:noProof/>
              </w:rPr>
              <w:t>36.331</w:t>
            </w:r>
            <w:r>
              <w:rPr>
                <w:noProof/>
              </w:rPr>
              <w:t xml:space="preserve"> CR</w:t>
            </w:r>
            <w:r w:rsidR="00D319F9">
              <w:rPr>
                <w:noProof/>
              </w:rPr>
              <w:t>xxxx, TS 36.321 CRyyyy, TS 36.304 CRzzzz, TS 36.30</w:t>
            </w:r>
            <w:r w:rsidR="00C22341">
              <w:rPr>
                <w:noProof/>
              </w:rPr>
              <w:t>0,</w:t>
            </w:r>
            <w:r w:rsidR="00D319F9">
              <w:rPr>
                <w:noProof/>
              </w:rPr>
              <w:t xml:space="preserve"> </w:t>
            </w:r>
            <w:r w:rsidR="004562AC">
              <w:rPr>
                <w:noProof/>
              </w:rPr>
              <w:t xml:space="preserve">36.306, </w:t>
            </w:r>
            <w:r w:rsidR="00D319F9">
              <w:rPr>
                <w:noProof/>
              </w:rPr>
              <w:t>C</w:t>
            </w:r>
            <w:r w:rsidR="006970E7">
              <w:rPr>
                <w:noProof/>
              </w:rPr>
              <w:t>R…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92A01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ED5802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bookmarkEnd w:id="1"/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2265F51" w:rsidR="00DA1ECF" w:rsidRDefault="00DA1ECF" w:rsidP="00C430D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8717C8" w:rsidRPr="00EF5762" w14:paraId="24E8A3CE" w14:textId="77777777" w:rsidTr="00C70248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75A3B877" w14:textId="77777777" w:rsidR="008717C8" w:rsidRPr="00EF5762" w:rsidRDefault="008717C8" w:rsidP="00C70248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>START OF CHANGE</w:t>
            </w:r>
          </w:p>
        </w:tc>
      </w:tr>
    </w:tbl>
    <w:p w14:paraId="401ADCC1" w14:textId="77777777" w:rsidR="00976654" w:rsidRDefault="00976654" w:rsidP="0014519F">
      <w:pPr>
        <w:pStyle w:val="p1"/>
        <w:rPr>
          <w:rFonts w:ascii="Arial" w:eastAsia="SimSun" w:hAnsi="Arial"/>
          <w:color w:val="auto"/>
          <w:sz w:val="32"/>
          <w:szCs w:val="20"/>
          <w:lang w:val="en-GB"/>
        </w:rPr>
      </w:pPr>
      <w:bookmarkStart w:id="2" w:name="_Toc20402616"/>
      <w:bookmarkStart w:id="3" w:name="_Toc29372122"/>
      <w:bookmarkStart w:id="4" w:name="_Toc37760060"/>
      <w:bookmarkStart w:id="5" w:name="_Toc46498294"/>
      <w:bookmarkStart w:id="6" w:name="_Toc52490607"/>
      <w:bookmarkStart w:id="7" w:name="_Toc185521438"/>
    </w:p>
    <w:p w14:paraId="20B8EE07" w14:textId="79C971AC" w:rsidR="0014519F" w:rsidRDefault="008717C8" w:rsidP="0014519F">
      <w:pPr>
        <w:pStyle w:val="p1"/>
        <w:rPr>
          <w:rFonts w:ascii="Arial" w:eastAsia="SimSun" w:hAnsi="Arial"/>
          <w:color w:val="auto"/>
          <w:sz w:val="32"/>
          <w:szCs w:val="20"/>
          <w:lang w:val="en-GB"/>
        </w:rPr>
      </w:pPr>
      <w:r w:rsidRPr="0014519F">
        <w:rPr>
          <w:rFonts w:ascii="Arial" w:eastAsia="SimSun" w:hAnsi="Arial"/>
          <w:color w:val="auto"/>
          <w:sz w:val="32"/>
          <w:szCs w:val="20"/>
          <w:lang w:val="en-GB"/>
        </w:rPr>
        <w:t>3.</w:t>
      </w:r>
      <w:r w:rsidR="00CA5DE8" w:rsidRPr="0014519F">
        <w:rPr>
          <w:rFonts w:ascii="Arial" w:eastAsia="SimSun" w:hAnsi="Arial"/>
          <w:color w:val="auto"/>
          <w:sz w:val="32"/>
          <w:szCs w:val="20"/>
          <w:lang w:val="en-GB"/>
        </w:rPr>
        <w:t>1</w:t>
      </w:r>
      <w:bookmarkEnd w:id="2"/>
      <w:bookmarkEnd w:id="3"/>
      <w:bookmarkEnd w:id="4"/>
      <w:bookmarkEnd w:id="5"/>
      <w:bookmarkEnd w:id="6"/>
      <w:bookmarkEnd w:id="7"/>
      <w:r w:rsidR="00056715">
        <w:rPr>
          <w:rFonts w:ascii="Arial" w:eastAsia="SimSun" w:hAnsi="Arial"/>
          <w:color w:val="auto"/>
          <w:sz w:val="32"/>
          <w:szCs w:val="20"/>
          <w:lang w:val="en-GB"/>
        </w:rPr>
        <w:tab/>
      </w:r>
      <w:r w:rsidR="00056715">
        <w:rPr>
          <w:rFonts w:ascii="Arial" w:eastAsia="SimSun" w:hAnsi="Arial"/>
          <w:color w:val="auto"/>
          <w:sz w:val="32"/>
          <w:szCs w:val="20"/>
          <w:lang w:val="en-GB"/>
        </w:rPr>
        <w:tab/>
      </w:r>
      <w:r w:rsidR="00056715">
        <w:rPr>
          <w:rFonts w:ascii="Arial" w:eastAsia="SimSun" w:hAnsi="Arial"/>
          <w:color w:val="auto"/>
          <w:sz w:val="32"/>
          <w:szCs w:val="20"/>
          <w:lang w:val="en-GB"/>
        </w:rPr>
        <w:tab/>
      </w:r>
      <w:r w:rsidR="0014519F" w:rsidRPr="0014519F">
        <w:rPr>
          <w:rFonts w:ascii="Arial" w:eastAsia="SimSun" w:hAnsi="Arial"/>
          <w:color w:val="auto"/>
          <w:sz w:val="32"/>
          <w:szCs w:val="20"/>
          <w:lang w:val="en-GB"/>
        </w:rPr>
        <w:t>Definitions</w:t>
      </w:r>
    </w:p>
    <w:p w14:paraId="12A7EC75" w14:textId="77777777" w:rsidR="00B80FB2" w:rsidRPr="0014519F" w:rsidRDefault="00B80FB2" w:rsidP="0014519F">
      <w:pPr>
        <w:pStyle w:val="p1"/>
        <w:rPr>
          <w:rFonts w:ascii="Arial" w:eastAsia="SimSun" w:hAnsi="Arial"/>
          <w:color w:val="auto"/>
          <w:sz w:val="32"/>
          <w:szCs w:val="20"/>
          <w:lang w:val="en-GB"/>
        </w:rPr>
      </w:pPr>
    </w:p>
    <w:p w14:paraId="51A717F4" w14:textId="77777777" w:rsidR="00B80FB2" w:rsidRPr="008F08D1" w:rsidRDefault="00B80FB2" w:rsidP="00B80FB2">
      <w:r w:rsidRPr="008F08D1">
        <w:t>For the purposes of the present document, the following terms and definitions apply.</w:t>
      </w:r>
    </w:p>
    <w:p w14:paraId="124EC256" w14:textId="77777777" w:rsidR="00B80FB2" w:rsidRPr="008F08D1" w:rsidRDefault="00B80FB2" w:rsidP="00B80FB2">
      <w:pPr>
        <w:rPr>
          <w:b/>
        </w:rPr>
      </w:pPr>
      <w:r w:rsidRPr="008F08D1">
        <w:rPr>
          <w:b/>
        </w:rPr>
        <w:t xml:space="preserve">A2X communication: </w:t>
      </w:r>
      <w:r w:rsidRPr="008F08D1">
        <w:t>A communication to support A2X services leveraging PC5 reference points. A2X services are realized by various types of A2X applications, e.g. BRID or DAA.</w:t>
      </w:r>
    </w:p>
    <w:p w14:paraId="728216C9" w14:textId="77777777" w:rsidR="00B80FB2" w:rsidRPr="008F08D1" w:rsidRDefault="00B80FB2" w:rsidP="00B80FB2">
      <w:r w:rsidRPr="008F08D1">
        <w:rPr>
          <w:b/>
        </w:rPr>
        <w:t xml:space="preserve">Access Control: </w:t>
      </w:r>
      <w:r w:rsidRPr="008F08D1">
        <w:t>the process that checks whether a UE is allowed to access and to be granted services in a closed cell.</w:t>
      </w:r>
    </w:p>
    <w:p w14:paraId="03B10A0B" w14:textId="77777777" w:rsidR="00B80FB2" w:rsidRPr="008F08D1" w:rsidRDefault="00B80FB2" w:rsidP="00B80FB2">
      <w:pPr>
        <w:rPr>
          <w:lang w:eastAsia="zh-CN"/>
        </w:rPr>
      </w:pPr>
      <w:r w:rsidRPr="008F08D1">
        <w:rPr>
          <w:b/>
        </w:rPr>
        <w:t>Aerial UE communication</w:t>
      </w:r>
      <w:r w:rsidRPr="008F08D1">
        <w:t>: functionality enabling Aerial UE function as defined in 23.17.</w:t>
      </w:r>
    </w:p>
    <w:p w14:paraId="1B68DA6F" w14:textId="60BE0440" w:rsidR="00502C93" w:rsidRPr="00B80FB2" w:rsidRDefault="00B80FB2" w:rsidP="00502C93">
      <w:r w:rsidRPr="008F08D1">
        <w:rPr>
          <w:b/>
          <w:lang w:eastAsia="zh-CN"/>
        </w:rPr>
        <w:t>Anchor carrier</w:t>
      </w:r>
      <w:r w:rsidRPr="008F08D1">
        <w:rPr>
          <w:lang w:eastAsia="zh-CN"/>
        </w:rPr>
        <w:t xml:space="preserve">: </w:t>
      </w:r>
      <w:r w:rsidRPr="008F08D1">
        <w:t xml:space="preserve">in NB-IoT, a carrier </w:t>
      </w:r>
      <w:r w:rsidRPr="008F08D1">
        <w:rPr>
          <w:lang w:eastAsia="zh-CN"/>
        </w:rPr>
        <w:t>where the UE assumes that</w:t>
      </w:r>
      <w:r w:rsidRPr="008F08D1">
        <w:t xml:space="preserve"> NPSS/NSSS/NPBCH/SIB-NB</w:t>
      </w:r>
      <w:r w:rsidRPr="008F08D1">
        <w:rPr>
          <w:lang w:eastAsia="zh-CN"/>
        </w:rPr>
        <w:t xml:space="preserve"> </w:t>
      </w:r>
      <w:r w:rsidRPr="008F08D1">
        <w:t>for FDD</w:t>
      </w:r>
      <w:r w:rsidRPr="00B80FB2">
        <w:rPr>
          <w:rFonts w:eastAsia="MS Mincho" w:cstheme="minorHAnsi"/>
          <w:i/>
          <w:iCs/>
          <w:lang w:eastAsia="ja-JP"/>
        </w:rPr>
        <w:t xml:space="preserve"> </w:t>
      </w:r>
      <w:proofErr w:type="spellStart"/>
      <w:r w:rsidRPr="006A1D7F">
        <w:rPr>
          <w:rFonts w:eastAsia="MS Mincho" w:cstheme="minorHAnsi"/>
          <w:i/>
          <w:iCs/>
          <w:color w:val="FF0000"/>
          <w:u w:val="single"/>
          <w:lang w:eastAsia="ja-JP"/>
        </w:rPr>
        <w:t>and</w:t>
      </w:r>
      <w:proofErr w:type="spellEnd"/>
      <w:r w:rsidRPr="006A1D7F">
        <w:rPr>
          <w:rFonts w:eastAsia="MS Mincho" w:cstheme="minorHAnsi"/>
          <w:i/>
          <w:iCs/>
          <w:color w:val="FF0000"/>
          <w:u w:val="single"/>
          <w:lang w:eastAsia="ja-JP"/>
        </w:rPr>
        <w:t xml:space="preserve"> IoT-NTN TDD</w:t>
      </w:r>
      <w:r w:rsidRPr="008F08D1">
        <w:t xml:space="preserve"> or NPSS/NSSS/NPBCH for TDD</w:t>
      </w:r>
      <w:r w:rsidRPr="008F08D1">
        <w:rPr>
          <w:lang w:eastAsia="zh-CN"/>
        </w:rPr>
        <w:t xml:space="preserve"> are transmitted.</w:t>
      </w:r>
    </w:p>
    <w:p w14:paraId="20909F2E" w14:textId="77777777" w:rsidR="00502C93" w:rsidRPr="003D4D2D" w:rsidRDefault="00502C93" w:rsidP="00502C93">
      <w:pPr>
        <w:rPr>
          <w:rFonts w:ascii="Arial" w:eastAsia="DengXian" w:hAnsi="Arial" w:cs="Arial"/>
          <w:color w:val="FF0000"/>
        </w:rPr>
      </w:pPr>
      <w:r w:rsidRPr="003D4D2D">
        <w:rPr>
          <w:rFonts w:ascii="Arial" w:eastAsia="DengXian" w:hAnsi="Arial" w:cs="Arial"/>
          <w:color w:val="FF0000"/>
        </w:rPr>
        <w:t>-----------------------------------------------------------Skip Unchanged-----------------------------------------------------------</w:t>
      </w:r>
    </w:p>
    <w:p w14:paraId="0E1C4183" w14:textId="0396CAD2" w:rsidR="00C578BF" w:rsidRPr="00735B95" w:rsidRDefault="00C578BF" w:rsidP="00C578BF">
      <w:pPr>
        <w:pStyle w:val="EW"/>
      </w:pPr>
    </w:p>
    <w:p w14:paraId="4D6CB18B" w14:textId="6AC9ADDA" w:rsidR="00056715" w:rsidRPr="008F08D1" w:rsidRDefault="00EE63B1" w:rsidP="00056715">
      <w:pPr>
        <w:pStyle w:val="Heading2"/>
      </w:pPr>
      <w:bookmarkStart w:id="8" w:name="_Toc178245851"/>
      <w:r w:rsidRPr="0014519F">
        <w:t>5.0</w:t>
      </w:r>
      <w:r w:rsidR="00056715">
        <w:tab/>
      </w:r>
      <w:r w:rsidR="00056715" w:rsidRPr="008F08D1">
        <w:t>Frame structures and channels</w:t>
      </w:r>
    </w:p>
    <w:p w14:paraId="2791E1CC" w14:textId="77777777" w:rsidR="00066482" w:rsidRPr="008F08D1" w:rsidRDefault="00066482" w:rsidP="00066482">
      <w:r w:rsidRPr="008F08D1">
        <w:rPr>
          <w:lang w:eastAsia="zh-CN"/>
        </w:rPr>
        <w:t xml:space="preserve">Downlink and uplink transmissions are organized into radio frames with 10 </w:t>
      </w:r>
      <w:proofErr w:type="spellStart"/>
      <w:r w:rsidRPr="008F08D1">
        <w:rPr>
          <w:lang w:eastAsia="zh-CN"/>
        </w:rPr>
        <w:t>ms</w:t>
      </w:r>
      <w:proofErr w:type="spellEnd"/>
      <w:r w:rsidRPr="008F08D1">
        <w:rPr>
          <w:lang w:eastAsia="zh-CN"/>
        </w:rPr>
        <w:t xml:space="preserve"> duration. Three </w:t>
      </w:r>
      <w:r w:rsidRPr="008F08D1">
        <w:t>radio frame structures are supported:</w:t>
      </w:r>
    </w:p>
    <w:p w14:paraId="22901B8A" w14:textId="77777777" w:rsidR="00066482" w:rsidRPr="008F08D1" w:rsidRDefault="00066482" w:rsidP="00066482">
      <w:pPr>
        <w:pStyle w:val="B1"/>
      </w:pPr>
      <w:r w:rsidRPr="008F08D1">
        <w:t>-</w:t>
      </w:r>
      <w:r w:rsidRPr="008F08D1">
        <w:tab/>
        <w:t>Type 1, applicable to</w:t>
      </w:r>
      <w:r w:rsidRPr="008F08D1" w:rsidDel="00FE3ECE">
        <w:t xml:space="preserve"> </w:t>
      </w:r>
      <w:proofErr w:type="gramStart"/>
      <w:r w:rsidRPr="008F08D1">
        <w:t>FDD;</w:t>
      </w:r>
      <w:proofErr w:type="gramEnd"/>
    </w:p>
    <w:p w14:paraId="0D7D3B1A" w14:textId="77777777" w:rsidR="00066482" w:rsidRPr="008F08D1" w:rsidRDefault="00066482" w:rsidP="00066482">
      <w:pPr>
        <w:ind w:left="568" w:hanging="284"/>
      </w:pPr>
      <w:r w:rsidRPr="008F08D1">
        <w:t>-</w:t>
      </w:r>
      <w:r w:rsidRPr="008F08D1">
        <w:tab/>
        <w:t xml:space="preserve">Type 2, applicable to </w:t>
      </w:r>
      <w:proofErr w:type="gramStart"/>
      <w:r w:rsidRPr="008F08D1">
        <w:t>T</w:t>
      </w:r>
      <w:r w:rsidRPr="008F08D1">
        <w:rPr>
          <w:lang w:eastAsia="zh-CN"/>
        </w:rPr>
        <w:t>DD</w:t>
      </w:r>
      <w:r w:rsidRPr="008F08D1">
        <w:t>;</w:t>
      </w:r>
      <w:proofErr w:type="gramEnd"/>
    </w:p>
    <w:p w14:paraId="1851103E" w14:textId="77777777" w:rsidR="00066482" w:rsidRPr="008F08D1" w:rsidRDefault="00066482" w:rsidP="00066482">
      <w:pPr>
        <w:pStyle w:val="B1"/>
      </w:pPr>
      <w:r w:rsidRPr="008F08D1">
        <w:t>-</w:t>
      </w:r>
      <w:r w:rsidRPr="008F08D1">
        <w:tab/>
        <w:t>Type 3, applicable to LAA secondary cell operation only.</w:t>
      </w:r>
    </w:p>
    <w:p w14:paraId="78E8CC0C" w14:textId="77777777" w:rsidR="00066482" w:rsidRPr="008F08D1" w:rsidRDefault="00066482" w:rsidP="00066482">
      <w:pPr>
        <w:rPr>
          <w:lang w:eastAsia="zh-CN"/>
        </w:rPr>
      </w:pPr>
      <w:r w:rsidRPr="008F08D1">
        <w:rPr>
          <w:lang w:eastAsia="zh-CN"/>
        </w:rPr>
        <w:t>Frame structure Type 1 is illustrated in Figure 5.1-1.</w:t>
      </w:r>
      <w:r w:rsidRPr="008F08D1">
        <w:t xml:space="preserve"> Each 10 </w:t>
      </w:r>
      <w:proofErr w:type="spellStart"/>
      <w:r w:rsidRPr="008F08D1">
        <w:t>ms</w:t>
      </w:r>
      <w:proofErr w:type="spellEnd"/>
      <w:r w:rsidRPr="008F08D1">
        <w:t xml:space="preserve"> radio frame is divided into ten equally sized sub-frames. Each sub-frame consists of two equally sized slots.</w:t>
      </w:r>
      <w:r w:rsidRPr="008F08D1">
        <w:rPr>
          <w:lang w:eastAsia="zh-CN"/>
        </w:rPr>
        <w:t xml:space="preserve"> Each slot can further be divided into three </w:t>
      </w:r>
      <w:proofErr w:type="spellStart"/>
      <w:r w:rsidRPr="008F08D1">
        <w:rPr>
          <w:lang w:eastAsia="zh-CN"/>
        </w:rPr>
        <w:t>subslots</w:t>
      </w:r>
      <w:proofErr w:type="spellEnd"/>
      <w:r w:rsidRPr="008F08D1">
        <w:rPr>
          <w:lang w:eastAsia="zh-CN"/>
        </w:rPr>
        <w:t xml:space="preserve"> that may have different sizes. </w:t>
      </w:r>
      <w:r w:rsidRPr="008F08D1">
        <w:t xml:space="preserve">For FDD, 10 subframes, 20 slots, or up to 60 </w:t>
      </w:r>
      <w:proofErr w:type="spellStart"/>
      <w:r w:rsidRPr="008F08D1">
        <w:t>subslots</w:t>
      </w:r>
      <w:proofErr w:type="spellEnd"/>
      <w:r w:rsidRPr="008F08D1">
        <w:t xml:space="preserve"> are available for downlink and uplink transmission in each 10 </w:t>
      </w:r>
      <w:proofErr w:type="spellStart"/>
      <w:r w:rsidRPr="008F08D1">
        <w:t>ms</w:t>
      </w:r>
      <w:proofErr w:type="spellEnd"/>
      <w:r w:rsidRPr="008F08D1">
        <w:t xml:space="preserve"> interval. Uplink and downlink transmissions are separated in the frequency domain.</w:t>
      </w:r>
    </w:p>
    <w:p w14:paraId="15E8EB0A" w14:textId="77777777" w:rsidR="00066482" w:rsidRPr="008F08D1" w:rsidRDefault="00AE3B41" w:rsidP="00066482">
      <w:pPr>
        <w:pStyle w:val="TH"/>
      </w:pPr>
      <w:r w:rsidRPr="008F08D1">
        <w:rPr>
          <w:noProof/>
        </w:rPr>
        <w:object w:dxaOrig="7706" w:dyaOrig="1792" w14:anchorId="14F09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05pt;height:71.35pt;mso-width-percent:0;mso-height-percent:0;mso-width-percent:0;mso-height-percent:0" o:ole="">
            <v:imagedata r:id="rId15" o:title=""/>
          </v:shape>
          <o:OLEObject Type="Embed" ProgID="Visio.Drawing.11" ShapeID="_x0000_i1025" DrawAspect="Content" ObjectID="_1814266042" r:id="rId16"/>
        </w:object>
      </w:r>
    </w:p>
    <w:p w14:paraId="238D89B8" w14:textId="77777777" w:rsidR="00066482" w:rsidRPr="008F08D1" w:rsidRDefault="00066482" w:rsidP="00066482">
      <w:pPr>
        <w:pStyle w:val="TF"/>
      </w:pPr>
      <w:r w:rsidRPr="008F08D1">
        <w:t>Figure 5.1-1: Frame structure type 1</w:t>
      </w:r>
    </w:p>
    <w:p w14:paraId="07E91C55" w14:textId="77777777" w:rsidR="00066482" w:rsidRPr="008F08D1" w:rsidRDefault="00066482" w:rsidP="00066482">
      <w:r w:rsidRPr="008F08D1">
        <w:t xml:space="preserve">Frame structure Type 2 is illustrated in Figure 5.1-2. Each 10 </w:t>
      </w:r>
      <w:proofErr w:type="spellStart"/>
      <w:r w:rsidRPr="008F08D1">
        <w:t>ms</w:t>
      </w:r>
      <w:proofErr w:type="spellEnd"/>
      <w:r w:rsidRPr="008F08D1">
        <w:t xml:space="preserve"> radio frame consists of two half-frames of 5 </w:t>
      </w:r>
      <w:proofErr w:type="spellStart"/>
      <w:r w:rsidRPr="008F08D1">
        <w:t>ms</w:t>
      </w:r>
      <w:proofErr w:type="spellEnd"/>
      <w:r w:rsidRPr="008F08D1">
        <w:t xml:space="preserve"> each. Each half-frame consists of eight slots of length 0.5 </w:t>
      </w:r>
      <w:proofErr w:type="spellStart"/>
      <w:r w:rsidRPr="008F08D1">
        <w:t>ms</w:t>
      </w:r>
      <w:proofErr w:type="spellEnd"/>
      <w:r w:rsidRPr="008F08D1">
        <w:t xml:space="preserve"> and three special fields: </w:t>
      </w:r>
      <w:proofErr w:type="spellStart"/>
      <w:r w:rsidRPr="008F08D1">
        <w:t>DwPTS</w:t>
      </w:r>
      <w:proofErr w:type="spellEnd"/>
      <w:r w:rsidRPr="008F08D1">
        <w:t xml:space="preserve">, GP and </w:t>
      </w:r>
      <w:proofErr w:type="spellStart"/>
      <w:r w:rsidRPr="008F08D1">
        <w:t>UpPTS</w:t>
      </w:r>
      <w:proofErr w:type="spellEnd"/>
      <w:r w:rsidRPr="008F08D1">
        <w:t xml:space="preserve">. The length of </w:t>
      </w:r>
      <w:proofErr w:type="spellStart"/>
      <w:r w:rsidRPr="008F08D1">
        <w:t>DwPTS</w:t>
      </w:r>
      <w:proofErr w:type="spellEnd"/>
      <w:r w:rsidRPr="008F08D1">
        <w:t xml:space="preserve"> and </w:t>
      </w:r>
      <w:proofErr w:type="spellStart"/>
      <w:r w:rsidRPr="008F08D1">
        <w:t>UpPTS</w:t>
      </w:r>
      <w:proofErr w:type="spellEnd"/>
      <w:r w:rsidRPr="008F08D1">
        <w:t xml:space="preserve"> is configurable subject to the total length of </w:t>
      </w:r>
      <w:proofErr w:type="spellStart"/>
      <w:r w:rsidRPr="008F08D1">
        <w:t>DwPTS</w:t>
      </w:r>
      <w:proofErr w:type="spellEnd"/>
      <w:r w:rsidRPr="008F08D1">
        <w:t xml:space="preserve">, GP and </w:t>
      </w:r>
      <w:proofErr w:type="spellStart"/>
      <w:r w:rsidRPr="008F08D1">
        <w:t>UpPTS</w:t>
      </w:r>
      <w:proofErr w:type="spellEnd"/>
      <w:r w:rsidRPr="008F08D1">
        <w:t xml:space="preserve"> being equal to 1ms. Both 5ms and 10ms switch-point periodicity are supported. Subframe 1 in all configurations and subframe 6 in configuration with 5ms switch-point periodicity consist of </w:t>
      </w:r>
      <w:proofErr w:type="spellStart"/>
      <w:r w:rsidRPr="008F08D1">
        <w:t>DwPTS</w:t>
      </w:r>
      <w:proofErr w:type="spellEnd"/>
      <w:r w:rsidRPr="008F08D1">
        <w:t xml:space="preserve">, GP and </w:t>
      </w:r>
      <w:proofErr w:type="spellStart"/>
      <w:r w:rsidRPr="008F08D1">
        <w:t>UpPTS</w:t>
      </w:r>
      <w:proofErr w:type="spellEnd"/>
      <w:r w:rsidRPr="008F08D1">
        <w:t xml:space="preserve">. Subframe 6 in configuration with 10ms switch-point periodicity consists of </w:t>
      </w:r>
      <w:proofErr w:type="spellStart"/>
      <w:r w:rsidRPr="008F08D1">
        <w:t>DwPTS</w:t>
      </w:r>
      <w:proofErr w:type="spellEnd"/>
      <w:r w:rsidRPr="008F08D1">
        <w:t xml:space="preserve"> only. All other subframes consist of two equally sized slots.</w:t>
      </w:r>
    </w:p>
    <w:p w14:paraId="19AC6653" w14:textId="23B54B13" w:rsidR="00502C93" w:rsidRPr="00066482" w:rsidRDefault="00066482" w:rsidP="00502C93">
      <w:pPr>
        <w:rPr>
          <w:u w:val="single"/>
        </w:rPr>
      </w:pPr>
      <w:r w:rsidRPr="006A1D7F">
        <w:rPr>
          <w:rFonts w:eastAsia="MS Mincho"/>
          <w:i/>
          <w:color w:val="FF0000"/>
          <w:u w:val="single"/>
          <w:lang w:eastAsia="ja-JP"/>
        </w:rPr>
        <w:t>For IoT-NTN TDD mode, Frame Structure Type-1 is used where uplink and downlink transmissions are separated in the time domain and consist of</w:t>
      </w:r>
      <w:r w:rsidRPr="006A1D7F">
        <w:rPr>
          <w:i/>
          <w:iCs/>
          <w:color w:val="FF0000"/>
          <w:u w:val="single"/>
        </w:rPr>
        <w:t xml:space="preserve"> a set of D non-overlapping usable contiguous DL subframes and a set of U usable contiguous UL subframes separated by a fixed guard period (</w:t>
      </w:r>
      <w:r w:rsidRPr="006A1D7F">
        <w:rPr>
          <w:rFonts w:eastAsia="MS Mincho"/>
          <w:i/>
          <w:color w:val="FF0000"/>
          <w:u w:val="single"/>
          <w:lang w:eastAsia="ja-JP"/>
        </w:rPr>
        <w:t>GP)</w:t>
      </w:r>
      <w:r w:rsidRPr="006A1D7F">
        <w:rPr>
          <w:i/>
          <w:iCs/>
          <w:color w:val="FF0000"/>
          <w:u w:val="single"/>
        </w:rPr>
        <w:t xml:space="preserve">. This pattern is repeated every N radio frames. </w:t>
      </w:r>
      <w:r w:rsidRPr="006A1D7F">
        <w:rPr>
          <w:rFonts w:eastAsia="MS Mincho"/>
          <w:i/>
          <w:color w:val="FF0000"/>
          <w:u w:val="single"/>
          <w:lang w:eastAsia="ja-JP"/>
        </w:rPr>
        <w:t>IoT-NTN TDD mode is applicable</w:t>
      </w:r>
      <w:r w:rsidRPr="006A1D7F">
        <w:rPr>
          <w:i/>
          <w:iCs/>
          <w:color w:val="FF0000"/>
          <w:u w:val="single"/>
        </w:rPr>
        <w:t xml:space="preserve"> for the IoT-NTN TDD band </w:t>
      </w:r>
      <w:r w:rsidRPr="006A1D7F">
        <w:rPr>
          <w:color w:val="FF0000"/>
          <w:u w:val="single"/>
        </w:rPr>
        <w:t xml:space="preserve">(1616-1626.5 MHz) </w:t>
      </w:r>
      <w:r w:rsidRPr="006A1D7F">
        <w:rPr>
          <w:i/>
          <w:iCs/>
          <w:color w:val="FF0000"/>
          <w:u w:val="single"/>
        </w:rPr>
        <w:t>specified in [36.102].</w:t>
      </w:r>
    </w:p>
    <w:p w14:paraId="05DE3DEC" w14:textId="77777777" w:rsidR="00502C93" w:rsidRPr="003D4D2D" w:rsidRDefault="00502C93" w:rsidP="00502C93">
      <w:pPr>
        <w:rPr>
          <w:rFonts w:ascii="Arial" w:eastAsia="DengXian" w:hAnsi="Arial" w:cs="Arial"/>
          <w:color w:val="FF0000"/>
        </w:rPr>
      </w:pPr>
      <w:r w:rsidRPr="003D4D2D">
        <w:rPr>
          <w:rFonts w:ascii="Arial" w:eastAsia="DengXian" w:hAnsi="Arial" w:cs="Arial"/>
          <w:color w:val="FF0000"/>
        </w:rPr>
        <w:t>-----------------------------------------------------------Skip Unchanged-----------------------------------------------------------</w:t>
      </w:r>
    </w:p>
    <w:p w14:paraId="7B63C4BC" w14:textId="39FA29F4" w:rsidR="0079714D" w:rsidRDefault="0079714D" w:rsidP="0079714D">
      <w:pPr>
        <w:rPr>
          <w:lang w:eastAsia="zh-CN"/>
        </w:rPr>
      </w:pPr>
    </w:p>
    <w:bookmarkEnd w:id="8"/>
    <w:p w14:paraId="57AEE75B" w14:textId="0BE5DD8D" w:rsidR="00EE63B1" w:rsidRPr="0014519F" w:rsidRDefault="00EE63B1" w:rsidP="00257A81">
      <w:pPr>
        <w:pStyle w:val="p1"/>
        <w:rPr>
          <w:rFonts w:ascii="Arial" w:eastAsia="SimSun" w:hAnsi="Arial"/>
          <w:color w:val="auto"/>
          <w:sz w:val="32"/>
          <w:szCs w:val="20"/>
          <w:lang w:val="en-GB"/>
        </w:rPr>
      </w:pPr>
      <w:r w:rsidRPr="0014519F">
        <w:rPr>
          <w:rFonts w:ascii="Arial" w:eastAsia="SimSun" w:hAnsi="Arial"/>
          <w:color w:val="auto"/>
          <w:sz w:val="32"/>
          <w:szCs w:val="20"/>
          <w:lang w:val="en-GB"/>
        </w:rPr>
        <w:lastRenderedPageBreak/>
        <w:t>23.21</w:t>
      </w:r>
      <w:r w:rsidR="00257A81">
        <w:rPr>
          <w:rFonts w:ascii="Arial" w:eastAsia="SimSun" w:hAnsi="Arial"/>
          <w:color w:val="auto"/>
          <w:sz w:val="32"/>
          <w:szCs w:val="20"/>
          <w:lang w:val="en-GB"/>
        </w:rPr>
        <w:t>.1</w:t>
      </w:r>
      <w:r w:rsidR="00257A81">
        <w:rPr>
          <w:rFonts w:ascii="Arial" w:eastAsia="SimSun" w:hAnsi="Arial"/>
          <w:color w:val="auto"/>
          <w:sz w:val="32"/>
          <w:szCs w:val="20"/>
          <w:lang w:val="en-GB"/>
        </w:rPr>
        <w:tab/>
      </w:r>
      <w:r w:rsidR="00257A81" w:rsidRPr="00257A81">
        <w:rPr>
          <w:rFonts w:ascii="Arial" w:eastAsia="SimSun" w:hAnsi="Arial"/>
          <w:color w:val="auto"/>
          <w:sz w:val="32"/>
          <w:szCs w:val="20"/>
          <w:lang w:val="en-GB"/>
        </w:rPr>
        <w:t>General</w:t>
      </w:r>
    </w:p>
    <w:p w14:paraId="7A2B028E" w14:textId="05AF25C6" w:rsidR="001C41D8" w:rsidRDefault="001C41D8" w:rsidP="001C41D8"/>
    <w:p w14:paraId="7B11E4B6" w14:textId="77777777" w:rsidR="00066482" w:rsidRPr="008F08D1" w:rsidRDefault="00066482" w:rsidP="00066482">
      <w:r w:rsidRPr="008F08D1">
        <w:t>Support for BL UEs, UEs in enhanced coverage and NB-IoT UEs over Non-Terrestrial Networks (see clause 4.12) is only applicable to E-UTRA connected to EPC. UEs not supporting NTN are barred from accessing an NTN cell.</w:t>
      </w:r>
    </w:p>
    <w:p w14:paraId="7880264E" w14:textId="77777777" w:rsidR="00066482" w:rsidRPr="008F08D1" w:rsidRDefault="00066482" w:rsidP="00066482">
      <w:r w:rsidRPr="008F08D1">
        <w:t>In NTN, only BL UEs, UEs in enhanced coverage and NB-IoT UEs with GNSS capability are supported in this release of the specification.</w:t>
      </w:r>
    </w:p>
    <w:p w14:paraId="674A78D7" w14:textId="77777777" w:rsidR="00066482" w:rsidRPr="008F08D1" w:rsidRDefault="00066482" w:rsidP="00066482">
      <w:pPr>
        <w:rPr>
          <w:lang w:eastAsia="zh-CN"/>
        </w:rPr>
      </w:pPr>
      <w:r w:rsidRPr="008F08D1">
        <w:rPr>
          <w:lang w:eastAsia="zh-CN"/>
        </w:rPr>
        <w:t>To accommodate long propagation delays in NTN, increased timer values and window sizes, or delayed starting times are supported for the physical layer and for higher layers.</w:t>
      </w:r>
    </w:p>
    <w:p w14:paraId="2F0ACFB6" w14:textId="77777777" w:rsidR="00066482" w:rsidRPr="008F08D1" w:rsidRDefault="00066482" w:rsidP="00066482">
      <w:pPr>
        <w:rPr>
          <w:rFonts w:cs="Helv"/>
        </w:rPr>
      </w:pPr>
      <w:r w:rsidRPr="008F08D1">
        <w:rPr>
          <w:rFonts w:cs="Helv"/>
        </w:rPr>
        <w:t>UL segmented transmission is supported for UL transmission with repetitions. The UE shall apply UE pre-compensation per segment of UL transmission of PUSCH/PUCCH/PRACH for BL UEs or UEs in enhanced coverage and NPUSCH/NPRACH for NB-IoT UEs from one segment to the next segment.</w:t>
      </w:r>
    </w:p>
    <w:p w14:paraId="78BD9F84" w14:textId="77777777" w:rsidR="00066482" w:rsidRPr="00066482" w:rsidRDefault="00066482" w:rsidP="00066482">
      <w:pPr>
        <w:autoSpaceDE w:val="0"/>
        <w:autoSpaceDN w:val="0"/>
        <w:adjustRightInd w:val="0"/>
        <w:rPr>
          <w:rFonts w:cs="Helv"/>
        </w:rPr>
      </w:pPr>
      <w:r w:rsidRPr="00066482">
        <w:rPr>
          <w:rFonts w:cs="Helv"/>
        </w:rPr>
        <w:t xml:space="preserve">In this release of the specification, NTN is only applicable to FDD </w:t>
      </w:r>
      <w:r w:rsidRPr="00066482">
        <w:rPr>
          <w:rFonts w:cs="Helv"/>
          <w:i/>
          <w:iCs/>
          <w:color w:val="EE0000"/>
          <w:u w:val="single"/>
        </w:rPr>
        <w:t>and IoT-NTN TDD</w:t>
      </w:r>
      <w:r w:rsidRPr="00066482">
        <w:rPr>
          <w:rFonts w:cs="Helv"/>
          <w:color w:val="EE0000"/>
        </w:rPr>
        <w:t xml:space="preserve"> </w:t>
      </w:r>
      <w:r w:rsidRPr="00066482">
        <w:rPr>
          <w:rFonts w:cs="Helv"/>
        </w:rPr>
        <w:t>system.</w:t>
      </w:r>
    </w:p>
    <w:p w14:paraId="6128F37D" w14:textId="77777777" w:rsidR="00066482" w:rsidRPr="00735B95" w:rsidRDefault="00066482" w:rsidP="001C41D8"/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CC4F58" w:rsidRPr="00EF5762" w14:paraId="01798465" w14:textId="77777777" w:rsidTr="005B4E01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436B2BBB" w14:textId="77777777" w:rsidR="00CC4F58" w:rsidRPr="00EF5762" w:rsidRDefault="00CC4F58" w:rsidP="005B4E0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bookmarkStart w:id="9" w:name="_Hlk158627671"/>
            <w:r>
              <w:rPr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  <w:bookmarkEnd w:id="9"/>
    </w:tbl>
    <w:p w14:paraId="68C9CD36" w14:textId="77777777" w:rsidR="001E41F3" w:rsidRDefault="001E41F3">
      <w:pPr>
        <w:rPr>
          <w:noProof/>
        </w:rPr>
      </w:pPr>
    </w:p>
    <w:sectPr w:rsidR="001E41F3" w:rsidSect="005B4E01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D84C" w14:textId="77777777" w:rsidR="00AE3B41" w:rsidRDefault="00AE3B41">
      <w:r>
        <w:separator/>
      </w:r>
    </w:p>
  </w:endnote>
  <w:endnote w:type="continuationSeparator" w:id="0">
    <w:p w14:paraId="23DB406D" w14:textId="77777777" w:rsidR="00AE3B41" w:rsidRDefault="00AE3B41">
      <w:r>
        <w:continuationSeparator/>
      </w:r>
    </w:p>
  </w:endnote>
  <w:endnote w:type="continuationNotice" w:id="1">
    <w:p w14:paraId="0EA112AA" w14:textId="77777777" w:rsidR="00AE3B41" w:rsidRDefault="00AE3B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16C2" w14:textId="77777777" w:rsidR="00013733" w:rsidRPr="007B4B4C" w:rsidRDefault="00013733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2288" w14:textId="77777777" w:rsidR="00AE3B41" w:rsidRDefault="00AE3B41">
      <w:r>
        <w:separator/>
      </w:r>
    </w:p>
  </w:footnote>
  <w:footnote w:type="continuationSeparator" w:id="0">
    <w:p w14:paraId="56190B94" w14:textId="77777777" w:rsidR="00AE3B41" w:rsidRDefault="00AE3B41">
      <w:r>
        <w:continuationSeparator/>
      </w:r>
    </w:p>
  </w:footnote>
  <w:footnote w:type="continuationNotice" w:id="1">
    <w:p w14:paraId="76C70D6F" w14:textId="77777777" w:rsidR="00AE3B41" w:rsidRDefault="00AE3B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013733" w:rsidRDefault="0001373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4A22" w14:textId="77777777" w:rsidR="00013733" w:rsidRPr="007B4B4C" w:rsidRDefault="0001373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524F02E" w14:textId="4F665B3B" w:rsidR="00013733" w:rsidRPr="007B4B4C" w:rsidRDefault="0001373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672E57">
      <w:rPr>
        <w:rFonts w:ascii="Arial" w:hAnsi="Arial" w:cs="Arial"/>
        <w:b/>
        <w:noProof/>
        <w:sz w:val="18"/>
        <w:szCs w:val="18"/>
      </w:rPr>
      <w:t>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51ECD47" w14:textId="77777777" w:rsidR="00013733" w:rsidRPr="007B4B4C" w:rsidRDefault="0001373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9B62251" w14:textId="77777777" w:rsidR="00013733" w:rsidRPr="007B4B4C" w:rsidRDefault="00013733">
    <w:pPr>
      <w:pStyle w:val="Header"/>
    </w:pPr>
  </w:p>
  <w:p w14:paraId="1B4F4B47" w14:textId="77777777" w:rsidR="00013733" w:rsidRPr="007B4B4C" w:rsidRDefault="000137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765"/>
    <w:multiLevelType w:val="hybridMultilevel"/>
    <w:tmpl w:val="452C24FE"/>
    <w:lvl w:ilvl="0" w:tplc="1868A868">
      <w:start w:val="1"/>
      <w:numFmt w:val="decimal"/>
      <w:lvlText w:val="%1)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AF36AC"/>
    <w:multiLevelType w:val="hybridMultilevel"/>
    <w:tmpl w:val="EDB83BDC"/>
    <w:lvl w:ilvl="0" w:tplc="B732A08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ABB"/>
    <w:multiLevelType w:val="hybridMultilevel"/>
    <w:tmpl w:val="CBB8D702"/>
    <w:lvl w:ilvl="0" w:tplc="1904164C">
      <w:start w:val="23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0627765">
    <w:abstractNumId w:val="2"/>
  </w:num>
  <w:num w:numId="2" w16cid:durableId="59552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23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A4"/>
    <w:rsid w:val="00006EA5"/>
    <w:rsid w:val="00013574"/>
    <w:rsid w:val="00013733"/>
    <w:rsid w:val="000163DE"/>
    <w:rsid w:val="00017445"/>
    <w:rsid w:val="00021D91"/>
    <w:rsid w:val="00022E4A"/>
    <w:rsid w:val="00031554"/>
    <w:rsid w:val="0005006C"/>
    <w:rsid w:val="00056715"/>
    <w:rsid w:val="00060137"/>
    <w:rsid w:val="00066482"/>
    <w:rsid w:val="00070E09"/>
    <w:rsid w:val="000733A6"/>
    <w:rsid w:val="00073E81"/>
    <w:rsid w:val="000767BF"/>
    <w:rsid w:val="00077EE5"/>
    <w:rsid w:val="0008077C"/>
    <w:rsid w:val="00084FBF"/>
    <w:rsid w:val="00092F6F"/>
    <w:rsid w:val="000A217E"/>
    <w:rsid w:val="000A2A69"/>
    <w:rsid w:val="000A6394"/>
    <w:rsid w:val="000B09FC"/>
    <w:rsid w:val="000B584E"/>
    <w:rsid w:val="000B7FED"/>
    <w:rsid w:val="000C038A"/>
    <w:rsid w:val="000C6598"/>
    <w:rsid w:val="000C6ABE"/>
    <w:rsid w:val="000D0377"/>
    <w:rsid w:val="000D44B3"/>
    <w:rsid w:val="000D46D1"/>
    <w:rsid w:val="000E2EC4"/>
    <w:rsid w:val="000E455E"/>
    <w:rsid w:val="000E6078"/>
    <w:rsid w:val="00101839"/>
    <w:rsid w:val="001057E3"/>
    <w:rsid w:val="00111E00"/>
    <w:rsid w:val="001164DB"/>
    <w:rsid w:val="00135DF1"/>
    <w:rsid w:val="00141D65"/>
    <w:rsid w:val="0014519F"/>
    <w:rsid w:val="00145D43"/>
    <w:rsid w:val="00146482"/>
    <w:rsid w:val="00147011"/>
    <w:rsid w:val="00165155"/>
    <w:rsid w:val="00166CB8"/>
    <w:rsid w:val="00167CF2"/>
    <w:rsid w:val="00170ED9"/>
    <w:rsid w:val="00172249"/>
    <w:rsid w:val="00176F51"/>
    <w:rsid w:val="0019175D"/>
    <w:rsid w:val="00191A2D"/>
    <w:rsid w:val="00192C46"/>
    <w:rsid w:val="00197013"/>
    <w:rsid w:val="001A08B3"/>
    <w:rsid w:val="001A4E01"/>
    <w:rsid w:val="001A7B60"/>
    <w:rsid w:val="001B01A8"/>
    <w:rsid w:val="001B52F0"/>
    <w:rsid w:val="001B5D14"/>
    <w:rsid w:val="001B7A65"/>
    <w:rsid w:val="001C0926"/>
    <w:rsid w:val="001C278E"/>
    <w:rsid w:val="001C41D8"/>
    <w:rsid w:val="001C68CE"/>
    <w:rsid w:val="001D37AF"/>
    <w:rsid w:val="001E11E8"/>
    <w:rsid w:val="001E1AA4"/>
    <w:rsid w:val="001E41F3"/>
    <w:rsid w:val="001F1779"/>
    <w:rsid w:val="00202D1A"/>
    <w:rsid w:val="002129A2"/>
    <w:rsid w:val="00240433"/>
    <w:rsid w:val="00257A81"/>
    <w:rsid w:val="0026004D"/>
    <w:rsid w:val="002640DD"/>
    <w:rsid w:val="00273262"/>
    <w:rsid w:val="002742FF"/>
    <w:rsid w:val="00275D12"/>
    <w:rsid w:val="0028149A"/>
    <w:rsid w:val="00284FEB"/>
    <w:rsid w:val="002860C4"/>
    <w:rsid w:val="00297AB0"/>
    <w:rsid w:val="002A4514"/>
    <w:rsid w:val="002A4A2E"/>
    <w:rsid w:val="002A5C6E"/>
    <w:rsid w:val="002A6FA7"/>
    <w:rsid w:val="002A7609"/>
    <w:rsid w:val="002B095D"/>
    <w:rsid w:val="002B5741"/>
    <w:rsid w:val="002B7A8B"/>
    <w:rsid w:val="002C3E82"/>
    <w:rsid w:val="002C4D7F"/>
    <w:rsid w:val="002C7ACD"/>
    <w:rsid w:val="002E3590"/>
    <w:rsid w:val="002E472E"/>
    <w:rsid w:val="002F6E07"/>
    <w:rsid w:val="002F7BAB"/>
    <w:rsid w:val="00303C49"/>
    <w:rsid w:val="00305409"/>
    <w:rsid w:val="003059BF"/>
    <w:rsid w:val="00312162"/>
    <w:rsid w:val="003163F7"/>
    <w:rsid w:val="00335F96"/>
    <w:rsid w:val="003366F3"/>
    <w:rsid w:val="0034523D"/>
    <w:rsid w:val="00350E66"/>
    <w:rsid w:val="00357C29"/>
    <w:rsid w:val="003609EF"/>
    <w:rsid w:val="0036213B"/>
    <w:rsid w:val="0036231A"/>
    <w:rsid w:val="00365F6F"/>
    <w:rsid w:val="0037169A"/>
    <w:rsid w:val="00374798"/>
    <w:rsid w:val="00374DD4"/>
    <w:rsid w:val="003B0E5F"/>
    <w:rsid w:val="003B5756"/>
    <w:rsid w:val="003D101B"/>
    <w:rsid w:val="003E0476"/>
    <w:rsid w:val="003E1A36"/>
    <w:rsid w:val="003E1FA6"/>
    <w:rsid w:val="003F0EBA"/>
    <w:rsid w:val="003F48F8"/>
    <w:rsid w:val="00402000"/>
    <w:rsid w:val="00410371"/>
    <w:rsid w:val="00413E7A"/>
    <w:rsid w:val="00414460"/>
    <w:rsid w:val="00415C41"/>
    <w:rsid w:val="004242F1"/>
    <w:rsid w:val="00443519"/>
    <w:rsid w:val="00453A3A"/>
    <w:rsid w:val="00455331"/>
    <w:rsid w:val="004562AC"/>
    <w:rsid w:val="00464499"/>
    <w:rsid w:val="00492C0E"/>
    <w:rsid w:val="004A0477"/>
    <w:rsid w:val="004B2B8A"/>
    <w:rsid w:val="004B2BFC"/>
    <w:rsid w:val="004B75B7"/>
    <w:rsid w:val="004C0020"/>
    <w:rsid w:val="004C182E"/>
    <w:rsid w:val="004C6920"/>
    <w:rsid w:val="004D5DF7"/>
    <w:rsid w:val="004E05DB"/>
    <w:rsid w:val="004E0B40"/>
    <w:rsid w:val="004E4880"/>
    <w:rsid w:val="004F0908"/>
    <w:rsid w:val="004F0A1F"/>
    <w:rsid w:val="00502C93"/>
    <w:rsid w:val="00503055"/>
    <w:rsid w:val="005141D9"/>
    <w:rsid w:val="0051580D"/>
    <w:rsid w:val="00517261"/>
    <w:rsid w:val="005326FE"/>
    <w:rsid w:val="00533566"/>
    <w:rsid w:val="00536306"/>
    <w:rsid w:val="00536BC9"/>
    <w:rsid w:val="00537BF2"/>
    <w:rsid w:val="00541A31"/>
    <w:rsid w:val="00547111"/>
    <w:rsid w:val="00550E36"/>
    <w:rsid w:val="005530D4"/>
    <w:rsid w:val="00557EC0"/>
    <w:rsid w:val="0056249D"/>
    <w:rsid w:val="00574AD5"/>
    <w:rsid w:val="00592D74"/>
    <w:rsid w:val="00593552"/>
    <w:rsid w:val="005A1EE4"/>
    <w:rsid w:val="005A40D3"/>
    <w:rsid w:val="005A7A9A"/>
    <w:rsid w:val="005B13EC"/>
    <w:rsid w:val="005B4E01"/>
    <w:rsid w:val="005E16AC"/>
    <w:rsid w:val="005E2C44"/>
    <w:rsid w:val="005E371C"/>
    <w:rsid w:val="00611AF3"/>
    <w:rsid w:val="006177A2"/>
    <w:rsid w:val="0062103D"/>
    <w:rsid w:val="00621188"/>
    <w:rsid w:val="006251D3"/>
    <w:rsid w:val="006257ED"/>
    <w:rsid w:val="0063545E"/>
    <w:rsid w:val="00650B1C"/>
    <w:rsid w:val="00652222"/>
    <w:rsid w:val="00653DE4"/>
    <w:rsid w:val="00665C47"/>
    <w:rsid w:val="00667690"/>
    <w:rsid w:val="00672E57"/>
    <w:rsid w:val="00673103"/>
    <w:rsid w:val="006770E8"/>
    <w:rsid w:val="006818A3"/>
    <w:rsid w:val="00687D55"/>
    <w:rsid w:val="00692391"/>
    <w:rsid w:val="00695808"/>
    <w:rsid w:val="00696DF5"/>
    <w:rsid w:val="006970E7"/>
    <w:rsid w:val="006A1C4E"/>
    <w:rsid w:val="006A5EDF"/>
    <w:rsid w:val="006A718C"/>
    <w:rsid w:val="006B46FB"/>
    <w:rsid w:val="006C5AC0"/>
    <w:rsid w:val="006C5F5E"/>
    <w:rsid w:val="006D795E"/>
    <w:rsid w:val="006E21FB"/>
    <w:rsid w:val="00705175"/>
    <w:rsid w:val="00712710"/>
    <w:rsid w:val="007168F3"/>
    <w:rsid w:val="00732661"/>
    <w:rsid w:val="007364C4"/>
    <w:rsid w:val="00740772"/>
    <w:rsid w:val="00743D7C"/>
    <w:rsid w:val="00753418"/>
    <w:rsid w:val="00755B0D"/>
    <w:rsid w:val="00762244"/>
    <w:rsid w:val="00767243"/>
    <w:rsid w:val="00791CBB"/>
    <w:rsid w:val="00792342"/>
    <w:rsid w:val="0079714D"/>
    <w:rsid w:val="00797248"/>
    <w:rsid w:val="007977A8"/>
    <w:rsid w:val="00797AAE"/>
    <w:rsid w:val="007A1E69"/>
    <w:rsid w:val="007A214C"/>
    <w:rsid w:val="007A427E"/>
    <w:rsid w:val="007A59EA"/>
    <w:rsid w:val="007A5D81"/>
    <w:rsid w:val="007B512A"/>
    <w:rsid w:val="007C2097"/>
    <w:rsid w:val="007C5874"/>
    <w:rsid w:val="007C759D"/>
    <w:rsid w:val="007D6A07"/>
    <w:rsid w:val="007E37D2"/>
    <w:rsid w:val="007F7259"/>
    <w:rsid w:val="008040A8"/>
    <w:rsid w:val="008054B3"/>
    <w:rsid w:val="008064F5"/>
    <w:rsid w:val="00813288"/>
    <w:rsid w:val="00823418"/>
    <w:rsid w:val="008279FA"/>
    <w:rsid w:val="008363B0"/>
    <w:rsid w:val="00837954"/>
    <w:rsid w:val="00842473"/>
    <w:rsid w:val="00844972"/>
    <w:rsid w:val="00850332"/>
    <w:rsid w:val="008577BD"/>
    <w:rsid w:val="008626E7"/>
    <w:rsid w:val="00870EE7"/>
    <w:rsid w:val="00871602"/>
    <w:rsid w:val="008717C8"/>
    <w:rsid w:val="00875390"/>
    <w:rsid w:val="00881ADA"/>
    <w:rsid w:val="008860FB"/>
    <w:rsid w:val="008863B9"/>
    <w:rsid w:val="00887881"/>
    <w:rsid w:val="008935C3"/>
    <w:rsid w:val="00893FCE"/>
    <w:rsid w:val="008A1F5E"/>
    <w:rsid w:val="008A3299"/>
    <w:rsid w:val="008A45A6"/>
    <w:rsid w:val="008A5A49"/>
    <w:rsid w:val="008B39BE"/>
    <w:rsid w:val="008B5B3C"/>
    <w:rsid w:val="008C1A45"/>
    <w:rsid w:val="008C2BF1"/>
    <w:rsid w:val="008D0153"/>
    <w:rsid w:val="008D17C5"/>
    <w:rsid w:val="008D246D"/>
    <w:rsid w:val="008D3CCC"/>
    <w:rsid w:val="008E7C41"/>
    <w:rsid w:val="008F3789"/>
    <w:rsid w:val="008F3AE6"/>
    <w:rsid w:val="008F686C"/>
    <w:rsid w:val="009148DE"/>
    <w:rsid w:val="00914E23"/>
    <w:rsid w:val="009238DB"/>
    <w:rsid w:val="009273B6"/>
    <w:rsid w:val="00934AD9"/>
    <w:rsid w:val="0093546C"/>
    <w:rsid w:val="00937D12"/>
    <w:rsid w:val="00941C37"/>
    <w:rsid w:val="00941E30"/>
    <w:rsid w:val="009531B0"/>
    <w:rsid w:val="00953884"/>
    <w:rsid w:val="00953A98"/>
    <w:rsid w:val="00953F50"/>
    <w:rsid w:val="009675D8"/>
    <w:rsid w:val="00971506"/>
    <w:rsid w:val="009741B3"/>
    <w:rsid w:val="009749C5"/>
    <w:rsid w:val="00976654"/>
    <w:rsid w:val="009777D9"/>
    <w:rsid w:val="0098015E"/>
    <w:rsid w:val="00980C78"/>
    <w:rsid w:val="00985CD6"/>
    <w:rsid w:val="00991B88"/>
    <w:rsid w:val="009942FC"/>
    <w:rsid w:val="00995228"/>
    <w:rsid w:val="009A1033"/>
    <w:rsid w:val="009A5753"/>
    <w:rsid w:val="009A579D"/>
    <w:rsid w:val="009C1B5B"/>
    <w:rsid w:val="009C228D"/>
    <w:rsid w:val="009C347A"/>
    <w:rsid w:val="009C4C7C"/>
    <w:rsid w:val="009C4CA6"/>
    <w:rsid w:val="009C6D6C"/>
    <w:rsid w:val="009C72A2"/>
    <w:rsid w:val="009D4812"/>
    <w:rsid w:val="009E160A"/>
    <w:rsid w:val="009E3297"/>
    <w:rsid w:val="009E3C0B"/>
    <w:rsid w:val="009F336D"/>
    <w:rsid w:val="009F58C9"/>
    <w:rsid w:val="009F5D99"/>
    <w:rsid w:val="009F734F"/>
    <w:rsid w:val="00A00BE9"/>
    <w:rsid w:val="00A07A7A"/>
    <w:rsid w:val="00A20CAC"/>
    <w:rsid w:val="00A246B6"/>
    <w:rsid w:val="00A42238"/>
    <w:rsid w:val="00A4415C"/>
    <w:rsid w:val="00A444F8"/>
    <w:rsid w:val="00A47E70"/>
    <w:rsid w:val="00A50CF0"/>
    <w:rsid w:val="00A657D3"/>
    <w:rsid w:val="00A7671C"/>
    <w:rsid w:val="00A81D84"/>
    <w:rsid w:val="00A84CE7"/>
    <w:rsid w:val="00A92255"/>
    <w:rsid w:val="00A94DDF"/>
    <w:rsid w:val="00AA2589"/>
    <w:rsid w:val="00AA2CBC"/>
    <w:rsid w:val="00AC4A8E"/>
    <w:rsid w:val="00AC5820"/>
    <w:rsid w:val="00AC5F1E"/>
    <w:rsid w:val="00AD15AC"/>
    <w:rsid w:val="00AD1CD8"/>
    <w:rsid w:val="00AD3A34"/>
    <w:rsid w:val="00AE3B41"/>
    <w:rsid w:val="00AE6B6D"/>
    <w:rsid w:val="00AF2100"/>
    <w:rsid w:val="00AF2284"/>
    <w:rsid w:val="00AF7644"/>
    <w:rsid w:val="00AF7ADC"/>
    <w:rsid w:val="00B03BA9"/>
    <w:rsid w:val="00B11743"/>
    <w:rsid w:val="00B21A26"/>
    <w:rsid w:val="00B258BB"/>
    <w:rsid w:val="00B27B0C"/>
    <w:rsid w:val="00B315B8"/>
    <w:rsid w:val="00B51D98"/>
    <w:rsid w:val="00B55E74"/>
    <w:rsid w:val="00B60C1C"/>
    <w:rsid w:val="00B67820"/>
    <w:rsid w:val="00B67B97"/>
    <w:rsid w:val="00B80FB2"/>
    <w:rsid w:val="00B94070"/>
    <w:rsid w:val="00B95C26"/>
    <w:rsid w:val="00B968C8"/>
    <w:rsid w:val="00BA3EC5"/>
    <w:rsid w:val="00BA51D9"/>
    <w:rsid w:val="00BB5185"/>
    <w:rsid w:val="00BB5DFC"/>
    <w:rsid w:val="00BB7B7D"/>
    <w:rsid w:val="00BC029C"/>
    <w:rsid w:val="00BD279D"/>
    <w:rsid w:val="00BD6BB8"/>
    <w:rsid w:val="00BD7823"/>
    <w:rsid w:val="00BE2C1E"/>
    <w:rsid w:val="00BF5D1C"/>
    <w:rsid w:val="00C1213E"/>
    <w:rsid w:val="00C16EF0"/>
    <w:rsid w:val="00C20361"/>
    <w:rsid w:val="00C22341"/>
    <w:rsid w:val="00C3529C"/>
    <w:rsid w:val="00C3537F"/>
    <w:rsid w:val="00C36CA1"/>
    <w:rsid w:val="00C430D2"/>
    <w:rsid w:val="00C458B1"/>
    <w:rsid w:val="00C578BF"/>
    <w:rsid w:val="00C66BA2"/>
    <w:rsid w:val="00C70248"/>
    <w:rsid w:val="00C75EFF"/>
    <w:rsid w:val="00C841CB"/>
    <w:rsid w:val="00C870F6"/>
    <w:rsid w:val="00C95985"/>
    <w:rsid w:val="00CA5DE8"/>
    <w:rsid w:val="00CC4F58"/>
    <w:rsid w:val="00CC5026"/>
    <w:rsid w:val="00CC68D0"/>
    <w:rsid w:val="00CD4271"/>
    <w:rsid w:val="00CE0187"/>
    <w:rsid w:val="00CE5C22"/>
    <w:rsid w:val="00CE62EF"/>
    <w:rsid w:val="00CF639F"/>
    <w:rsid w:val="00D03E7A"/>
    <w:rsid w:val="00D03F9A"/>
    <w:rsid w:val="00D06D51"/>
    <w:rsid w:val="00D07486"/>
    <w:rsid w:val="00D07E84"/>
    <w:rsid w:val="00D15503"/>
    <w:rsid w:val="00D165E0"/>
    <w:rsid w:val="00D24991"/>
    <w:rsid w:val="00D27B7B"/>
    <w:rsid w:val="00D319F9"/>
    <w:rsid w:val="00D50255"/>
    <w:rsid w:val="00D66520"/>
    <w:rsid w:val="00D673A5"/>
    <w:rsid w:val="00D70643"/>
    <w:rsid w:val="00D766E7"/>
    <w:rsid w:val="00D7702E"/>
    <w:rsid w:val="00D81AC3"/>
    <w:rsid w:val="00D835A1"/>
    <w:rsid w:val="00D84AE9"/>
    <w:rsid w:val="00D851A2"/>
    <w:rsid w:val="00D859F4"/>
    <w:rsid w:val="00D9124E"/>
    <w:rsid w:val="00DA1ECF"/>
    <w:rsid w:val="00DA32D7"/>
    <w:rsid w:val="00DC4AF4"/>
    <w:rsid w:val="00DC6132"/>
    <w:rsid w:val="00DC6612"/>
    <w:rsid w:val="00DE2D68"/>
    <w:rsid w:val="00DE309D"/>
    <w:rsid w:val="00DE34CF"/>
    <w:rsid w:val="00DE5042"/>
    <w:rsid w:val="00DE52D2"/>
    <w:rsid w:val="00DE62A4"/>
    <w:rsid w:val="00E04C25"/>
    <w:rsid w:val="00E04E35"/>
    <w:rsid w:val="00E11DE9"/>
    <w:rsid w:val="00E13613"/>
    <w:rsid w:val="00E13F3D"/>
    <w:rsid w:val="00E14891"/>
    <w:rsid w:val="00E17942"/>
    <w:rsid w:val="00E21910"/>
    <w:rsid w:val="00E342CC"/>
    <w:rsid w:val="00E34898"/>
    <w:rsid w:val="00E366CA"/>
    <w:rsid w:val="00E460D0"/>
    <w:rsid w:val="00E70B77"/>
    <w:rsid w:val="00E71130"/>
    <w:rsid w:val="00E71D9E"/>
    <w:rsid w:val="00E76839"/>
    <w:rsid w:val="00E76AC7"/>
    <w:rsid w:val="00E86C5B"/>
    <w:rsid w:val="00E92321"/>
    <w:rsid w:val="00E95FF8"/>
    <w:rsid w:val="00EA3FDE"/>
    <w:rsid w:val="00EB09B7"/>
    <w:rsid w:val="00EB2BD7"/>
    <w:rsid w:val="00EB562A"/>
    <w:rsid w:val="00EE0847"/>
    <w:rsid w:val="00EE23D0"/>
    <w:rsid w:val="00EE63B1"/>
    <w:rsid w:val="00EE7D7C"/>
    <w:rsid w:val="00EF2DC5"/>
    <w:rsid w:val="00F05C8C"/>
    <w:rsid w:val="00F112DD"/>
    <w:rsid w:val="00F151EA"/>
    <w:rsid w:val="00F1545F"/>
    <w:rsid w:val="00F237E1"/>
    <w:rsid w:val="00F24694"/>
    <w:rsid w:val="00F2569A"/>
    <w:rsid w:val="00F25D98"/>
    <w:rsid w:val="00F300FB"/>
    <w:rsid w:val="00F527C5"/>
    <w:rsid w:val="00F84BC9"/>
    <w:rsid w:val="00FB267F"/>
    <w:rsid w:val="00FB2D1C"/>
    <w:rsid w:val="00FB3675"/>
    <w:rsid w:val="00FB6386"/>
    <w:rsid w:val="00FC290B"/>
    <w:rsid w:val="00FD697C"/>
    <w:rsid w:val="00FE553F"/>
    <w:rsid w:val="00FF2462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33DCD19-A674-4CC7-B22B-80BF7D8C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CC4F58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CC4F5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C4F58"/>
    <w:rPr>
      <w:rFonts w:ascii="Times New Roman" w:hAnsi="Times New Roman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CC4F58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C4F5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C4F5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C4F5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C4F5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C4F5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C4F5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CC4F5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835A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D835A1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08077C"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sid w:val="0008077C"/>
    <w:rPr>
      <w:rFonts w:eastAsia="Times New Roman"/>
    </w:rPr>
  </w:style>
  <w:style w:type="character" w:customStyle="1" w:styleId="B2Car">
    <w:name w:val="B2 Car"/>
    <w:rsid w:val="002F6E07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F05C8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05C8C"/>
    <w:rPr>
      <w:rFonts w:ascii="Arial" w:eastAsia="MS Mincho" w:hAnsi="Arial"/>
      <w:szCs w:val="24"/>
      <w:lang w:val="en-GB" w:eastAsia="en-GB"/>
    </w:rPr>
  </w:style>
  <w:style w:type="paragraph" w:customStyle="1" w:styleId="p1">
    <w:name w:val="p1"/>
    <w:basedOn w:val="Normal"/>
    <w:rsid w:val="0014519F"/>
    <w:pPr>
      <w:spacing w:after="0"/>
    </w:pPr>
    <w:rPr>
      <w:rFonts w:ascii="Helvetica" w:eastAsia="Times New Roman" w:hAnsi="Helvetic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8.vsd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8F997-FD10-45CE-8207-C17052ABC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6681C-0411-4A27-9841-498A301743B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18A38B8-8D01-4AC2-B79A-010C1CDCB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6ADC1-F652-4B48-8083-6F6CEE9A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44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6007</CharactersWithSpaces>
  <SharedDoc>false</SharedDoc>
  <HyperlinkBase/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Andjela Ilic-Savoia</cp:lastModifiedBy>
  <cp:revision>31</cp:revision>
  <cp:lastPrinted>1900-01-01T08:00:00Z</cp:lastPrinted>
  <dcterms:created xsi:type="dcterms:W3CDTF">2025-07-16T15:52:00Z</dcterms:created>
  <dcterms:modified xsi:type="dcterms:W3CDTF">2025-07-17T17:56:00Z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1740447879</vt:lpwstr>
  </property>
</Properties>
</file>